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tiff" ContentType="image/tiff"/>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jc w:val="center"/>
        <w:rPr>
          <w:rFonts w:hint="default"/>
          <w:sz w:val="48"/>
          <w:szCs w:val="48"/>
        </w:rPr>
      </w:pPr>
      <w:r>
        <w:rPr>
          <w:rFonts w:hint="default"/>
          <w:sz w:val="48"/>
          <w:szCs w:val="48"/>
        </w:rPr>
        <w:t>福建省建设项目环境影响</w:t>
      </w:r>
    </w:p>
    <w:p>
      <w:pPr>
        <w:bidi w:val="0"/>
        <w:jc w:val="center"/>
        <w:rPr>
          <w:rFonts w:hint="default"/>
        </w:rPr>
      </w:pPr>
      <w:r>
        <w:rPr>
          <w:rFonts w:hint="default"/>
          <w:sz w:val="48"/>
          <w:szCs w:val="48"/>
        </w:rPr>
        <w:t>报  告  表</w:t>
      </w:r>
    </w:p>
    <w:p>
      <w:pPr>
        <w:bidi w:val="0"/>
        <w:jc w:val="cente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（适用于</w:t>
      </w:r>
      <w:r>
        <w:rPr>
          <w:rFonts w:hint="default" w:ascii="Times New Roman Regular" w:hAnsi="Times New Roman Regular" w:cs="Times New Roman Regular"/>
          <w:color w:val="auto"/>
          <w:lang w:val="en-US" w:eastAsia="zh-Hans"/>
        </w:rPr>
        <w:t>工业型</w:t>
      </w:r>
      <w:r>
        <w:rPr>
          <w:rFonts w:hint="default" w:ascii="Times New Roman Regular" w:hAnsi="Times New Roman Regular" w:cs="Times New Roman Regular"/>
          <w:color w:val="auto"/>
        </w:rPr>
        <w:t>建设项目）</w:t>
      </w:r>
    </w:p>
    <w:p>
      <w:pPr>
        <w:ind w:firstLine="480"/>
        <w:jc w:val="center"/>
        <w:rPr>
          <w:rFonts w:hint="default" w:ascii="Times New Roman Regular" w:hAnsi="Times New Roman Regular" w:cs="Times New Roman Regular"/>
          <w:color w:val="auto"/>
        </w:rPr>
      </w:pPr>
    </w:p>
    <w:p>
      <w:pPr>
        <w:ind w:firstLine="480"/>
        <w:jc w:val="center"/>
        <w:rPr>
          <w:rFonts w:hint="default" w:ascii="Times New Roman Regular" w:hAnsi="Times New Roman Regular" w:cs="Times New Roman Regular"/>
          <w:color w:val="FF0000"/>
        </w:rPr>
      </w:pPr>
    </w:p>
    <w:p>
      <w:pPr>
        <w:ind w:left="525" w:firstLine="480"/>
        <w:rPr>
          <w:rFonts w:hint="default" w:ascii="Times New Roman Regular" w:hAnsi="Times New Roman Regular" w:cs="Times New Roman Regular"/>
          <w:color w:val="FF0000"/>
        </w:rPr>
      </w:pPr>
    </w:p>
    <w:tbl>
      <w:tblPr>
        <w:tblStyle w:val="36"/>
        <w:tblW w:w="0" w:type="auto"/>
        <w:jc w:val="center"/>
        <w:tblLayout w:type="fixed"/>
        <w:tblCellMar>
          <w:top w:w="0" w:type="dxa"/>
          <w:left w:w="108" w:type="dxa"/>
          <w:bottom w:w="0" w:type="dxa"/>
          <w:right w:w="108" w:type="dxa"/>
        </w:tblCellMar>
      </w:tblPr>
      <w:tblGrid>
        <w:gridCol w:w="2864"/>
        <w:gridCol w:w="5148"/>
      </w:tblGrid>
      <w:tr>
        <w:tblPrEx>
          <w:tblCellMar>
            <w:top w:w="0" w:type="dxa"/>
            <w:left w:w="108" w:type="dxa"/>
            <w:bottom w:w="0" w:type="dxa"/>
            <w:right w:w="108" w:type="dxa"/>
          </w:tblCellMar>
        </w:tblPrEx>
        <w:trPr>
          <w:jc w:val="center"/>
        </w:trPr>
        <w:tc>
          <w:tcPr>
            <w:tcW w:w="2864" w:type="dxa"/>
            <w:tcBorders>
              <w:right w:val="nil"/>
            </w:tcBorders>
          </w:tcPr>
          <w:p>
            <w:pPr>
              <w:spacing w:before="120"/>
              <w:jc w:val="center"/>
              <w:rPr>
                <w:rFonts w:hint="default" w:ascii="Times New Roman Regular" w:hAnsi="Times New Roman Regular" w:cs="Times New Roman Regular"/>
                <w:color w:val="auto"/>
                <w:sz w:val="28"/>
                <w:szCs w:val="28"/>
              </w:rPr>
            </w:pPr>
            <w:r>
              <w:rPr>
                <w:rFonts w:hint="default" w:ascii="Times New Roman Regular" w:hAnsi="Times New Roman Regular" w:cs="Times New Roman Regular"/>
                <w:color w:val="auto"/>
                <w:sz w:val="28"/>
                <w:szCs w:val="28"/>
              </w:rPr>
              <w:t>项  目  名  称</w:t>
            </w:r>
          </w:p>
        </w:tc>
        <w:tc>
          <w:tcPr>
            <w:tcW w:w="5148" w:type="dxa"/>
            <w:tcBorders>
              <w:top w:val="nil"/>
              <w:left w:val="nil"/>
              <w:bottom w:val="single" w:color="auto" w:sz="4" w:space="0"/>
              <w:right w:val="nil"/>
            </w:tcBorders>
          </w:tcPr>
          <w:p>
            <w:pPr>
              <w:autoSpaceDE w:val="0"/>
              <w:autoSpaceDN w:val="0"/>
              <w:spacing w:before="120"/>
              <w:jc w:val="center"/>
              <w:rPr>
                <w:rFonts w:hint="default" w:ascii="Times New Roman Regular" w:hAnsi="Times New Roman Regular" w:eastAsia="新宋体" w:cs="Times New Roman Regular"/>
                <w:color w:val="auto"/>
                <w:sz w:val="30"/>
                <w:szCs w:val="30"/>
              </w:rPr>
            </w:pPr>
            <w:r>
              <w:rPr>
                <w:rFonts w:hint="default" w:ascii="Times New Roman Regular" w:hAnsi="Times New Roman Regular" w:eastAsia="新宋体" w:cs="Times New Roman Regular"/>
                <w:color w:val="auto"/>
                <w:sz w:val="30"/>
                <w:szCs w:val="30"/>
              </w:rPr>
              <w:t>福建欧玛克智能科技有限公司</w:t>
            </w:r>
            <w:r>
              <w:rPr>
                <w:rFonts w:hint="default" w:ascii="Times New Roman Regular" w:hAnsi="Times New Roman Regular" w:eastAsia="新宋体" w:cs="Times New Roman Regular"/>
                <w:color w:val="auto"/>
                <w:sz w:val="30"/>
                <w:szCs w:val="30"/>
                <w:lang w:val="en-US" w:eastAsia="zh-Hans"/>
              </w:rPr>
              <w:t>机电设备制造</w:t>
            </w:r>
            <w:r>
              <w:rPr>
                <w:rFonts w:hint="default" w:ascii="Times New Roman Regular" w:hAnsi="Times New Roman Regular" w:eastAsia="新宋体" w:cs="Times New Roman Regular"/>
                <w:color w:val="auto"/>
                <w:sz w:val="30"/>
                <w:szCs w:val="30"/>
              </w:rPr>
              <w:t>项目</w:t>
            </w:r>
          </w:p>
        </w:tc>
      </w:tr>
      <w:tr>
        <w:tblPrEx>
          <w:tblCellMar>
            <w:top w:w="0" w:type="dxa"/>
            <w:left w:w="108" w:type="dxa"/>
            <w:bottom w:w="0" w:type="dxa"/>
            <w:right w:w="108" w:type="dxa"/>
          </w:tblCellMar>
        </w:tblPrEx>
        <w:trPr>
          <w:jc w:val="center"/>
        </w:trPr>
        <w:tc>
          <w:tcPr>
            <w:tcW w:w="2864" w:type="dxa"/>
            <w:tcBorders>
              <w:right w:val="nil"/>
            </w:tcBorders>
          </w:tcPr>
          <w:p>
            <w:pPr>
              <w:spacing w:before="120"/>
              <w:jc w:val="center"/>
              <w:rPr>
                <w:rFonts w:hint="default" w:ascii="Times New Roman Regular" w:hAnsi="Times New Roman Regular" w:cs="Times New Roman Regular"/>
                <w:color w:val="auto"/>
                <w:sz w:val="28"/>
                <w:szCs w:val="28"/>
              </w:rPr>
            </w:pPr>
            <w:r>
              <w:rPr>
                <w:rFonts w:hint="default" w:ascii="Times New Roman Regular" w:hAnsi="Times New Roman Regular" w:cs="Times New Roman Regular"/>
                <w:color w:val="auto"/>
                <w:sz w:val="28"/>
                <w:szCs w:val="28"/>
              </w:rPr>
              <w:t>建设单位（盖章）</w:t>
            </w:r>
          </w:p>
        </w:tc>
        <w:tc>
          <w:tcPr>
            <w:tcW w:w="5148" w:type="dxa"/>
            <w:tcBorders>
              <w:top w:val="single" w:color="auto" w:sz="4" w:space="0"/>
              <w:left w:val="nil"/>
              <w:bottom w:val="single" w:color="auto" w:sz="4" w:space="0"/>
              <w:right w:val="nil"/>
            </w:tcBorders>
          </w:tcPr>
          <w:p>
            <w:pPr>
              <w:autoSpaceDE w:val="0"/>
              <w:autoSpaceDN w:val="0"/>
              <w:spacing w:before="120"/>
              <w:jc w:val="center"/>
              <w:rPr>
                <w:rFonts w:hint="default" w:ascii="Times New Roman Regular" w:hAnsi="Times New Roman Regular" w:cs="Times New Roman Regular"/>
                <w:color w:val="auto"/>
                <w:sz w:val="28"/>
              </w:rPr>
            </w:pPr>
            <w:r>
              <w:rPr>
                <w:rFonts w:hint="default" w:ascii="Times New Roman Regular" w:hAnsi="Times New Roman Regular" w:eastAsia="新宋体" w:cs="Times New Roman Regular"/>
                <w:color w:val="auto"/>
                <w:sz w:val="30"/>
                <w:szCs w:val="30"/>
              </w:rPr>
              <w:t>福建欧玛克智能科技有限公司</w:t>
            </w:r>
          </w:p>
        </w:tc>
      </w:tr>
      <w:tr>
        <w:tblPrEx>
          <w:tblCellMar>
            <w:top w:w="0" w:type="dxa"/>
            <w:left w:w="108" w:type="dxa"/>
            <w:bottom w:w="0" w:type="dxa"/>
            <w:right w:w="108" w:type="dxa"/>
          </w:tblCellMar>
        </w:tblPrEx>
        <w:trPr>
          <w:jc w:val="center"/>
        </w:trPr>
        <w:tc>
          <w:tcPr>
            <w:tcW w:w="2864" w:type="dxa"/>
            <w:tcBorders>
              <w:right w:val="nil"/>
            </w:tcBorders>
          </w:tcPr>
          <w:p>
            <w:pPr>
              <w:spacing w:before="120"/>
              <w:jc w:val="center"/>
              <w:rPr>
                <w:rFonts w:hint="default" w:ascii="Times New Roman Regular" w:hAnsi="Times New Roman Regular" w:cs="Times New Roman Regular"/>
                <w:color w:val="auto"/>
                <w:sz w:val="28"/>
                <w:szCs w:val="28"/>
              </w:rPr>
            </w:pPr>
            <w:r>
              <w:rPr>
                <w:rFonts w:hint="default" w:ascii="Times New Roman Regular" w:hAnsi="Times New Roman Regular" w:cs="Times New Roman Regular"/>
                <w:color w:val="auto"/>
                <w:sz w:val="28"/>
                <w:szCs w:val="28"/>
                <w:lang w:val="en-GB"/>
              </w:rPr>
              <mc:AlternateContent>
                <mc:Choice Requires="wps">
                  <w:drawing>
                    <wp:anchor distT="0" distB="0" distL="114300" distR="114300" simplePos="0" relativeHeight="252073984" behindDoc="0" locked="0" layoutInCell="0" allowOverlap="1">
                      <wp:simplePos x="0" y="0"/>
                      <wp:positionH relativeFrom="column">
                        <wp:posOffset>2222500</wp:posOffset>
                      </wp:positionH>
                      <wp:positionV relativeFrom="paragraph">
                        <wp:posOffset>-1270</wp:posOffset>
                      </wp:positionV>
                      <wp:extent cx="635" cy="0"/>
                      <wp:effectExtent l="12700" t="11430" r="24765" b="26670"/>
                      <wp:wrapNone/>
                      <wp:docPr id="14" name="Straight Connector 14"/>
                      <wp:cNvGraphicFramePr/>
                      <a:graphic xmlns:a="http://schemas.openxmlformats.org/drawingml/2006/main">
                        <a:graphicData uri="http://schemas.microsoft.com/office/word/2010/wordprocessingShape">
                          <wps:wsp>
                            <wps:cNvCnPr>
                              <a:cxnSpLocks noChangeShapeType="1"/>
                            </wps:cNvCnPr>
                            <wps:spPr bwMode="auto">
                              <a:xfrm>
                                <a:off x="0" y="0"/>
                                <a:ext cx="635" cy="0"/>
                              </a:xfrm>
                              <a:prstGeom prst="line">
                                <a:avLst/>
                              </a:prstGeom>
                              <a:noFill/>
                              <a:ln w="9525">
                                <a:solidFill>
                                  <a:srgbClr val="000000"/>
                                </a:solidFill>
                                <a:round/>
                              </a:ln>
                            </wps:spPr>
                            <wps:bodyPr/>
                          </wps:wsp>
                        </a:graphicData>
                      </a:graphic>
                    </wp:anchor>
                  </w:drawing>
                </mc:Choice>
                <mc:Fallback>
                  <w:pict>
                    <v:line id="Straight Connector 14" o:spid="_x0000_s1026" o:spt="20" style="position:absolute;left:0pt;margin-left:175pt;margin-top:-0.1pt;height:0pt;width:0.05pt;z-index:252073984;mso-width-relative:page;mso-height-relative:page;" filled="f" stroked="t" coordsize="21600,21600" o:allowincell="f" o:gfxdata="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AerI6zTAAAABwEAAA8AAAAAAAAAAQAgAAAAIgAAAGRy&#10;cy9kb3ducmV2LnhtbFBLAQIUABQAAAAIAIdO4kDOlreY0QEAAKsDAAAOAAAAAAAAAAEAIAAAACIB&#10;AABkcnMvZTJvRG9jLnhtbFBLBQYAAAAABgAGAFkBAABlBQAAAAA=&#10;">
                      <v:fill on="f" focussize="0,0"/>
                      <v:stroke color="#000000" joinstyle="round"/>
                      <v:imagedata o:title=""/>
                      <o:lock v:ext="edit" aspectratio="f"/>
                    </v:line>
                  </w:pict>
                </mc:Fallback>
              </mc:AlternateContent>
            </w:r>
            <w:r>
              <w:rPr>
                <w:rFonts w:hint="default" w:ascii="Times New Roman Regular" w:hAnsi="Times New Roman Regular" w:cs="Times New Roman Regular"/>
                <w:color w:val="auto"/>
                <w:sz w:val="28"/>
                <w:szCs w:val="28"/>
              </w:rPr>
              <w:t>法  人  代  表</w:t>
            </w:r>
          </w:p>
        </w:tc>
        <w:tc>
          <w:tcPr>
            <w:tcW w:w="5148" w:type="dxa"/>
            <w:tcBorders>
              <w:top w:val="single" w:color="auto" w:sz="4" w:space="0"/>
              <w:left w:val="nil"/>
              <w:bottom w:val="single" w:color="auto" w:sz="4" w:space="0"/>
              <w:right w:val="nil"/>
            </w:tcBorders>
          </w:tcPr>
          <w:p>
            <w:pPr>
              <w:autoSpaceDE w:val="0"/>
              <w:autoSpaceDN w:val="0"/>
              <w:spacing w:before="120"/>
              <w:jc w:val="center"/>
              <w:rPr>
                <w:rFonts w:hint="default" w:ascii="Times New Roman Regular" w:hAnsi="Times New Roman Regular" w:eastAsia="KaiTi_GB2312" w:cs="Times New Roman Regular"/>
                <w:color w:val="auto"/>
                <w:lang w:val="en-US" w:eastAsia="zh-Hans"/>
              </w:rPr>
            </w:pPr>
            <w:r>
              <w:rPr>
                <w:rFonts w:hint="default" w:ascii="Times New Roman Regular" w:hAnsi="Times New Roman Regular" w:eastAsia="新宋体" w:cs="Times New Roman Regular"/>
                <w:color w:val="auto"/>
                <w:sz w:val="30"/>
                <w:szCs w:val="30"/>
                <w:lang w:val="en-US" w:eastAsia="zh-Hans"/>
              </w:rPr>
              <w:t>张杨华</w:t>
            </w:r>
          </w:p>
        </w:tc>
      </w:tr>
      <w:tr>
        <w:tblPrEx>
          <w:tblCellMar>
            <w:top w:w="0" w:type="dxa"/>
            <w:left w:w="108" w:type="dxa"/>
            <w:bottom w:w="0" w:type="dxa"/>
            <w:right w:w="108" w:type="dxa"/>
          </w:tblCellMar>
        </w:tblPrEx>
        <w:trPr>
          <w:jc w:val="center"/>
        </w:trPr>
        <w:tc>
          <w:tcPr>
            <w:tcW w:w="2864" w:type="dxa"/>
          </w:tcPr>
          <w:p>
            <w:pPr>
              <w:spacing w:before="120"/>
              <w:jc w:val="center"/>
              <w:rPr>
                <w:rFonts w:hint="default" w:ascii="Times New Roman Regular" w:hAnsi="Times New Roman Regular" w:cs="Times New Roman Regular"/>
                <w:color w:val="auto"/>
                <w:sz w:val="28"/>
                <w:szCs w:val="28"/>
              </w:rPr>
            </w:pPr>
            <w:r>
              <w:rPr>
                <w:rFonts w:hint="default" w:ascii="Times New Roman Regular" w:hAnsi="Times New Roman Regular" w:cs="Times New Roman Regular"/>
                <w:color w:val="auto"/>
                <w:sz w:val="28"/>
                <w:szCs w:val="28"/>
              </w:rPr>
              <w:t>（盖章或签字）</w:t>
            </w:r>
          </w:p>
        </w:tc>
        <w:tc>
          <w:tcPr>
            <w:tcW w:w="5148" w:type="dxa"/>
            <w:tcBorders>
              <w:top w:val="single" w:color="auto" w:sz="4" w:space="0"/>
            </w:tcBorders>
          </w:tcPr>
          <w:p>
            <w:pPr>
              <w:autoSpaceDE w:val="0"/>
              <w:autoSpaceDN w:val="0"/>
              <w:spacing w:before="120"/>
              <w:ind w:firstLine="480"/>
              <w:jc w:val="center"/>
              <w:rPr>
                <w:rFonts w:hint="default" w:ascii="Times New Roman Regular" w:hAnsi="Times New Roman Regular" w:eastAsia="KaiTi_GB2312" w:cs="Times New Roman Regular"/>
                <w:color w:val="auto"/>
              </w:rPr>
            </w:pPr>
          </w:p>
        </w:tc>
      </w:tr>
      <w:tr>
        <w:tblPrEx>
          <w:tblCellMar>
            <w:top w:w="0" w:type="dxa"/>
            <w:left w:w="108" w:type="dxa"/>
            <w:bottom w:w="0" w:type="dxa"/>
            <w:right w:w="108" w:type="dxa"/>
          </w:tblCellMar>
        </w:tblPrEx>
        <w:trPr>
          <w:jc w:val="center"/>
        </w:trPr>
        <w:tc>
          <w:tcPr>
            <w:tcW w:w="2864" w:type="dxa"/>
          </w:tcPr>
          <w:p>
            <w:pPr>
              <w:spacing w:before="120"/>
              <w:jc w:val="center"/>
              <w:rPr>
                <w:rFonts w:hint="default" w:ascii="Times New Roman Regular" w:hAnsi="Times New Roman Regular" w:cs="Times New Roman Regular"/>
                <w:color w:val="auto"/>
                <w:sz w:val="28"/>
                <w:szCs w:val="28"/>
              </w:rPr>
            </w:pPr>
            <w:r>
              <w:rPr>
                <w:rFonts w:hint="default" w:ascii="Times New Roman Regular" w:hAnsi="Times New Roman Regular" w:cs="Times New Roman Regular"/>
                <w:color w:val="auto"/>
                <w:sz w:val="28"/>
                <w:szCs w:val="28"/>
              </w:rPr>
              <w:t>联    系    人</w:t>
            </w:r>
          </w:p>
        </w:tc>
        <w:tc>
          <w:tcPr>
            <w:tcW w:w="5148" w:type="dxa"/>
            <w:tcBorders>
              <w:bottom w:val="single" w:color="auto" w:sz="4" w:space="0"/>
            </w:tcBorders>
          </w:tcPr>
          <w:p>
            <w:pPr>
              <w:autoSpaceDE w:val="0"/>
              <w:autoSpaceDN w:val="0"/>
              <w:spacing w:before="120"/>
              <w:jc w:val="center"/>
              <w:rPr>
                <w:rFonts w:hint="default" w:ascii="Times New Roman Regular" w:hAnsi="Times New Roman Regular" w:eastAsia="新宋体" w:cs="Times New Roman Regular"/>
                <w:color w:val="auto"/>
                <w:sz w:val="30"/>
                <w:szCs w:val="30"/>
                <w:lang w:val="en-US" w:eastAsia="zh-Hans"/>
              </w:rPr>
            </w:pPr>
            <w:r>
              <w:rPr>
                <w:rFonts w:hint="default" w:ascii="Times New Roman Regular" w:hAnsi="Times New Roman Regular" w:eastAsia="新宋体" w:cs="Times New Roman Regular"/>
                <w:color w:val="auto"/>
                <w:sz w:val="30"/>
                <w:szCs w:val="30"/>
                <w:lang w:val="en-US" w:eastAsia="zh-Hans"/>
              </w:rPr>
              <w:t>张杨华</w:t>
            </w:r>
          </w:p>
        </w:tc>
      </w:tr>
      <w:tr>
        <w:tblPrEx>
          <w:tblCellMar>
            <w:top w:w="0" w:type="dxa"/>
            <w:left w:w="108" w:type="dxa"/>
            <w:bottom w:w="0" w:type="dxa"/>
            <w:right w:w="108" w:type="dxa"/>
          </w:tblCellMar>
        </w:tblPrEx>
        <w:trPr>
          <w:jc w:val="center"/>
        </w:trPr>
        <w:tc>
          <w:tcPr>
            <w:tcW w:w="2864" w:type="dxa"/>
          </w:tcPr>
          <w:p>
            <w:pPr>
              <w:spacing w:before="120"/>
              <w:jc w:val="center"/>
              <w:rPr>
                <w:rFonts w:hint="default" w:ascii="Times New Roman Regular" w:hAnsi="Times New Roman Regular" w:cs="Times New Roman Regular"/>
                <w:color w:val="auto"/>
                <w:sz w:val="28"/>
                <w:szCs w:val="28"/>
              </w:rPr>
            </w:pPr>
            <w:r>
              <w:rPr>
                <w:rFonts w:hint="default" w:ascii="Times New Roman Regular" w:hAnsi="Times New Roman Regular" w:cs="Times New Roman Regular"/>
                <w:color w:val="auto"/>
                <w:sz w:val="28"/>
                <w:szCs w:val="28"/>
              </w:rPr>
              <w:t>联  系  电  话</w:t>
            </w:r>
          </w:p>
        </w:tc>
        <w:tc>
          <w:tcPr>
            <w:tcW w:w="5148" w:type="dxa"/>
            <w:tcBorders>
              <w:top w:val="single" w:color="auto" w:sz="4" w:space="0"/>
              <w:bottom w:val="single" w:color="auto" w:sz="4" w:space="0"/>
            </w:tcBorders>
          </w:tcPr>
          <w:p>
            <w:pPr>
              <w:autoSpaceDE w:val="0"/>
              <w:autoSpaceDN w:val="0"/>
              <w:spacing w:before="120"/>
              <w:jc w:val="center"/>
              <w:rPr>
                <w:rFonts w:hint="default" w:ascii="Times New Roman Regular" w:hAnsi="Times New Roman Regular" w:eastAsia="新宋体" w:cs="Times New Roman Regular"/>
                <w:color w:val="auto"/>
                <w:sz w:val="30"/>
                <w:szCs w:val="30"/>
              </w:rPr>
            </w:pPr>
            <w:r>
              <w:rPr>
                <w:rFonts w:hint="default" w:ascii="Times New Roman Regular" w:hAnsi="Times New Roman Regular" w:eastAsia="新宋体" w:cs="Times New Roman Regular"/>
                <w:color w:val="auto"/>
                <w:sz w:val="30"/>
                <w:szCs w:val="30"/>
              </w:rPr>
              <w:t>13906928939</w:t>
            </w:r>
          </w:p>
        </w:tc>
      </w:tr>
      <w:tr>
        <w:tblPrEx>
          <w:tblCellMar>
            <w:top w:w="0" w:type="dxa"/>
            <w:left w:w="108" w:type="dxa"/>
            <w:bottom w:w="0" w:type="dxa"/>
            <w:right w:w="108" w:type="dxa"/>
          </w:tblCellMar>
        </w:tblPrEx>
        <w:trPr>
          <w:jc w:val="center"/>
        </w:trPr>
        <w:tc>
          <w:tcPr>
            <w:tcW w:w="2864" w:type="dxa"/>
          </w:tcPr>
          <w:p>
            <w:pPr>
              <w:spacing w:before="120"/>
              <w:jc w:val="center"/>
              <w:rPr>
                <w:rFonts w:hint="default" w:ascii="Times New Roman Regular" w:hAnsi="Times New Roman Regular" w:cs="Times New Roman Regular"/>
                <w:color w:val="auto"/>
                <w:sz w:val="28"/>
                <w:szCs w:val="28"/>
              </w:rPr>
            </w:pPr>
            <w:r>
              <w:rPr>
                <w:rFonts w:hint="default" w:ascii="Times New Roman Regular" w:hAnsi="Times New Roman Regular" w:cs="Times New Roman Regular"/>
                <w:color w:val="auto"/>
                <w:sz w:val="28"/>
                <w:szCs w:val="28"/>
              </w:rPr>
              <w:t>邮  政  编  码</w:t>
            </w:r>
          </w:p>
        </w:tc>
        <w:tc>
          <w:tcPr>
            <w:tcW w:w="5148" w:type="dxa"/>
            <w:tcBorders>
              <w:top w:val="single" w:color="auto" w:sz="4" w:space="0"/>
              <w:bottom w:val="single" w:color="auto" w:sz="4" w:space="0"/>
            </w:tcBorders>
          </w:tcPr>
          <w:p>
            <w:pPr>
              <w:autoSpaceDE w:val="0"/>
              <w:autoSpaceDN w:val="0"/>
              <w:spacing w:before="120"/>
              <w:jc w:val="center"/>
              <w:rPr>
                <w:rFonts w:hint="default" w:ascii="Times New Roman Regular" w:hAnsi="Times New Roman Regular" w:eastAsia="新宋体" w:cs="Times New Roman Regular"/>
                <w:color w:val="auto"/>
                <w:sz w:val="30"/>
                <w:szCs w:val="30"/>
              </w:rPr>
            </w:pPr>
            <w:r>
              <w:rPr>
                <w:rFonts w:hint="default" w:ascii="Times New Roman Regular" w:hAnsi="Times New Roman Regular" w:eastAsia="新宋体" w:cs="Times New Roman Regular"/>
                <w:color w:val="auto"/>
                <w:sz w:val="30"/>
                <w:szCs w:val="30"/>
              </w:rPr>
              <w:t>350019</w:t>
            </w:r>
          </w:p>
        </w:tc>
      </w:tr>
    </w:tbl>
    <w:p>
      <w:pPr>
        <w:ind w:firstLine="600"/>
        <w:rPr>
          <w:rFonts w:hint="default" w:ascii="Times New Roman Regular" w:hAnsi="Times New Roman Regular" w:cs="Times New Roman Regular"/>
          <w:color w:val="FF0000"/>
          <w:sz w:val="30"/>
          <w:u w:val="single"/>
        </w:rPr>
      </w:pPr>
    </w:p>
    <w:p>
      <w:pPr>
        <w:ind w:left="525" w:firstLine="600"/>
        <w:rPr>
          <w:rFonts w:hint="default" w:ascii="Times New Roman Regular" w:hAnsi="Times New Roman Regular" w:cs="Times New Roman Regular"/>
          <w:color w:val="FF0000"/>
          <w:sz w:val="30"/>
          <w:u w:val="single"/>
        </w:rPr>
      </w:pPr>
    </w:p>
    <w:p>
      <w:pPr>
        <w:ind w:left="525" w:firstLine="600"/>
        <w:rPr>
          <w:rFonts w:hint="default" w:ascii="Times New Roman Regular" w:hAnsi="Times New Roman Regular" w:cs="Times New Roman Regular"/>
          <w:color w:val="FF0000"/>
          <w:sz w:val="30"/>
          <w:u w:val="single"/>
        </w:rPr>
      </w:pP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5"/>
        <w:gridCol w:w="2625"/>
        <w:gridCol w:w="2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7" w:hRule="atLeast"/>
          <w:jc w:val="center"/>
        </w:trPr>
        <w:tc>
          <w:tcPr>
            <w:tcW w:w="2205" w:type="dxa"/>
            <w:vMerge w:val="restart"/>
            <w:vAlign w:val="center"/>
          </w:tcPr>
          <w:p>
            <w:pPr>
              <w:pStyle w:val="20"/>
              <w:spacing w:line="240" w:lineRule="auto"/>
              <w:jc w:val="center"/>
              <w:rPr>
                <w:rFonts w:hint="default" w:ascii="Times New Roman Regular" w:hAnsi="Times New Roman Regular" w:eastAsia="宋体" w:cs="Times New Roman Regular"/>
                <w:color w:val="auto"/>
              </w:rPr>
            </w:pPr>
            <w:r>
              <w:rPr>
                <w:rFonts w:hint="default" w:ascii="Times New Roman Regular" w:hAnsi="Times New Roman Regular" w:eastAsia="宋体" w:cs="Times New Roman Regular"/>
                <w:color w:val="auto"/>
                <w:sz w:val="28"/>
              </w:rPr>
              <w:t>环保部门填写</w:t>
            </w:r>
          </w:p>
        </w:tc>
        <w:tc>
          <w:tcPr>
            <w:tcW w:w="2625" w:type="dxa"/>
            <w:vAlign w:val="center"/>
          </w:tcPr>
          <w:p>
            <w:pPr>
              <w:pStyle w:val="20"/>
              <w:spacing w:line="240" w:lineRule="auto"/>
              <w:jc w:val="center"/>
              <w:rPr>
                <w:rFonts w:hint="default" w:ascii="Times New Roman Regular" w:hAnsi="Times New Roman Regular" w:eastAsia="宋体" w:cs="Times New Roman Regular"/>
                <w:color w:val="auto"/>
                <w:sz w:val="28"/>
              </w:rPr>
            </w:pPr>
            <w:r>
              <w:rPr>
                <w:rFonts w:hint="default" w:ascii="Times New Roman Regular" w:hAnsi="Times New Roman Regular" w:eastAsia="宋体" w:cs="Times New Roman Regular"/>
                <w:color w:val="auto"/>
                <w:sz w:val="28"/>
              </w:rPr>
              <w:t>收到报告表日期</w:t>
            </w:r>
          </w:p>
        </w:tc>
        <w:tc>
          <w:tcPr>
            <w:tcW w:w="2520" w:type="dxa"/>
          </w:tcPr>
          <w:p>
            <w:pPr>
              <w:ind w:left="525" w:firstLine="560"/>
              <w:jc w:val="center"/>
              <w:rPr>
                <w:rFonts w:hint="default" w:ascii="Times New Roman Regular" w:hAnsi="Times New Roman Regular" w:cs="Times New Roman Regular"/>
                <w:color w:val="auto"/>
                <w:sz w:val="28"/>
                <w:szCs w:val="28"/>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3" w:hRule="atLeast"/>
          <w:jc w:val="center"/>
        </w:trPr>
        <w:tc>
          <w:tcPr>
            <w:tcW w:w="2205" w:type="dxa"/>
            <w:vMerge w:val="continue"/>
            <w:vAlign w:val="center"/>
          </w:tcPr>
          <w:p>
            <w:pPr>
              <w:ind w:left="525" w:firstLine="560"/>
              <w:jc w:val="center"/>
              <w:rPr>
                <w:rFonts w:hint="default" w:ascii="Times New Roman Regular" w:hAnsi="Times New Roman Regular" w:cs="Times New Roman Regular"/>
                <w:color w:val="auto"/>
                <w:sz w:val="28"/>
                <w:szCs w:val="28"/>
              </w:rPr>
            </w:pPr>
          </w:p>
        </w:tc>
        <w:tc>
          <w:tcPr>
            <w:tcW w:w="2625" w:type="dxa"/>
            <w:vAlign w:val="center"/>
          </w:tcPr>
          <w:p>
            <w:pPr>
              <w:pStyle w:val="20"/>
              <w:spacing w:line="240" w:lineRule="auto"/>
              <w:jc w:val="center"/>
              <w:rPr>
                <w:rFonts w:hint="default" w:ascii="Times New Roman Regular" w:hAnsi="Times New Roman Regular" w:eastAsia="宋体" w:cs="Times New Roman Regular"/>
                <w:color w:val="auto"/>
                <w:sz w:val="28"/>
              </w:rPr>
            </w:pPr>
            <w:r>
              <w:rPr>
                <w:rFonts w:hint="default" w:ascii="Times New Roman Regular" w:hAnsi="Times New Roman Regular" w:eastAsia="宋体" w:cs="Times New Roman Regular"/>
                <w:color w:val="auto"/>
                <w:sz w:val="28"/>
              </w:rPr>
              <w:t>编    号</w:t>
            </w:r>
          </w:p>
        </w:tc>
        <w:tc>
          <w:tcPr>
            <w:tcW w:w="2520" w:type="dxa"/>
          </w:tcPr>
          <w:p>
            <w:pPr>
              <w:ind w:left="525" w:firstLine="560"/>
              <w:jc w:val="center"/>
              <w:rPr>
                <w:rFonts w:hint="default" w:ascii="Times New Roman Regular" w:hAnsi="Times New Roman Regular" w:cs="Times New Roman Regular"/>
                <w:color w:val="auto"/>
                <w:sz w:val="28"/>
                <w:szCs w:val="28"/>
                <w:u w:val="single"/>
              </w:rPr>
            </w:pPr>
          </w:p>
        </w:tc>
      </w:tr>
    </w:tbl>
    <w:p>
      <w:pPr>
        <w:ind w:left="525" w:firstLine="600"/>
        <w:rPr>
          <w:rFonts w:hint="default" w:ascii="Times New Roman Regular" w:hAnsi="Times New Roman Regular" w:cs="Times New Roman Regular"/>
          <w:color w:val="auto"/>
          <w:sz w:val="32"/>
        </w:rPr>
      </w:pPr>
      <w:r>
        <w:rPr>
          <w:rFonts w:hint="default" w:ascii="Times New Roman Regular" w:hAnsi="Times New Roman Regular" w:cs="Times New Roman Regular"/>
          <w:color w:val="auto"/>
          <w:sz w:val="30"/>
        </w:rPr>
        <w:t xml:space="preserve">         </w:t>
      </w:r>
    </w:p>
    <w:p>
      <w:pPr>
        <w:bidi w:val="0"/>
        <w:jc w:val="center"/>
        <w:rPr>
          <w:rFonts w:hint="default"/>
          <w:sz w:val="28"/>
          <w:szCs w:val="28"/>
        </w:rPr>
      </w:pPr>
      <w:r>
        <w:rPr>
          <w:rFonts w:hint="default"/>
          <w:sz w:val="28"/>
          <w:szCs w:val="28"/>
        </w:rPr>
        <w:t>福 建 省 生 态 环 境 厅</w:t>
      </w:r>
    </w:p>
    <w:p>
      <w:pPr>
        <w:pStyle w:val="157"/>
        <w:tabs>
          <w:tab w:val="right" w:leader="dot" w:pos="8590"/>
        </w:tabs>
      </w:pPr>
    </w:p>
    <w:p>
      <w:pPr>
        <w:spacing w:before="163" w:beforeLines="50"/>
        <w:jc w:val="center"/>
        <w:rPr>
          <w:rFonts w:hint="default" w:ascii="Times New Roman Regular" w:hAnsi="Times New Roman Regular" w:cs="Times New Roman Regular"/>
          <w:color w:val="FF0000"/>
          <w:sz w:val="32"/>
        </w:rPr>
      </w:pPr>
      <w:r>
        <w:rPr>
          <w:rFonts w:hint="default" w:ascii="Times New Roman Regular" w:hAnsi="Times New Roman Regular" w:cs="Times New Roman Regular"/>
          <w:color w:val="FF0000"/>
          <w:sz w:val="32"/>
        </w:rPr>
        <w:br w:type="page"/>
      </w:r>
    </w:p>
    <w:p>
      <w:pPr>
        <w:bidi w:val="0"/>
        <w:jc w:val="center"/>
        <w:rPr>
          <w:rFonts w:hint="default"/>
          <w:sz w:val="32"/>
          <w:szCs w:val="32"/>
        </w:rPr>
      </w:pPr>
      <w:bookmarkStart w:id="0" w:name="_Toc439352818_WPSOffice_Level1"/>
      <w:bookmarkStart w:id="1" w:name="_Toc217950063_WPSOffice_Level1"/>
      <w:r>
        <w:rPr>
          <w:rFonts w:hint="eastAsia" w:eastAsia="宋体"/>
          <w:sz w:val="32"/>
          <w:szCs w:val="32"/>
          <w:lang w:eastAsia="zh-CN"/>
        </w:rPr>
        <w:drawing>
          <wp:anchor distT="0" distB="0" distL="114300" distR="114300" simplePos="0" relativeHeight="254772224" behindDoc="1" locked="0" layoutInCell="1" allowOverlap="1">
            <wp:simplePos x="0" y="0"/>
            <wp:positionH relativeFrom="column">
              <wp:posOffset>-1140460</wp:posOffset>
            </wp:positionH>
            <wp:positionV relativeFrom="paragraph">
              <wp:posOffset>-914400</wp:posOffset>
            </wp:positionV>
            <wp:extent cx="7515860" cy="10579735"/>
            <wp:effectExtent l="0" t="0" r="8890" b="12065"/>
            <wp:wrapNone/>
            <wp:docPr id="15" name="图片 15" descr="4e6c6164a4867cc82662516b31b7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4e6c6164a4867cc82662516b31b7cf0"/>
                    <pic:cNvPicPr>
                      <a:picLocks noChangeAspect="1"/>
                    </pic:cNvPicPr>
                  </pic:nvPicPr>
                  <pic:blipFill>
                    <a:blip r:embed="rId7"/>
                    <a:stretch>
                      <a:fillRect/>
                    </a:stretch>
                  </pic:blipFill>
                  <pic:spPr>
                    <a:xfrm>
                      <a:off x="0" y="0"/>
                      <a:ext cx="7515860" cy="10579735"/>
                    </a:xfrm>
                    <a:prstGeom prst="rect">
                      <a:avLst/>
                    </a:prstGeom>
                  </pic:spPr>
                </pic:pic>
              </a:graphicData>
            </a:graphic>
          </wp:anchor>
        </w:drawing>
      </w: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eastAsia" w:eastAsia="宋体"/>
          <w:sz w:val="32"/>
          <w:szCs w:val="32"/>
          <w:lang w:eastAsia="zh-CN"/>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r>
        <w:rPr>
          <w:rFonts w:hint="eastAsia" w:eastAsia="宋体"/>
          <w:sz w:val="32"/>
          <w:szCs w:val="32"/>
          <w:lang w:eastAsia="zh-CN"/>
        </w:rPr>
        <w:drawing>
          <wp:anchor distT="0" distB="0" distL="114300" distR="114300" simplePos="0" relativeHeight="254772224" behindDoc="1" locked="0" layoutInCell="1" allowOverlap="1">
            <wp:simplePos x="0" y="0"/>
            <wp:positionH relativeFrom="column">
              <wp:posOffset>-1143000</wp:posOffset>
            </wp:positionH>
            <wp:positionV relativeFrom="paragraph">
              <wp:posOffset>-894080</wp:posOffset>
            </wp:positionV>
            <wp:extent cx="7546340" cy="10654030"/>
            <wp:effectExtent l="0" t="0" r="16510" b="13970"/>
            <wp:wrapNone/>
            <wp:docPr id="71" name="图片 71" descr="9995bb517bd3e4663af61e50cf035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9995bb517bd3e4663af61e50cf035a9"/>
                    <pic:cNvPicPr>
                      <a:picLocks noChangeAspect="1"/>
                    </pic:cNvPicPr>
                  </pic:nvPicPr>
                  <pic:blipFill>
                    <a:blip r:embed="rId8"/>
                    <a:stretch>
                      <a:fillRect/>
                    </a:stretch>
                  </pic:blipFill>
                  <pic:spPr>
                    <a:xfrm>
                      <a:off x="0" y="0"/>
                      <a:ext cx="7546340" cy="10654030"/>
                    </a:xfrm>
                    <a:prstGeom prst="rect">
                      <a:avLst/>
                    </a:prstGeom>
                  </pic:spPr>
                </pic:pic>
              </a:graphicData>
            </a:graphic>
          </wp:anchor>
        </w:drawing>
      </w: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eastAsia" w:eastAsia="宋体"/>
          <w:sz w:val="32"/>
          <w:szCs w:val="32"/>
          <w:lang w:eastAsia="zh-CN"/>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r>
        <w:rPr>
          <w:rFonts w:hint="eastAsia" w:eastAsia="宋体"/>
          <w:sz w:val="32"/>
          <w:szCs w:val="32"/>
          <w:lang w:eastAsia="zh-CN"/>
        </w:rPr>
        <w:drawing>
          <wp:anchor distT="0" distB="0" distL="114300" distR="114300" simplePos="0" relativeHeight="254772224" behindDoc="1" locked="0" layoutInCell="1" allowOverlap="1">
            <wp:simplePos x="0" y="0"/>
            <wp:positionH relativeFrom="column">
              <wp:posOffset>-1114425</wp:posOffset>
            </wp:positionH>
            <wp:positionV relativeFrom="paragraph">
              <wp:posOffset>-913130</wp:posOffset>
            </wp:positionV>
            <wp:extent cx="7466330" cy="10454005"/>
            <wp:effectExtent l="0" t="0" r="1270" b="4445"/>
            <wp:wrapNone/>
            <wp:docPr id="72" name="图片 72" descr="585fffd42b74c5e026662625c5b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585fffd42b74c5e026662625c5b0434"/>
                    <pic:cNvPicPr>
                      <a:picLocks noChangeAspect="1"/>
                    </pic:cNvPicPr>
                  </pic:nvPicPr>
                  <pic:blipFill>
                    <a:blip r:embed="rId9"/>
                    <a:stretch>
                      <a:fillRect/>
                    </a:stretch>
                  </pic:blipFill>
                  <pic:spPr>
                    <a:xfrm>
                      <a:off x="0" y="0"/>
                      <a:ext cx="7466330" cy="10454005"/>
                    </a:xfrm>
                    <a:prstGeom prst="rect">
                      <a:avLst/>
                    </a:prstGeom>
                  </pic:spPr>
                </pic:pic>
              </a:graphicData>
            </a:graphic>
          </wp:anchor>
        </w:drawing>
      </w: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eastAsia" w:eastAsia="宋体"/>
          <w:sz w:val="32"/>
          <w:szCs w:val="32"/>
          <w:lang w:eastAsia="zh-CN"/>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center"/>
        <w:rPr>
          <w:rFonts w:hint="default"/>
          <w:sz w:val="32"/>
          <w:szCs w:val="32"/>
        </w:rPr>
      </w:pPr>
    </w:p>
    <w:p>
      <w:pPr>
        <w:bidi w:val="0"/>
        <w:jc w:val="both"/>
        <w:rPr>
          <w:rFonts w:hint="default"/>
          <w:sz w:val="32"/>
          <w:szCs w:val="32"/>
        </w:rPr>
      </w:pPr>
    </w:p>
    <w:p>
      <w:pPr>
        <w:bidi w:val="0"/>
        <w:jc w:val="center"/>
        <w:rPr>
          <w:rFonts w:hint="default"/>
          <w:sz w:val="32"/>
          <w:szCs w:val="32"/>
        </w:rPr>
      </w:pPr>
      <w:r>
        <w:rPr>
          <w:rFonts w:hint="default"/>
          <w:sz w:val="32"/>
          <w:szCs w:val="32"/>
        </w:rPr>
        <w:t>填  表  说  明</w:t>
      </w:r>
      <w:bookmarkEnd w:id="0"/>
      <w:bookmarkEnd w:id="1"/>
    </w:p>
    <w:p>
      <w:pPr>
        <w:spacing w:line="480" w:lineRule="exact"/>
        <w:jc w:val="center"/>
        <w:rPr>
          <w:rFonts w:hint="default" w:ascii="Times New Roman Regular" w:hAnsi="Times New Roman Regular" w:cs="Times New Roman Regular"/>
          <w:color w:val="auto"/>
        </w:rPr>
      </w:pPr>
    </w:p>
    <w:p>
      <w:pP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1、本表适用于可能对环境造成轻度影响的</w:t>
      </w:r>
      <w:r>
        <w:rPr>
          <w:rFonts w:hint="default" w:ascii="Times New Roman Regular" w:hAnsi="Times New Roman Regular" w:cs="Times New Roman Regular"/>
          <w:color w:val="auto"/>
          <w:lang w:val="en-US" w:eastAsia="zh-Hans"/>
        </w:rPr>
        <w:t>工业型</w:t>
      </w:r>
      <w:r>
        <w:rPr>
          <w:rFonts w:hint="default" w:ascii="Times New Roman Regular" w:hAnsi="Times New Roman Regular" w:cs="Times New Roman Regular"/>
          <w:color w:val="auto"/>
        </w:rPr>
        <w:t>建设项目。</w:t>
      </w:r>
    </w:p>
    <w:p>
      <w:pP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2、本表附以下附件、附图、附表</w:t>
      </w:r>
    </w:p>
    <w:p>
      <w:pPr>
        <w:bidi w:val="0"/>
        <w:rPr>
          <w:rFonts w:hint="default"/>
        </w:rPr>
      </w:pPr>
      <w:bookmarkStart w:id="2" w:name="_Toc2109397655_WPSOffice_Level1"/>
      <w:bookmarkStart w:id="3" w:name="_Toc813437946_WPSOffice_Level1"/>
      <w:r>
        <w:rPr>
          <w:rFonts w:hint="default"/>
        </w:rPr>
        <w:t>附件1  开发环境影响评价委托函</w:t>
      </w:r>
      <w:bookmarkEnd w:id="2"/>
      <w:bookmarkEnd w:id="3"/>
    </w:p>
    <w:p>
      <w:pPr>
        <w:bidi w:val="0"/>
        <w:rPr>
          <w:rFonts w:hint="default"/>
        </w:rPr>
      </w:pPr>
      <w:bookmarkStart w:id="4" w:name="_Toc570661620_WPSOffice_Level1"/>
      <w:bookmarkStart w:id="5" w:name="_Toc1986342909_WPSOffice_Level1"/>
      <w:r>
        <w:rPr>
          <w:rFonts w:hint="default"/>
        </w:rPr>
        <w:t>附件2  其它与项目环评有关的文件、资料</w:t>
      </w:r>
      <w:bookmarkEnd w:id="4"/>
      <w:bookmarkEnd w:id="5"/>
      <w:r>
        <w:rPr>
          <w:rFonts w:hint="default"/>
        </w:rPr>
        <w:t xml:space="preserve"> </w:t>
      </w:r>
    </w:p>
    <w:p>
      <w:pP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附图1 项目地理位置图：比例尺1:50000，应反映行政区划、水系，标明纳污口位置和地形地貌等。</w:t>
      </w:r>
    </w:p>
    <w:p>
      <w:pP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附图2 项目周边环境示意图</w:t>
      </w:r>
    </w:p>
    <w:p>
      <w:pPr>
        <w:bidi w:val="0"/>
        <w:rPr>
          <w:rFonts w:hint="default"/>
        </w:rPr>
      </w:pPr>
      <w:bookmarkStart w:id="6" w:name="_Toc2109397655_WPSOffice_Level2"/>
      <w:bookmarkStart w:id="7" w:name="_Toc447879838_WPSOffice_Level1"/>
      <w:r>
        <w:rPr>
          <w:rFonts w:hint="default"/>
        </w:rPr>
        <w:t>附表1 建设项目环评审批基础信息表</w:t>
      </w:r>
      <w:bookmarkEnd w:id="6"/>
      <w:bookmarkEnd w:id="7"/>
    </w:p>
    <w:p>
      <w:pP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3、如果本报告表不能说明项目产生的污染对环境造成的影响，应进行专项评价。由环境保护行政主管部门根据建设项目特点和当地环境特征，确定选择下列1-2项进行专项评价。</w:t>
      </w:r>
    </w:p>
    <w:p>
      <w:pPr>
        <w:bidi w:val="0"/>
        <w:rPr>
          <w:rFonts w:hint="default"/>
        </w:rPr>
      </w:pPr>
      <w:r>
        <w:rPr>
          <w:rFonts w:hint="default"/>
        </w:rPr>
        <w:t xml:space="preserve">        </w:t>
      </w:r>
      <w:bookmarkStart w:id="8" w:name="_Toc586254531_WPSOffice_Level1"/>
      <w:bookmarkStart w:id="9" w:name="_Toc1986342909_WPSOffice_Level2"/>
      <w:r>
        <w:rPr>
          <w:rFonts w:hint="default"/>
        </w:rPr>
        <w:t>（1）大气环境影响专项评价</w:t>
      </w:r>
      <w:bookmarkEnd w:id="8"/>
      <w:bookmarkEnd w:id="9"/>
    </w:p>
    <w:p>
      <w:pPr>
        <w:bidi w:val="0"/>
        <w:rPr>
          <w:rFonts w:hint="default"/>
        </w:rPr>
      </w:pPr>
      <w:r>
        <w:rPr>
          <w:rFonts w:hint="default"/>
        </w:rPr>
        <w:t xml:space="preserve">        </w:t>
      </w:r>
      <w:bookmarkStart w:id="10" w:name="_Toc524930081_WPSOffice_Level1"/>
      <w:bookmarkStart w:id="11" w:name="_Toc1831978948_WPSOffice_Level2"/>
      <w:r>
        <w:rPr>
          <w:rFonts w:hint="default"/>
        </w:rPr>
        <w:t>（2）水环境影响专项评价（包括地表水和地下水）</w:t>
      </w:r>
      <w:bookmarkEnd w:id="10"/>
      <w:bookmarkEnd w:id="11"/>
    </w:p>
    <w:p>
      <w:pPr>
        <w:bidi w:val="0"/>
        <w:rPr>
          <w:rFonts w:hint="default"/>
        </w:rPr>
      </w:pPr>
      <w:r>
        <w:rPr>
          <w:rFonts w:hint="default"/>
        </w:rPr>
        <w:t xml:space="preserve">        </w:t>
      </w:r>
      <w:bookmarkStart w:id="12" w:name="_Toc637049491_WPSOffice_Level1"/>
      <w:bookmarkStart w:id="13" w:name="_Toc1597131997_WPSOffice_Level2"/>
      <w:r>
        <w:rPr>
          <w:rFonts w:hint="default"/>
        </w:rPr>
        <w:t>（3）生态环境影响专项评价</w:t>
      </w:r>
      <w:bookmarkEnd w:id="12"/>
      <w:bookmarkEnd w:id="13"/>
    </w:p>
    <w:p>
      <w:pPr>
        <w:bidi w:val="0"/>
        <w:rPr>
          <w:rFonts w:hint="default"/>
        </w:rPr>
      </w:pPr>
      <w:r>
        <w:rPr>
          <w:rFonts w:hint="default"/>
        </w:rPr>
        <w:t xml:space="preserve">        </w:t>
      </w:r>
      <w:bookmarkStart w:id="14" w:name="_Toc1684814942_WPSOffice_Level1"/>
      <w:bookmarkStart w:id="15" w:name="_Toc1599369726_WPSOffice_Level2"/>
      <w:r>
        <w:rPr>
          <w:rFonts w:hint="default"/>
        </w:rPr>
        <w:t>（4）噪声环境影响专项评价</w:t>
      </w:r>
      <w:bookmarkEnd w:id="14"/>
      <w:bookmarkEnd w:id="15"/>
    </w:p>
    <w:p>
      <w:pPr>
        <w:bidi w:val="0"/>
        <w:rPr>
          <w:rFonts w:hint="default"/>
        </w:rPr>
      </w:pPr>
      <w:r>
        <w:rPr>
          <w:rFonts w:hint="default"/>
        </w:rPr>
        <w:t xml:space="preserve">        </w:t>
      </w:r>
      <w:bookmarkStart w:id="16" w:name="_Toc554175383_WPSOffice_Level2"/>
      <w:bookmarkStart w:id="17" w:name="_Toc2112844499_WPSOffice_Level1"/>
      <w:r>
        <w:rPr>
          <w:rFonts w:hint="default"/>
        </w:rPr>
        <w:t>（5）固体废物环境影响专项评价</w:t>
      </w:r>
      <w:bookmarkEnd w:id="16"/>
      <w:bookmarkEnd w:id="17"/>
    </w:p>
    <w:p>
      <w:pP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 xml:space="preserve">        专项评价工作应按照《环境影响评价技术导则》中的要求进行。</w:t>
      </w:r>
    </w:p>
    <w:p>
      <w:pP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4、本表一式四份，报送件不得复印，经环境保护行政主管部门审查批准后分送有关单位。</w:t>
      </w:r>
    </w:p>
    <w:p>
      <w:pPr>
        <w:rPr>
          <w:rFonts w:hint="default" w:ascii="Times New Roman Regular" w:hAnsi="Times New Roman Regular" w:cs="Times New Roman Regular"/>
          <w:color w:val="auto"/>
        </w:rPr>
      </w:pPr>
      <w:r>
        <w:rPr>
          <w:rFonts w:hint="default" w:ascii="Times New Roman Regular" w:hAnsi="Times New Roman Regular" w:cs="Times New Roman Regular"/>
          <w:color w:val="auto"/>
        </w:rPr>
        <w:br w:type="page"/>
      </w:r>
    </w:p>
    <w:p>
      <w:pPr>
        <w:pStyle w:val="3"/>
        <w:bidi w:val="0"/>
        <w:rPr>
          <w:rFonts w:hint="default"/>
        </w:rPr>
      </w:pPr>
      <w:bookmarkStart w:id="18" w:name="_Toc796866456"/>
      <w:bookmarkStart w:id="19" w:name="_Toc1935391548_WPSOffice_Level1"/>
      <w:bookmarkStart w:id="20" w:name="_Toc47618285"/>
      <w:r>
        <w:rPr>
          <w:rFonts w:hint="default"/>
        </w:rPr>
        <w:t>项目基本情况</w:t>
      </w:r>
      <w:bookmarkEnd w:id="18"/>
      <w:bookmarkEnd w:id="19"/>
      <w:bookmarkEnd w:id="20"/>
    </w:p>
    <w:tbl>
      <w:tblPr>
        <w:tblStyle w:val="36"/>
        <w:tblW w:w="88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34"/>
        <w:gridCol w:w="251"/>
        <w:gridCol w:w="1013"/>
        <w:gridCol w:w="724"/>
        <w:gridCol w:w="1023"/>
        <w:gridCol w:w="310"/>
        <w:gridCol w:w="69"/>
        <w:gridCol w:w="984"/>
        <w:gridCol w:w="333"/>
        <w:gridCol w:w="755"/>
        <w:gridCol w:w="649"/>
        <w:gridCol w:w="14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1276" w:type="dxa"/>
            <w:gridSpan w:val="2"/>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项目名称</w:t>
            </w:r>
          </w:p>
        </w:tc>
        <w:tc>
          <w:tcPr>
            <w:tcW w:w="7604" w:type="dxa"/>
            <w:gridSpan w:val="11"/>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eastAsia" w:ascii="Times New Roman Regular" w:hAnsi="Times New Roman Regular" w:cs="Times New Roman Regular"/>
                <w:color w:val="auto"/>
                <w:sz w:val="24"/>
                <w:szCs w:val="24"/>
                <w:lang w:val="en-US" w:eastAsia="zh-Hans"/>
              </w:rPr>
              <w:t>福建</w:t>
            </w:r>
            <w:r>
              <w:rPr>
                <w:rFonts w:hint="default" w:ascii="Times New Roman Regular" w:hAnsi="Times New Roman Regular" w:cs="Times New Roman Regular"/>
                <w:color w:val="auto"/>
                <w:sz w:val="24"/>
                <w:szCs w:val="24"/>
              </w:rPr>
              <w:t>欧玛克智能科技有限公司</w:t>
            </w:r>
            <w:r>
              <w:rPr>
                <w:rFonts w:hint="eastAsia" w:ascii="Times New Roman Regular" w:hAnsi="Times New Roman Regular" w:cs="Times New Roman Regular"/>
                <w:color w:val="auto"/>
                <w:sz w:val="24"/>
                <w:szCs w:val="24"/>
                <w:lang w:val="en-US" w:eastAsia="zh-Hans"/>
              </w:rPr>
              <w:t>机电设备制造</w:t>
            </w:r>
            <w:r>
              <w:rPr>
                <w:rFonts w:hint="default" w:ascii="Times New Roman Regular" w:hAnsi="Times New Roman Regular" w:cs="Times New Roman Regular"/>
                <w:color w:val="auto"/>
                <w:sz w:val="24"/>
                <w:szCs w:val="24"/>
              </w:rPr>
              <w:t>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1276" w:type="dxa"/>
            <w:gridSpan w:val="2"/>
            <w:vAlign w:val="center"/>
          </w:tcPr>
          <w:p>
            <w:pPr>
              <w:pStyle w:val="135"/>
              <w:spacing w:line="240" w:lineRule="auto"/>
              <w:jc w:val="center"/>
              <w:rPr>
                <w:rFonts w:hint="default" w:ascii="Times New Roman Regular" w:hAnsi="Times New Roman Regular" w:cs="Times New Roman Regular"/>
                <w:color w:val="000000" w:themeColor="text1"/>
                <w:sz w:val="24"/>
                <w:szCs w:val="24"/>
                <w14:textFill>
                  <w14:solidFill>
                    <w14:schemeClr w14:val="tx1"/>
                  </w14:solidFill>
                </w14:textFill>
              </w:rPr>
            </w:pPr>
            <w:r>
              <w:rPr>
                <w:rFonts w:hint="default" w:ascii="Times New Roman Regular" w:hAnsi="Times New Roman Regular" w:cs="Times New Roman Regular"/>
                <w:color w:val="000000" w:themeColor="text1"/>
                <w:sz w:val="24"/>
                <w:szCs w:val="24"/>
                <w14:textFill>
                  <w14:solidFill>
                    <w14:schemeClr w14:val="tx1"/>
                  </w14:solidFill>
                </w14:textFill>
              </w:rPr>
              <w:t>建设单位</w:t>
            </w:r>
          </w:p>
        </w:tc>
        <w:tc>
          <w:tcPr>
            <w:tcW w:w="7604" w:type="dxa"/>
            <w:gridSpan w:val="11"/>
            <w:vAlign w:val="center"/>
          </w:tcPr>
          <w:p>
            <w:pPr>
              <w:pStyle w:val="135"/>
              <w:spacing w:line="240" w:lineRule="auto"/>
              <w:jc w:val="center"/>
              <w:rPr>
                <w:rFonts w:hint="default" w:ascii="Times New Roman Regular" w:hAnsi="Times New Roman Regular" w:cs="Times New Roman Regular"/>
                <w:color w:val="000000" w:themeColor="text1"/>
                <w:sz w:val="24"/>
                <w:szCs w:val="24"/>
                <w14:textFill>
                  <w14:solidFill>
                    <w14:schemeClr w14:val="tx1"/>
                  </w14:solidFill>
                </w14:textFill>
              </w:rPr>
            </w:pPr>
            <w:r>
              <w:rPr>
                <w:rFonts w:hint="default" w:ascii="Times New Roman Regular" w:hAnsi="Times New Roman Regular" w:cs="Times New Roman Regular"/>
                <w:color w:val="000000" w:themeColor="text1"/>
                <w:sz w:val="24"/>
                <w:szCs w:val="24"/>
                <w14:textFill>
                  <w14:solidFill>
                    <w14:schemeClr w14:val="tx1"/>
                  </w14:solidFill>
                </w14:textFill>
              </w:rPr>
              <w:t>福建欧玛克智能科技有限公司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2540" w:type="dxa"/>
            <w:gridSpan w:val="4"/>
            <w:vAlign w:val="center"/>
          </w:tcPr>
          <w:p>
            <w:pPr>
              <w:pStyle w:val="135"/>
              <w:spacing w:line="240" w:lineRule="auto"/>
              <w:jc w:val="center"/>
              <w:rPr>
                <w:rFonts w:hint="default" w:ascii="Times New Roman Regular" w:hAnsi="Times New Roman Regular" w:cs="Times New Roman Regular"/>
                <w:color w:val="000000" w:themeColor="text1"/>
                <w:sz w:val="24"/>
                <w:szCs w:val="24"/>
                <w14:textFill>
                  <w14:solidFill>
                    <w14:schemeClr w14:val="tx1"/>
                  </w14:solidFill>
                </w14:textFill>
              </w:rPr>
            </w:pPr>
            <w:r>
              <w:rPr>
                <w:rFonts w:hint="default" w:ascii="Times New Roman Regular" w:hAnsi="Times New Roman Regular" w:cs="Times New Roman Regular"/>
                <w:color w:val="000000" w:themeColor="text1"/>
                <w:sz w:val="24"/>
                <w:szCs w:val="24"/>
                <w14:textFill>
                  <w14:solidFill>
                    <w14:schemeClr w14:val="tx1"/>
                  </w14:solidFill>
                </w14:textFill>
              </w:rPr>
              <w:t>建设地点（海域）</w:t>
            </w:r>
          </w:p>
        </w:tc>
        <w:tc>
          <w:tcPr>
            <w:tcW w:w="6340" w:type="dxa"/>
            <w:gridSpan w:val="9"/>
            <w:vAlign w:val="center"/>
          </w:tcPr>
          <w:p>
            <w:pPr>
              <w:pStyle w:val="135"/>
              <w:spacing w:line="240" w:lineRule="auto"/>
              <w:jc w:val="center"/>
              <w:rPr>
                <w:rFonts w:hint="default" w:ascii="Times New Roman Regular" w:hAnsi="Times New Roman Regular"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福州市闽侯县青口镇东长路</w:t>
            </w:r>
            <w:r>
              <w:rPr>
                <w:rFonts w:hint="default" w:ascii="Times New Roman Regular" w:hAnsi="Times New Roman Regular" w:cs="Times New Roman Regular"/>
                <w:color w:val="auto"/>
                <w:sz w:val="24"/>
                <w:szCs w:val="24"/>
                <w:lang w:eastAsia="zh-Hans"/>
              </w:rPr>
              <w:t>8-7</w:t>
            </w:r>
            <w:r>
              <w:rPr>
                <w:rFonts w:hint="default" w:ascii="Times New Roman Regular" w:hAnsi="Times New Roman Regular" w:cs="Times New Roman Regular"/>
                <w:color w:val="auto"/>
                <w:sz w:val="24"/>
                <w:szCs w:val="24"/>
                <w:lang w:val="en-US" w:eastAsia="zh-Hans"/>
              </w:rPr>
              <w:t>号</w:t>
            </w:r>
            <w:r>
              <w:rPr>
                <w:rFonts w:hint="default" w:ascii="Times New Roman Regular" w:hAnsi="Times New Roman Regular" w:cs="Times New Roman Regular"/>
                <w:color w:val="auto"/>
                <w:sz w:val="24"/>
                <w:szCs w:val="24"/>
                <w:lang w:eastAsia="zh-Hans"/>
              </w:rPr>
              <w:t>6#</w:t>
            </w:r>
            <w:r>
              <w:rPr>
                <w:rFonts w:hint="default" w:ascii="Times New Roman Regular" w:hAnsi="Times New Roman Regular" w:cs="Times New Roman Regular"/>
                <w:color w:val="auto"/>
                <w:sz w:val="24"/>
                <w:szCs w:val="24"/>
                <w:lang w:val="en-US" w:eastAsia="zh-Hans"/>
              </w:rPr>
              <w:t>厂房</w:t>
            </w:r>
          </w:p>
          <w:p>
            <w:pPr>
              <w:pStyle w:val="135"/>
              <w:spacing w:line="240" w:lineRule="auto"/>
              <w:jc w:val="center"/>
              <w:rPr>
                <w:rFonts w:hint="default" w:ascii="Times New Roman Regular" w:hAnsi="Times New Roman Regular" w:cs="Times New Roman Regular"/>
                <w:color w:val="FF0000"/>
                <w:sz w:val="24"/>
                <w:szCs w:val="24"/>
              </w:rPr>
            </w:pPr>
            <w:r>
              <w:rPr>
                <w:rFonts w:hint="default" w:ascii="Times New Roman Regular" w:hAnsi="Times New Roman Regular" w:cs="Times New Roman Regular"/>
                <w:color w:val="auto"/>
                <w:sz w:val="24"/>
                <w:szCs w:val="24"/>
              </w:rPr>
              <w:t>（N25</w:t>
            </w:r>
            <w:r>
              <w:rPr>
                <w:rFonts w:hint="default" w:ascii="Times New Roman Regular" w:hAnsi="Times New Roman Regular" w:cs="Times New Roman Regular"/>
                <w:color w:val="auto"/>
                <w:sz w:val="24"/>
                <w:szCs w:val="24"/>
                <w:lang w:val="en-US" w:eastAsia="zh-Hans"/>
              </w:rPr>
              <w:t>.</w:t>
            </w:r>
            <w:r>
              <w:rPr>
                <w:rFonts w:hint="default" w:ascii="Times New Roman Regular" w:hAnsi="Times New Roman Regular" w:cs="Times New Roman Regular"/>
                <w:color w:val="auto"/>
                <w:sz w:val="24"/>
                <w:szCs w:val="24"/>
                <w:lang w:eastAsia="zh-Hans"/>
              </w:rPr>
              <w:t>877706</w:t>
            </w:r>
            <w:r>
              <w:rPr>
                <w:rFonts w:hint="default" w:ascii="Times New Roman Regular" w:hAnsi="Times New Roman Regular" w:cs="Times New Roman Regular"/>
                <w:color w:val="auto"/>
                <w:sz w:val="24"/>
                <w:szCs w:val="24"/>
              </w:rPr>
              <w:t>，E119.347768）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1242" w:type="dxa"/>
            <w:vAlign w:val="center"/>
          </w:tcPr>
          <w:p>
            <w:pPr>
              <w:pStyle w:val="135"/>
              <w:spacing w:line="240" w:lineRule="auto"/>
              <w:jc w:val="center"/>
              <w:rPr>
                <w:rFonts w:hint="default" w:ascii="Times New Roman Regular" w:hAnsi="Times New Roman Regular" w:cs="Times New Roman Regular"/>
                <w:color w:val="FF0000"/>
                <w:sz w:val="24"/>
                <w:szCs w:val="24"/>
              </w:rPr>
            </w:pPr>
            <w:r>
              <w:rPr>
                <w:rFonts w:hint="default" w:ascii="Times New Roman Regular" w:hAnsi="Times New Roman Regular" w:cs="Times New Roman Regular"/>
                <w:color w:val="auto"/>
                <w:sz w:val="24"/>
                <w:szCs w:val="24"/>
              </w:rPr>
              <w:t>建设依据</w:t>
            </w:r>
          </w:p>
        </w:tc>
        <w:tc>
          <w:tcPr>
            <w:tcW w:w="3045" w:type="dxa"/>
            <w:gridSpan w:val="5"/>
            <w:vAlign w:val="center"/>
          </w:tcPr>
          <w:p>
            <w:pPr>
              <w:pStyle w:val="135"/>
              <w:spacing w:line="240" w:lineRule="auto"/>
              <w:jc w:val="center"/>
              <w:rPr>
                <w:rFonts w:hint="default" w:ascii="Times New Roman Regular" w:hAnsi="Times New Roman Regular" w:cs="Times New Roman Regular"/>
                <w:color w:val="FF0000"/>
                <w:sz w:val="24"/>
                <w:szCs w:val="24"/>
              </w:rPr>
            </w:pPr>
            <w:r>
              <w:rPr>
                <w:rFonts w:hint="default" w:ascii="Times New Roman Regular" w:hAnsi="Times New Roman Regular" w:cs="Times New Roman Regular"/>
                <w:color w:val="auto"/>
                <w:sz w:val="24"/>
                <w:szCs w:val="24"/>
                <w:lang w:val="en-US" w:eastAsia="zh-Hans"/>
              </w:rPr>
              <w:t>闽发改备</w:t>
            </w:r>
            <w:r>
              <w:rPr>
                <w:rFonts w:hint="default" w:ascii="Times New Roman Regular" w:hAnsi="Times New Roman Regular" w:cs="Times New Roman Regular"/>
                <w:color w:val="auto"/>
                <w:sz w:val="24"/>
                <w:szCs w:val="24"/>
                <w:lang w:eastAsia="zh-Hans"/>
              </w:rPr>
              <w:t>[2020]</w:t>
            </w:r>
            <w:r>
              <w:rPr>
                <w:rFonts w:hint="default" w:ascii="Times New Roman Regular" w:hAnsi="Times New Roman Regular" w:cs="Times New Roman Regular"/>
                <w:color w:val="auto"/>
                <w:sz w:val="24"/>
                <w:szCs w:val="24"/>
                <w:lang w:val="en-US" w:eastAsia="zh-Hans"/>
              </w:rPr>
              <w:t>A</w:t>
            </w:r>
            <w:r>
              <w:rPr>
                <w:rFonts w:hint="default" w:ascii="Times New Roman Regular" w:hAnsi="Times New Roman Regular" w:cs="Times New Roman Regular"/>
                <w:color w:val="auto"/>
                <w:sz w:val="24"/>
                <w:szCs w:val="24"/>
                <w:lang w:eastAsia="zh-Hans"/>
              </w:rPr>
              <w:t>080393</w:t>
            </w:r>
            <w:r>
              <w:rPr>
                <w:rFonts w:hint="default" w:ascii="Times New Roman Regular" w:hAnsi="Times New Roman Regular" w:cs="Times New Roman Regular"/>
                <w:color w:val="auto"/>
                <w:sz w:val="24"/>
                <w:szCs w:val="24"/>
                <w:lang w:val="en-US" w:eastAsia="zh-Hans"/>
              </w:rPr>
              <w:t>号</w:t>
            </w:r>
          </w:p>
        </w:tc>
        <w:tc>
          <w:tcPr>
            <w:tcW w:w="1363" w:type="dxa"/>
            <w:gridSpan w:val="3"/>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主管部门</w:t>
            </w:r>
          </w:p>
        </w:tc>
        <w:tc>
          <w:tcPr>
            <w:tcW w:w="3230" w:type="dxa"/>
            <w:gridSpan w:val="4"/>
            <w:vAlign w:val="center"/>
          </w:tcPr>
          <w:p>
            <w:pPr>
              <w:pStyle w:val="135"/>
              <w:spacing w:line="240" w:lineRule="auto"/>
              <w:jc w:val="center"/>
              <w:rPr>
                <w:rFonts w:hint="default" w:ascii="Times New Roman Regular" w:hAnsi="Times New Roman Regular" w:eastAsia="宋体"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闽侯县发展和改革局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242" w:type="dxa"/>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建设性质</w:t>
            </w:r>
          </w:p>
        </w:tc>
        <w:tc>
          <w:tcPr>
            <w:tcW w:w="3045" w:type="dxa"/>
            <w:gridSpan w:val="5"/>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auto"/>
                <w:sz w:val="24"/>
                <w:szCs w:val="24"/>
                <w:lang w:val="en-US" w:eastAsia="zh-Hans"/>
              </w:rPr>
            </w:pPr>
            <w:r>
              <w:rPr>
                <w:rFonts w:hint="eastAsia" w:ascii="Times New Roman Regular" w:hAnsi="Times New Roman Regular" w:cs="Times New Roman Regular"/>
                <w:color w:val="auto"/>
                <w:sz w:val="24"/>
                <w:szCs w:val="24"/>
                <w:lang w:val="en-US" w:eastAsia="zh-Hans"/>
              </w:rPr>
              <w:t>新建</w:t>
            </w:r>
          </w:p>
        </w:tc>
        <w:tc>
          <w:tcPr>
            <w:tcW w:w="1363" w:type="dxa"/>
            <w:gridSpan w:val="3"/>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行业代码</w:t>
            </w:r>
          </w:p>
        </w:tc>
        <w:tc>
          <w:tcPr>
            <w:tcW w:w="3230" w:type="dxa"/>
            <w:gridSpan w:val="4"/>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C</w:t>
            </w:r>
            <w:r>
              <w:rPr>
                <w:rFonts w:hint="default" w:ascii="Times New Roman Regular" w:hAnsi="Times New Roman Regular" w:cs="Times New Roman Regular"/>
                <w:color w:val="auto"/>
                <w:sz w:val="24"/>
                <w:szCs w:val="24"/>
                <w:lang w:eastAsia="zh-Hans"/>
              </w:rPr>
              <w:t xml:space="preserve">3311 </w:t>
            </w:r>
            <w:r>
              <w:rPr>
                <w:rFonts w:hint="default" w:ascii="Times New Roman Regular" w:hAnsi="Times New Roman Regular" w:cs="Times New Roman Regular"/>
                <w:color w:val="auto"/>
                <w:sz w:val="24"/>
                <w:szCs w:val="24"/>
                <w:lang w:val="en-US" w:eastAsia="zh-Hans"/>
              </w:rPr>
              <w:t>金属结构制造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7" w:hRule="atLeast"/>
        </w:trPr>
        <w:tc>
          <w:tcPr>
            <w:tcW w:w="1242" w:type="dxa"/>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工程规模</w:t>
            </w:r>
          </w:p>
        </w:tc>
        <w:tc>
          <w:tcPr>
            <w:tcW w:w="3045" w:type="dxa"/>
            <w:gridSpan w:val="5"/>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lang w:val="en-US" w:eastAsia="zh-Hans"/>
              </w:rPr>
              <w:t>租用</w:t>
            </w:r>
            <w:r>
              <w:rPr>
                <w:rFonts w:hint="default" w:ascii="Times New Roman Regular" w:hAnsi="Times New Roman Regular" w:cs="Times New Roman Regular"/>
                <w:color w:val="auto"/>
                <w:sz w:val="24"/>
                <w:szCs w:val="24"/>
                <w:lang w:eastAsia="zh-Hans"/>
              </w:rPr>
              <w:t>福州东郁机械包装有限公司</w:t>
            </w:r>
            <w:r>
              <w:rPr>
                <w:rFonts w:hint="default" w:ascii="Times New Roman Regular" w:hAnsi="Times New Roman Regular" w:cs="Times New Roman Regular"/>
                <w:color w:val="auto"/>
                <w:sz w:val="24"/>
                <w:szCs w:val="24"/>
              </w:rPr>
              <w:t>2900</w:t>
            </w:r>
            <w:r>
              <w:rPr>
                <w:rFonts w:hint="default" w:ascii="Times New Roman Regular" w:hAnsi="Times New Roman Regular" w:cs="Times New Roman Regular"/>
                <w:color w:val="auto"/>
                <w:sz w:val="24"/>
                <w:szCs w:val="24"/>
                <w:lang w:eastAsia="zh-Hans"/>
              </w:rPr>
              <w:t>m</w:t>
            </w:r>
            <w:r>
              <w:rPr>
                <w:rFonts w:hint="default" w:ascii="Times New Roman Regular" w:hAnsi="Times New Roman Regular" w:cs="Times New Roman Regular"/>
                <w:color w:val="auto"/>
                <w:sz w:val="24"/>
                <w:szCs w:val="24"/>
                <w:vertAlign w:val="superscript"/>
                <w:lang w:eastAsia="zh-Hans"/>
              </w:rPr>
              <w:t>2</w:t>
            </w:r>
            <w:r>
              <w:rPr>
                <w:rFonts w:hint="default" w:ascii="Times New Roman Regular" w:hAnsi="Times New Roman Regular" w:cs="Times New Roman Regular"/>
                <w:color w:val="auto"/>
                <w:sz w:val="24"/>
                <w:szCs w:val="24"/>
                <w:lang w:val="en-US" w:eastAsia="zh-Hans"/>
              </w:rPr>
              <w:t>厂房</w:t>
            </w:r>
          </w:p>
        </w:tc>
        <w:tc>
          <w:tcPr>
            <w:tcW w:w="1363" w:type="dxa"/>
            <w:gridSpan w:val="3"/>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总规模</w:t>
            </w:r>
          </w:p>
        </w:tc>
        <w:tc>
          <w:tcPr>
            <w:tcW w:w="3230" w:type="dxa"/>
            <w:gridSpan w:val="4"/>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lang w:val="en-US" w:eastAsia="zh-Hans"/>
              </w:rPr>
              <w:t>年生产平开门机</w:t>
            </w:r>
            <w:r>
              <w:rPr>
                <w:rFonts w:hint="default" w:ascii="Times New Roman Regular" w:hAnsi="Times New Roman Regular" w:cs="Times New Roman Regular"/>
                <w:color w:val="auto"/>
                <w:sz w:val="24"/>
                <w:szCs w:val="24"/>
                <w:lang w:eastAsia="zh-Hans"/>
              </w:rPr>
              <w:t>3.5</w:t>
            </w:r>
            <w:r>
              <w:rPr>
                <w:rFonts w:hint="default" w:ascii="Times New Roman Regular" w:hAnsi="Times New Roman Regular" w:cs="Times New Roman Regular"/>
                <w:color w:val="auto"/>
                <w:sz w:val="24"/>
                <w:szCs w:val="24"/>
                <w:lang w:val="en-US" w:eastAsia="zh-Hans"/>
              </w:rPr>
              <w:t>万套</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sz w:val="24"/>
                <w:szCs w:val="24"/>
                <w:lang w:val="en-US" w:eastAsia="zh-Hans"/>
              </w:rPr>
              <w:t>平移门机</w:t>
            </w:r>
            <w:r>
              <w:rPr>
                <w:rFonts w:hint="default" w:ascii="Times New Roman Regular" w:hAnsi="Times New Roman Regular" w:cs="Times New Roman Regular"/>
                <w:color w:val="auto"/>
                <w:sz w:val="24"/>
                <w:szCs w:val="24"/>
                <w:lang w:eastAsia="zh-Hans"/>
              </w:rPr>
              <w:t>2</w:t>
            </w:r>
            <w:r>
              <w:rPr>
                <w:rFonts w:hint="default" w:ascii="Times New Roman Regular" w:hAnsi="Times New Roman Regular" w:cs="Times New Roman Regular"/>
                <w:color w:val="auto"/>
                <w:sz w:val="24"/>
                <w:szCs w:val="24"/>
                <w:lang w:val="en-US" w:eastAsia="zh-Hans"/>
              </w:rPr>
              <w:t>万套</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sz w:val="24"/>
                <w:szCs w:val="24"/>
                <w:lang w:val="en-US" w:eastAsia="zh-Hans"/>
              </w:rPr>
              <w:t>重型双轮机</w:t>
            </w:r>
            <w:r>
              <w:rPr>
                <w:rFonts w:hint="default" w:ascii="Times New Roman Regular" w:hAnsi="Times New Roman Regular" w:cs="Times New Roman Regular"/>
                <w:color w:val="auto"/>
                <w:sz w:val="24"/>
                <w:szCs w:val="24"/>
                <w:lang w:eastAsia="zh-Hans"/>
              </w:rPr>
              <w:t>1000</w:t>
            </w:r>
            <w:r>
              <w:rPr>
                <w:rFonts w:hint="default" w:ascii="Times New Roman Regular" w:hAnsi="Times New Roman Regular" w:cs="Times New Roman Regular"/>
                <w:color w:val="auto"/>
                <w:sz w:val="24"/>
                <w:szCs w:val="24"/>
                <w:lang w:val="en-US" w:eastAsia="zh-Hans"/>
              </w:rPr>
              <w:t>套</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sz w:val="24"/>
                <w:szCs w:val="24"/>
                <w:lang w:val="en-US" w:eastAsia="zh-Hans"/>
              </w:rPr>
              <w:t>曲臂机</w:t>
            </w:r>
            <w:r>
              <w:rPr>
                <w:rFonts w:hint="default" w:ascii="Times New Roman Regular" w:hAnsi="Times New Roman Regular" w:cs="Times New Roman Regular"/>
                <w:color w:val="auto"/>
                <w:sz w:val="24"/>
                <w:szCs w:val="24"/>
                <w:lang w:eastAsia="zh-Hans"/>
              </w:rPr>
              <w:t>3000</w:t>
            </w:r>
            <w:r>
              <w:rPr>
                <w:rFonts w:hint="default" w:ascii="Times New Roman Regular" w:hAnsi="Times New Roman Regular" w:cs="Times New Roman Regular"/>
                <w:color w:val="auto"/>
                <w:sz w:val="24"/>
                <w:szCs w:val="24"/>
                <w:lang w:val="en-US" w:eastAsia="zh-Hans"/>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1242" w:type="dxa"/>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总投资</w:t>
            </w:r>
          </w:p>
        </w:tc>
        <w:tc>
          <w:tcPr>
            <w:tcW w:w="3045" w:type="dxa"/>
            <w:gridSpan w:val="5"/>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120万元</w:t>
            </w:r>
          </w:p>
        </w:tc>
        <w:tc>
          <w:tcPr>
            <w:tcW w:w="1363" w:type="dxa"/>
            <w:gridSpan w:val="3"/>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环保投资</w:t>
            </w:r>
          </w:p>
        </w:tc>
        <w:tc>
          <w:tcPr>
            <w:tcW w:w="3230" w:type="dxa"/>
            <w:gridSpan w:val="4"/>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FF0000"/>
                <w:sz w:val="24"/>
                <w:szCs w:val="24"/>
              </w:rPr>
            </w:pPr>
            <w:r>
              <w:rPr>
                <w:rFonts w:hint="default" w:ascii="Times New Roman Regular" w:hAnsi="Times New Roman Regular" w:cs="Times New Roman Regular"/>
                <w:color w:val="auto"/>
                <w:sz w:val="24"/>
                <w:szCs w:val="24"/>
              </w:rPr>
              <w:t>7万元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3264" w:type="dxa"/>
            <w:gridSpan w:val="5"/>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主要产品</w:t>
            </w:r>
          </w:p>
        </w:tc>
        <w:tc>
          <w:tcPr>
            <w:tcW w:w="5616" w:type="dxa"/>
            <w:gridSpan w:val="8"/>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主要原辅材料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1527" w:type="dxa"/>
            <w:gridSpan w:val="3"/>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名称</w:t>
            </w:r>
          </w:p>
        </w:tc>
        <w:tc>
          <w:tcPr>
            <w:tcW w:w="1737" w:type="dxa"/>
            <w:gridSpan w:val="2"/>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产量</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sz w:val="24"/>
                <w:szCs w:val="24"/>
                <w:lang w:val="en-US" w:eastAsia="zh-Hans"/>
              </w:rPr>
              <w:t>规模</w:t>
            </w:r>
            <w:r>
              <w:rPr>
                <w:rFonts w:hint="default" w:ascii="Times New Roman Regular" w:hAnsi="Times New Roman Regular" w:cs="Times New Roman Regular"/>
                <w:color w:val="auto"/>
                <w:sz w:val="24"/>
                <w:szCs w:val="24"/>
                <w:lang w:eastAsia="zh-Hans"/>
              </w:rPr>
              <w:t>）</w:t>
            </w:r>
          </w:p>
        </w:tc>
        <w:tc>
          <w:tcPr>
            <w:tcW w:w="1333" w:type="dxa"/>
            <w:gridSpan w:val="2"/>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名称</w:t>
            </w:r>
          </w:p>
        </w:tc>
        <w:tc>
          <w:tcPr>
            <w:tcW w:w="1386" w:type="dxa"/>
            <w:gridSpan w:val="3"/>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现状用量</w:t>
            </w:r>
          </w:p>
        </w:tc>
        <w:tc>
          <w:tcPr>
            <w:tcW w:w="1404" w:type="dxa"/>
            <w:gridSpan w:val="2"/>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新增用量</w:t>
            </w:r>
          </w:p>
        </w:tc>
        <w:tc>
          <w:tcPr>
            <w:tcW w:w="1493" w:type="dxa"/>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预计总用量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1527" w:type="dxa"/>
            <w:gridSpan w:val="3"/>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auto"/>
                <w:kern w:val="0"/>
                <w:sz w:val="24"/>
                <w:szCs w:val="24"/>
                <w:lang w:val="en-US" w:eastAsia="zh-Hans" w:bidi="ar-SA"/>
              </w:rPr>
            </w:pPr>
            <w:r>
              <w:rPr>
                <w:rFonts w:hint="default" w:ascii="Times New Roman Regular" w:hAnsi="Times New Roman Regular" w:cs="Times New Roman Regular"/>
                <w:color w:val="auto"/>
                <w:kern w:val="0"/>
                <w:sz w:val="24"/>
                <w:szCs w:val="24"/>
                <w:lang w:val="en-US" w:eastAsia="zh-Hans" w:bidi="ar-SA"/>
              </w:rPr>
              <w:t>平开门机</w:t>
            </w:r>
          </w:p>
        </w:tc>
        <w:tc>
          <w:tcPr>
            <w:tcW w:w="1737" w:type="dxa"/>
            <w:gridSpan w:val="2"/>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auto"/>
                <w:kern w:val="0"/>
                <w:sz w:val="24"/>
                <w:szCs w:val="24"/>
                <w:lang w:eastAsia="zh-CN" w:bidi="ar-SA"/>
              </w:rPr>
            </w:pPr>
            <w:r>
              <w:rPr>
                <w:rFonts w:hint="default" w:ascii="Times New Roman Regular" w:hAnsi="Times New Roman Regular" w:cs="Times New Roman Regular"/>
                <w:color w:val="auto"/>
                <w:sz w:val="24"/>
                <w:szCs w:val="24"/>
                <w:lang w:eastAsia="zh-Hans"/>
              </w:rPr>
              <w:t>35000</w:t>
            </w:r>
            <w:r>
              <w:rPr>
                <w:rFonts w:hint="default" w:ascii="Times New Roman Regular" w:hAnsi="Times New Roman Regular" w:cs="Times New Roman Regular"/>
                <w:color w:val="auto"/>
                <w:sz w:val="24"/>
                <w:szCs w:val="24"/>
                <w:lang w:val="en-US" w:eastAsia="zh-Hans"/>
              </w:rPr>
              <w:t>套</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sz w:val="24"/>
                <w:szCs w:val="24"/>
                <w:lang w:val="en-US" w:eastAsia="zh-Hans"/>
              </w:rPr>
              <w:t>a</w:t>
            </w:r>
          </w:p>
        </w:tc>
        <w:tc>
          <w:tcPr>
            <w:tcW w:w="1333" w:type="dxa"/>
            <w:gridSpan w:val="2"/>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lang w:eastAsia="zh-Hans"/>
              </w:rPr>
            </w:pPr>
            <w:r>
              <w:rPr>
                <w:rFonts w:hint="default" w:ascii="Times New Roman Regular" w:hAnsi="Times New Roman Regular" w:cs="Times New Roman Regular"/>
                <w:color w:val="auto"/>
                <w:sz w:val="24"/>
                <w:szCs w:val="24"/>
                <w:lang w:eastAsia="zh-Hans"/>
              </w:rPr>
              <w:t>45#</w:t>
            </w:r>
            <w:r>
              <w:rPr>
                <w:rFonts w:hint="default" w:ascii="Times New Roman Regular" w:hAnsi="Times New Roman Regular" w:cs="Times New Roman Regular"/>
                <w:color w:val="auto"/>
                <w:sz w:val="24"/>
                <w:szCs w:val="24"/>
                <w:lang w:val="en-US" w:eastAsia="zh-Hans"/>
              </w:rPr>
              <w:t>钢</w:t>
            </w:r>
          </w:p>
        </w:tc>
        <w:tc>
          <w:tcPr>
            <w:tcW w:w="1386" w:type="dxa"/>
            <w:gridSpan w:val="3"/>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w:t>
            </w:r>
          </w:p>
        </w:tc>
        <w:tc>
          <w:tcPr>
            <w:tcW w:w="1404" w:type="dxa"/>
            <w:gridSpan w:val="2"/>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lang w:eastAsia="zh-Hans"/>
              </w:rPr>
              <w:t>45</w:t>
            </w:r>
            <w:r>
              <w:rPr>
                <w:rFonts w:hint="default" w:ascii="Times New Roman Regular" w:hAnsi="Times New Roman Regular" w:cs="Times New Roman Regular"/>
                <w:color w:val="auto"/>
                <w:sz w:val="24"/>
                <w:szCs w:val="24"/>
                <w:lang w:val="en-US" w:eastAsia="zh-Hans"/>
              </w:rPr>
              <w:t>t</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sz w:val="24"/>
                <w:szCs w:val="24"/>
                <w:lang w:val="en-US" w:eastAsia="zh-Hans"/>
              </w:rPr>
              <w:t>a</w:t>
            </w:r>
          </w:p>
        </w:tc>
        <w:tc>
          <w:tcPr>
            <w:tcW w:w="1493" w:type="dxa"/>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auto"/>
                <w:kern w:val="0"/>
                <w:sz w:val="24"/>
                <w:szCs w:val="24"/>
                <w:lang w:val="en-US" w:eastAsia="zh-CN" w:bidi="ar-SA"/>
              </w:rPr>
            </w:pPr>
            <w:r>
              <w:rPr>
                <w:rFonts w:hint="default" w:ascii="Times New Roman Regular" w:hAnsi="Times New Roman Regular" w:cs="Times New Roman Regular"/>
                <w:color w:val="auto"/>
                <w:sz w:val="24"/>
                <w:szCs w:val="24"/>
                <w:lang w:eastAsia="zh-Hans"/>
              </w:rPr>
              <w:t>45</w:t>
            </w:r>
            <w:r>
              <w:rPr>
                <w:rFonts w:hint="default" w:ascii="Times New Roman Regular" w:hAnsi="Times New Roman Regular" w:cs="Times New Roman Regular"/>
                <w:color w:val="auto"/>
                <w:sz w:val="24"/>
                <w:szCs w:val="24"/>
                <w:lang w:val="en-US" w:eastAsia="zh-Hans"/>
              </w:rPr>
              <w:t>t</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sz w:val="24"/>
                <w:szCs w:val="24"/>
                <w:lang w:val="en-US" w:eastAsia="zh-Hans"/>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trPr>
        <w:tc>
          <w:tcPr>
            <w:tcW w:w="1527" w:type="dxa"/>
            <w:gridSpan w:val="3"/>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平移门机</w:t>
            </w:r>
          </w:p>
        </w:tc>
        <w:tc>
          <w:tcPr>
            <w:tcW w:w="1737" w:type="dxa"/>
            <w:gridSpan w:val="2"/>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lang w:eastAsia="zh-Hans"/>
              </w:rPr>
              <w:t>20000</w:t>
            </w:r>
            <w:r>
              <w:rPr>
                <w:rFonts w:hint="default" w:ascii="Times New Roman Regular" w:hAnsi="Times New Roman Regular" w:cs="Times New Roman Regular"/>
                <w:color w:val="auto"/>
                <w:sz w:val="24"/>
                <w:szCs w:val="24"/>
                <w:lang w:val="en-US" w:eastAsia="zh-Hans"/>
              </w:rPr>
              <w:t>套</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sz w:val="24"/>
                <w:szCs w:val="24"/>
                <w:lang w:val="en-US" w:eastAsia="zh-Hans"/>
              </w:rPr>
              <w:t>a</w:t>
            </w:r>
          </w:p>
        </w:tc>
        <w:tc>
          <w:tcPr>
            <w:tcW w:w="1333" w:type="dxa"/>
            <w:gridSpan w:val="2"/>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FF0000"/>
                <w:sz w:val="24"/>
                <w:szCs w:val="24"/>
                <w:lang w:val="en-US" w:eastAsia="zh-Hans"/>
              </w:rPr>
            </w:pPr>
          </w:p>
        </w:tc>
        <w:tc>
          <w:tcPr>
            <w:tcW w:w="1386" w:type="dxa"/>
            <w:gridSpan w:val="3"/>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FF0000"/>
                <w:sz w:val="24"/>
                <w:szCs w:val="24"/>
              </w:rPr>
            </w:pPr>
          </w:p>
        </w:tc>
        <w:tc>
          <w:tcPr>
            <w:tcW w:w="1404" w:type="dxa"/>
            <w:gridSpan w:val="2"/>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FF0000"/>
                <w:sz w:val="24"/>
                <w:szCs w:val="24"/>
              </w:rPr>
            </w:pPr>
          </w:p>
        </w:tc>
        <w:tc>
          <w:tcPr>
            <w:tcW w:w="1493" w:type="dxa"/>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FF0000"/>
                <w:kern w:val="0"/>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1527" w:type="dxa"/>
            <w:gridSpan w:val="3"/>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重型双轮机</w:t>
            </w:r>
          </w:p>
        </w:tc>
        <w:tc>
          <w:tcPr>
            <w:tcW w:w="1737" w:type="dxa"/>
            <w:gridSpan w:val="2"/>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lang w:eastAsia="zh-Hans"/>
              </w:rPr>
              <w:t>1000</w:t>
            </w:r>
            <w:r>
              <w:rPr>
                <w:rFonts w:hint="default" w:ascii="Times New Roman Regular" w:hAnsi="Times New Roman Regular" w:cs="Times New Roman Regular"/>
                <w:color w:val="auto"/>
                <w:sz w:val="24"/>
                <w:szCs w:val="24"/>
                <w:lang w:val="en-US" w:eastAsia="zh-Hans"/>
              </w:rPr>
              <w:t>套</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sz w:val="24"/>
                <w:szCs w:val="24"/>
                <w:lang w:val="en-US" w:eastAsia="zh-Hans"/>
              </w:rPr>
              <w:t>a</w:t>
            </w:r>
          </w:p>
        </w:tc>
        <w:tc>
          <w:tcPr>
            <w:tcW w:w="1333" w:type="dxa"/>
            <w:gridSpan w:val="2"/>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FF0000"/>
                <w:sz w:val="24"/>
                <w:szCs w:val="24"/>
                <w:lang w:val="en-US" w:eastAsia="zh-Hans"/>
              </w:rPr>
            </w:pPr>
          </w:p>
        </w:tc>
        <w:tc>
          <w:tcPr>
            <w:tcW w:w="1386" w:type="dxa"/>
            <w:gridSpan w:val="3"/>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FF0000"/>
                <w:sz w:val="24"/>
                <w:szCs w:val="24"/>
              </w:rPr>
            </w:pPr>
          </w:p>
        </w:tc>
        <w:tc>
          <w:tcPr>
            <w:tcW w:w="1404" w:type="dxa"/>
            <w:gridSpan w:val="2"/>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FF0000"/>
                <w:sz w:val="24"/>
                <w:szCs w:val="24"/>
              </w:rPr>
            </w:pPr>
          </w:p>
        </w:tc>
        <w:tc>
          <w:tcPr>
            <w:tcW w:w="1493" w:type="dxa"/>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FF0000"/>
                <w:kern w:val="0"/>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1527" w:type="dxa"/>
            <w:gridSpan w:val="3"/>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lang w:val="en-US" w:eastAsia="zh-Hans"/>
              </w:rPr>
            </w:pPr>
            <w:r>
              <w:rPr>
                <w:rFonts w:hint="default" w:ascii="Times New Roman Regular" w:hAnsi="Times New Roman Regular" w:cs="Times New Roman Regular"/>
                <w:color w:val="auto"/>
                <w:sz w:val="24"/>
                <w:szCs w:val="24"/>
                <w:lang w:val="en-US" w:eastAsia="zh-Hans"/>
              </w:rPr>
              <w:t>曲臂机</w:t>
            </w:r>
          </w:p>
        </w:tc>
        <w:tc>
          <w:tcPr>
            <w:tcW w:w="1737" w:type="dxa"/>
            <w:gridSpan w:val="2"/>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3000</w:t>
            </w:r>
            <w:r>
              <w:rPr>
                <w:rFonts w:hint="default" w:ascii="Times New Roman Regular" w:hAnsi="Times New Roman Regular" w:cs="Times New Roman Regular"/>
                <w:color w:val="auto"/>
                <w:sz w:val="24"/>
                <w:szCs w:val="24"/>
                <w:lang w:val="en-US" w:eastAsia="zh-Hans"/>
              </w:rPr>
              <w:t>套</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sz w:val="24"/>
                <w:szCs w:val="24"/>
                <w:lang w:val="en-US" w:eastAsia="zh-Hans"/>
              </w:rPr>
              <w:t>a</w:t>
            </w:r>
          </w:p>
        </w:tc>
        <w:tc>
          <w:tcPr>
            <w:tcW w:w="1333" w:type="dxa"/>
            <w:gridSpan w:val="2"/>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FF0000"/>
                <w:sz w:val="24"/>
                <w:szCs w:val="24"/>
                <w:lang w:val="en-US" w:eastAsia="zh-Hans"/>
              </w:rPr>
            </w:pPr>
          </w:p>
        </w:tc>
        <w:tc>
          <w:tcPr>
            <w:tcW w:w="1386" w:type="dxa"/>
            <w:gridSpan w:val="3"/>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FF0000"/>
                <w:sz w:val="24"/>
                <w:szCs w:val="24"/>
              </w:rPr>
            </w:pPr>
          </w:p>
        </w:tc>
        <w:tc>
          <w:tcPr>
            <w:tcW w:w="1404" w:type="dxa"/>
            <w:gridSpan w:val="2"/>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FF0000"/>
                <w:sz w:val="24"/>
                <w:szCs w:val="24"/>
              </w:rPr>
            </w:pPr>
          </w:p>
        </w:tc>
        <w:tc>
          <w:tcPr>
            <w:tcW w:w="1493" w:type="dxa"/>
            <w:tcBorders>
              <w:bottom w:val="single" w:color="auto" w:sz="4" w:space="0"/>
            </w:tcBorders>
            <w:vAlign w:val="center"/>
          </w:tcPr>
          <w:p>
            <w:pPr>
              <w:pStyle w:val="135"/>
              <w:spacing w:line="240" w:lineRule="auto"/>
              <w:jc w:val="center"/>
              <w:rPr>
                <w:rFonts w:hint="default" w:ascii="Times New Roman Regular" w:hAnsi="Times New Roman Regular" w:eastAsia="宋体" w:cs="Times New Roman Regular"/>
                <w:color w:val="FF0000"/>
                <w:kern w:val="0"/>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8880" w:type="dxa"/>
            <w:gridSpan w:val="13"/>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主  要  能  源  及  水  资  源  消  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2540" w:type="dxa"/>
            <w:gridSpan w:val="4"/>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名称</w:t>
            </w:r>
          </w:p>
        </w:tc>
        <w:tc>
          <w:tcPr>
            <w:tcW w:w="2126" w:type="dxa"/>
            <w:gridSpan w:val="4"/>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现状用量</w:t>
            </w:r>
          </w:p>
        </w:tc>
        <w:tc>
          <w:tcPr>
            <w:tcW w:w="2072" w:type="dxa"/>
            <w:gridSpan w:val="3"/>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新增用量</w:t>
            </w:r>
          </w:p>
        </w:tc>
        <w:tc>
          <w:tcPr>
            <w:tcW w:w="2142" w:type="dxa"/>
            <w:gridSpan w:val="2"/>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预计总用量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2540" w:type="dxa"/>
            <w:gridSpan w:val="4"/>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水（吨/年）</w:t>
            </w:r>
          </w:p>
        </w:tc>
        <w:tc>
          <w:tcPr>
            <w:tcW w:w="2126" w:type="dxa"/>
            <w:gridSpan w:val="4"/>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w:t>
            </w:r>
          </w:p>
        </w:tc>
        <w:tc>
          <w:tcPr>
            <w:tcW w:w="2072" w:type="dxa"/>
            <w:gridSpan w:val="3"/>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375</w:t>
            </w:r>
          </w:p>
        </w:tc>
        <w:tc>
          <w:tcPr>
            <w:tcW w:w="2142" w:type="dxa"/>
            <w:gridSpan w:val="2"/>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2540" w:type="dxa"/>
            <w:gridSpan w:val="4"/>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电（度/年）</w:t>
            </w:r>
          </w:p>
        </w:tc>
        <w:tc>
          <w:tcPr>
            <w:tcW w:w="2126" w:type="dxa"/>
            <w:gridSpan w:val="4"/>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w:t>
            </w:r>
          </w:p>
        </w:tc>
        <w:tc>
          <w:tcPr>
            <w:tcW w:w="2072" w:type="dxa"/>
            <w:gridSpan w:val="3"/>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76899</w:t>
            </w:r>
          </w:p>
        </w:tc>
        <w:tc>
          <w:tcPr>
            <w:tcW w:w="2142" w:type="dxa"/>
            <w:gridSpan w:val="2"/>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76800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2540" w:type="dxa"/>
            <w:gridSpan w:val="4"/>
            <w:shd w:val="clear" w:color="auto" w:fill="auto"/>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柴油（吨/年）</w:t>
            </w:r>
          </w:p>
        </w:tc>
        <w:tc>
          <w:tcPr>
            <w:tcW w:w="2126" w:type="dxa"/>
            <w:gridSpan w:val="4"/>
            <w:shd w:val="clear" w:color="auto" w:fill="auto"/>
            <w:vAlign w:val="center"/>
          </w:tcPr>
          <w:p>
            <w:pPr>
              <w:pStyle w:val="135"/>
              <w:spacing w:line="240" w:lineRule="auto"/>
              <w:jc w:val="center"/>
              <w:rPr>
                <w:rFonts w:hint="default" w:ascii="Times New Roman Regular" w:hAnsi="Times New Roman Regular" w:cs="Times New Roman Regular"/>
                <w:color w:val="auto"/>
                <w:sz w:val="24"/>
                <w:szCs w:val="24"/>
              </w:rPr>
            </w:pPr>
          </w:p>
        </w:tc>
        <w:tc>
          <w:tcPr>
            <w:tcW w:w="2072" w:type="dxa"/>
            <w:gridSpan w:val="3"/>
            <w:shd w:val="clear" w:color="auto" w:fill="FFFFFF"/>
            <w:vAlign w:val="center"/>
          </w:tcPr>
          <w:p>
            <w:pPr>
              <w:pStyle w:val="135"/>
              <w:spacing w:line="240" w:lineRule="auto"/>
              <w:jc w:val="center"/>
              <w:rPr>
                <w:rFonts w:hint="default" w:ascii="Times New Roman Regular" w:hAnsi="Times New Roman Regular" w:cs="Times New Roman Regular"/>
                <w:color w:val="auto"/>
                <w:sz w:val="24"/>
                <w:szCs w:val="24"/>
              </w:rPr>
            </w:pPr>
          </w:p>
        </w:tc>
        <w:tc>
          <w:tcPr>
            <w:tcW w:w="2142" w:type="dxa"/>
            <w:gridSpan w:val="2"/>
            <w:shd w:val="clear" w:color="auto" w:fill="FFFFFF"/>
            <w:vAlign w:val="center"/>
          </w:tcPr>
          <w:p>
            <w:pPr>
              <w:pStyle w:val="135"/>
              <w:spacing w:line="240" w:lineRule="auto"/>
              <w:jc w:val="center"/>
              <w:rPr>
                <w:rFonts w:hint="default" w:ascii="Times New Roman Regular" w:hAnsi="Times New Roman Regular" w:cs="Times New Roman Regular"/>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2540" w:type="dxa"/>
            <w:gridSpan w:val="4"/>
            <w:shd w:val="clear" w:color="auto" w:fill="auto"/>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燃气（万立方米/年）</w:t>
            </w:r>
          </w:p>
        </w:tc>
        <w:tc>
          <w:tcPr>
            <w:tcW w:w="2126" w:type="dxa"/>
            <w:gridSpan w:val="4"/>
            <w:shd w:val="clear" w:color="auto" w:fill="auto"/>
            <w:vAlign w:val="center"/>
          </w:tcPr>
          <w:p>
            <w:pPr>
              <w:pStyle w:val="135"/>
              <w:spacing w:line="240" w:lineRule="auto"/>
              <w:jc w:val="center"/>
              <w:rPr>
                <w:rFonts w:hint="default" w:ascii="Times New Roman Regular" w:hAnsi="Times New Roman Regular" w:cs="Times New Roman Regular"/>
                <w:color w:val="auto"/>
                <w:sz w:val="24"/>
                <w:szCs w:val="24"/>
              </w:rPr>
            </w:pPr>
          </w:p>
        </w:tc>
        <w:tc>
          <w:tcPr>
            <w:tcW w:w="2072" w:type="dxa"/>
            <w:gridSpan w:val="3"/>
            <w:shd w:val="clear" w:color="auto" w:fill="FFFFFF"/>
            <w:vAlign w:val="center"/>
          </w:tcPr>
          <w:p>
            <w:pPr>
              <w:pStyle w:val="135"/>
              <w:spacing w:line="240" w:lineRule="auto"/>
              <w:jc w:val="center"/>
              <w:rPr>
                <w:rFonts w:hint="default" w:ascii="Times New Roman Regular" w:hAnsi="Times New Roman Regular" w:cs="Times New Roman Regular"/>
                <w:color w:val="auto"/>
                <w:sz w:val="24"/>
                <w:szCs w:val="24"/>
              </w:rPr>
            </w:pPr>
          </w:p>
        </w:tc>
        <w:tc>
          <w:tcPr>
            <w:tcW w:w="2142" w:type="dxa"/>
            <w:gridSpan w:val="2"/>
            <w:shd w:val="clear" w:color="auto" w:fill="FFFFFF"/>
            <w:vAlign w:val="center"/>
          </w:tcPr>
          <w:p>
            <w:pPr>
              <w:pStyle w:val="135"/>
              <w:spacing w:line="240" w:lineRule="auto"/>
              <w:jc w:val="center"/>
              <w:rPr>
                <w:rFonts w:hint="default" w:ascii="Times New Roman Regular" w:hAnsi="Times New Roman Regular" w:cs="Times New Roman Regular"/>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2540" w:type="dxa"/>
            <w:gridSpan w:val="4"/>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其他</w:t>
            </w:r>
          </w:p>
        </w:tc>
        <w:tc>
          <w:tcPr>
            <w:tcW w:w="2126" w:type="dxa"/>
            <w:gridSpan w:val="4"/>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p>
        </w:tc>
        <w:tc>
          <w:tcPr>
            <w:tcW w:w="2072" w:type="dxa"/>
            <w:gridSpan w:val="3"/>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p>
        </w:tc>
        <w:tc>
          <w:tcPr>
            <w:tcW w:w="2142" w:type="dxa"/>
            <w:gridSpan w:val="2"/>
            <w:tcBorders>
              <w:bottom w:val="single" w:color="auto" w:sz="4" w:space="0"/>
            </w:tcBorders>
            <w:vAlign w:val="center"/>
          </w:tcPr>
          <w:p>
            <w:pPr>
              <w:pStyle w:val="135"/>
              <w:spacing w:line="240" w:lineRule="auto"/>
              <w:jc w:val="center"/>
              <w:rPr>
                <w:rFonts w:hint="default" w:ascii="Times New Roman Regular" w:hAnsi="Times New Roman Regular" w:cs="Times New Roman Regular"/>
                <w:color w:val="auto"/>
                <w:sz w:val="24"/>
                <w:szCs w:val="24"/>
              </w:rPr>
            </w:pPr>
          </w:p>
        </w:tc>
      </w:tr>
    </w:tbl>
    <w:p>
      <w:pPr>
        <w:ind w:firstLine="562" w:firstLineChars="200"/>
        <w:rPr>
          <w:rFonts w:hint="default" w:ascii="Times New Roman Regular" w:hAnsi="Times New Roman Regular" w:cs="Times New Roman Regular"/>
          <w:b/>
          <w:color w:val="auto"/>
          <w:sz w:val="28"/>
          <w:szCs w:val="20"/>
        </w:rPr>
      </w:pPr>
      <w:bookmarkStart w:id="21" w:name="_Toc1226503300"/>
      <w:bookmarkStart w:id="22" w:name="_Toc47618286"/>
    </w:p>
    <w:p>
      <w:pPr>
        <w:pStyle w:val="3"/>
        <w:bidi w:val="0"/>
        <w:rPr>
          <w:rFonts w:hint="default"/>
        </w:rPr>
      </w:pPr>
      <w:bookmarkStart w:id="23" w:name="_Toc190946127_WPSOffice_Level1"/>
      <w:r>
        <w:rPr>
          <w:rFonts w:hint="default"/>
        </w:rPr>
        <w:t>项目由来</w:t>
      </w:r>
      <w:bookmarkEnd w:id="21"/>
      <w:bookmarkEnd w:id="22"/>
      <w:bookmarkEnd w:id="23"/>
    </w:p>
    <w:p>
      <w:pPr>
        <w:ind w:firstLine="480" w:firstLineChars="200"/>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福建欧玛克智能科技有限公司成立于2006年06月22日，是一家</w:t>
      </w:r>
      <w:r>
        <w:rPr>
          <w:rFonts w:hint="default" w:ascii="Times New Roman Regular" w:hAnsi="Times New Roman Regular" w:cs="Times New Roman Regular"/>
          <w:color w:val="auto"/>
          <w:lang w:val="en-US" w:eastAsia="zh-Hans"/>
        </w:rPr>
        <w:t>从事机电设备和金属制品等生产加工</w:t>
      </w:r>
      <w:r>
        <w:rPr>
          <w:rFonts w:hint="default" w:ascii="Times New Roman Regular" w:hAnsi="Times New Roman Regular" w:cs="Times New Roman Regular"/>
          <w:color w:val="auto"/>
        </w:rPr>
        <w:t>的</w:t>
      </w:r>
      <w:r>
        <w:rPr>
          <w:rFonts w:hint="default" w:ascii="Times New Roman Regular" w:hAnsi="Times New Roman Regular" w:cs="Times New Roman Regular"/>
          <w:color w:val="auto"/>
          <w:lang w:val="en-US" w:eastAsia="zh-Hans"/>
        </w:rPr>
        <w:t>企业</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rPr>
        <w:t>公司</w:t>
      </w:r>
      <w:r>
        <w:rPr>
          <w:rFonts w:hint="default" w:ascii="Times New Roman Regular" w:hAnsi="Times New Roman Regular" w:cs="Times New Roman Regular"/>
          <w:color w:val="auto"/>
          <w:lang w:val="en-US" w:eastAsia="zh-Hans"/>
        </w:rPr>
        <w:t>选址于</w:t>
      </w:r>
      <w:r>
        <w:rPr>
          <w:rFonts w:hint="default" w:ascii="Times New Roman Regular" w:hAnsi="Times New Roman Regular" w:cs="Times New Roman Regular"/>
          <w:color w:val="auto"/>
          <w:sz w:val="24"/>
          <w:szCs w:val="24"/>
          <w:lang w:val="en-US" w:eastAsia="zh-Hans"/>
        </w:rPr>
        <w:t>福州市闽侯县青口镇青口投资区</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lang w:val="en-US" w:eastAsia="zh-Hans"/>
        </w:rPr>
        <w:t>租用福州东郁机械包装有限公司</w:t>
      </w:r>
      <w:r>
        <w:rPr>
          <w:rFonts w:hint="default" w:ascii="Times New Roman Regular" w:hAnsi="Times New Roman Regular" w:cs="Times New Roman Regular"/>
          <w:color w:val="auto"/>
          <w:lang w:eastAsia="zh-Hans"/>
        </w:rPr>
        <w:t>2900</w:t>
      </w:r>
      <w:r>
        <w:rPr>
          <w:rFonts w:hint="default" w:ascii="Times New Roman Regular" w:hAnsi="Times New Roman Regular" w:cs="Times New Roman Regular"/>
          <w:color w:val="auto"/>
          <w:lang w:val="en-US" w:eastAsia="zh-Hans"/>
        </w:rPr>
        <w:t>m</w:t>
      </w:r>
      <w:r>
        <w:rPr>
          <w:rFonts w:hint="default" w:ascii="Times New Roman Regular" w:hAnsi="Times New Roman Regular" w:cs="Times New Roman Regular"/>
          <w:color w:val="auto"/>
          <w:vertAlign w:val="superscript"/>
          <w:lang w:eastAsia="zh-Hans"/>
        </w:rPr>
        <w:t>2</w:t>
      </w:r>
      <w:r>
        <w:rPr>
          <w:rFonts w:hint="default" w:ascii="Times New Roman Regular" w:hAnsi="Times New Roman Regular" w:cs="Times New Roman Regular"/>
          <w:color w:val="auto"/>
          <w:lang w:val="en-US" w:eastAsia="zh-Hans"/>
        </w:rPr>
        <w:t>厂房进行生产</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产权</w:t>
      </w:r>
      <w:r>
        <w:rPr>
          <w:rFonts w:hint="default" w:ascii="Times New Roman Regular" w:hAnsi="Times New Roman Regular" w:cs="Times New Roman Regular"/>
          <w:color w:val="auto"/>
        </w:rPr>
        <w:t>证见附件5，租赁合同见附件6）。</w:t>
      </w:r>
      <w:r>
        <w:rPr>
          <w:rFonts w:hint="default" w:ascii="Times New Roman Regular" w:hAnsi="Times New Roman Regular" w:cs="Times New Roman Regular"/>
          <w:color w:val="auto"/>
          <w:lang w:val="en-US" w:eastAsia="zh-Hans"/>
        </w:rPr>
        <w:t>项目生产</w:t>
      </w:r>
      <w:r>
        <w:rPr>
          <w:rFonts w:hint="default" w:ascii="Times New Roman Regular" w:hAnsi="Times New Roman Regular" w:cs="Times New Roman Regular"/>
          <w:color w:val="auto"/>
        </w:rPr>
        <w:t>工艺采用了国内较先进的生产设备，</w:t>
      </w:r>
      <w:r>
        <w:rPr>
          <w:rFonts w:hint="default" w:ascii="Times New Roman Regular" w:hAnsi="Times New Roman Regular" w:cs="Times New Roman Regular"/>
          <w:color w:val="auto"/>
          <w:lang w:val="en-US" w:eastAsia="zh-Hans"/>
        </w:rPr>
        <w:t>配备数控机床</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台式钻床和镗铣加工中心等设备</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形成</w:t>
      </w:r>
      <w:r>
        <w:rPr>
          <w:rFonts w:hint="default" w:ascii="Times New Roman Regular" w:hAnsi="Times New Roman Regular" w:cs="Times New Roman Regular"/>
          <w:color w:val="auto"/>
          <w:sz w:val="24"/>
          <w:szCs w:val="24"/>
          <w:lang w:val="en-US" w:eastAsia="zh-Hans"/>
        </w:rPr>
        <w:t>年生产平开门机</w:t>
      </w:r>
      <w:r>
        <w:rPr>
          <w:rFonts w:hint="default" w:ascii="Times New Roman Regular" w:hAnsi="Times New Roman Regular" w:cs="Times New Roman Regular"/>
          <w:color w:val="auto"/>
          <w:sz w:val="24"/>
          <w:szCs w:val="24"/>
          <w:lang w:eastAsia="zh-Hans"/>
        </w:rPr>
        <w:t>3.5</w:t>
      </w:r>
      <w:r>
        <w:rPr>
          <w:rFonts w:hint="default" w:ascii="Times New Roman Regular" w:hAnsi="Times New Roman Regular" w:cs="Times New Roman Regular"/>
          <w:color w:val="auto"/>
          <w:sz w:val="24"/>
          <w:szCs w:val="24"/>
          <w:lang w:val="en-US" w:eastAsia="zh-Hans"/>
        </w:rPr>
        <w:t>万套</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sz w:val="24"/>
          <w:szCs w:val="24"/>
          <w:lang w:val="en-US" w:eastAsia="zh-Hans"/>
        </w:rPr>
        <w:t>平移门机</w:t>
      </w:r>
      <w:r>
        <w:rPr>
          <w:rFonts w:hint="default" w:ascii="Times New Roman Regular" w:hAnsi="Times New Roman Regular" w:cs="Times New Roman Regular"/>
          <w:color w:val="auto"/>
          <w:sz w:val="24"/>
          <w:szCs w:val="24"/>
          <w:lang w:eastAsia="zh-Hans"/>
        </w:rPr>
        <w:t>2</w:t>
      </w:r>
      <w:r>
        <w:rPr>
          <w:rFonts w:hint="default" w:ascii="Times New Roman Regular" w:hAnsi="Times New Roman Regular" w:cs="Times New Roman Regular"/>
          <w:color w:val="auto"/>
          <w:sz w:val="24"/>
          <w:szCs w:val="24"/>
          <w:lang w:val="en-US" w:eastAsia="zh-Hans"/>
        </w:rPr>
        <w:t>万套</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sz w:val="24"/>
          <w:szCs w:val="24"/>
          <w:lang w:val="en-US" w:eastAsia="zh-Hans"/>
        </w:rPr>
        <w:t>重型双轮机</w:t>
      </w:r>
      <w:r>
        <w:rPr>
          <w:rFonts w:hint="default" w:ascii="Times New Roman Regular" w:hAnsi="Times New Roman Regular" w:cs="Times New Roman Regular"/>
          <w:color w:val="auto"/>
          <w:sz w:val="24"/>
          <w:szCs w:val="24"/>
          <w:lang w:eastAsia="zh-Hans"/>
        </w:rPr>
        <w:t>1000</w:t>
      </w:r>
      <w:r>
        <w:rPr>
          <w:rFonts w:hint="default" w:ascii="Times New Roman Regular" w:hAnsi="Times New Roman Regular" w:cs="Times New Roman Regular"/>
          <w:color w:val="auto"/>
          <w:sz w:val="24"/>
          <w:szCs w:val="24"/>
          <w:lang w:val="en-US" w:eastAsia="zh-Hans"/>
        </w:rPr>
        <w:t>套</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sz w:val="24"/>
          <w:szCs w:val="24"/>
          <w:lang w:val="en-US" w:eastAsia="zh-Hans"/>
        </w:rPr>
        <w:t>曲臂机</w:t>
      </w:r>
      <w:r>
        <w:rPr>
          <w:rFonts w:hint="default" w:ascii="Times New Roman Regular" w:hAnsi="Times New Roman Regular" w:cs="Times New Roman Regular"/>
          <w:color w:val="auto"/>
          <w:sz w:val="24"/>
          <w:szCs w:val="24"/>
          <w:lang w:eastAsia="zh-Hans"/>
        </w:rPr>
        <w:t>3000</w:t>
      </w:r>
      <w:r>
        <w:rPr>
          <w:rFonts w:hint="default" w:ascii="Times New Roman Regular" w:hAnsi="Times New Roman Regular" w:cs="Times New Roman Regular"/>
          <w:color w:val="auto"/>
          <w:sz w:val="24"/>
          <w:szCs w:val="24"/>
          <w:lang w:val="en-US" w:eastAsia="zh-Hans"/>
        </w:rPr>
        <w:t>套</w:t>
      </w:r>
      <w:r>
        <w:rPr>
          <w:rFonts w:hint="default" w:ascii="Times New Roman Regular" w:hAnsi="Times New Roman Regular" w:cs="Times New Roman Regular"/>
          <w:color w:val="auto"/>
          <w:sz w:val="24"/>
          <w:szCs w:val="24"/>
          <w:lang w:eastAsia="zh-Hans"/>
        </w:rPr>
        <w:t>。</w:t>
      </w:r>
      <w:r>
        <w:rPr>
          <w:rFonts w:hint="default" w:ascii="Times New Roman Regular" w:hAnsi="Times New Roman Regular" w:cs="Times New Roman Regular"/>
          <w:color w:val="auto"/>
          <w:lang w:val="en-US" w:eastAsia="zh-Hans"/>
        </w:rPr>
        <w:t>建设单位于</w:t>
      </w:r>
      <w:r>
        <w:rPr>
          <w:rFonts w:hint="default" w:ascii="Times New Roman Regular" w:hAnsi="Times New Roman Regular" w:cs="Times New Roman Regular"/>
          <w:color w:val="auto"/>
          <w:lang w:eastAsia="zh-Hans"/>
        </w:rPr>
        <w:t>2020</w:t>
      </w:r>
      <w:r>
        <w:rPr>
          <w:rFonts w:hint="default" w:ascii="Times New Roman Regular" w:hAnsi="Times New Roman Regular" w:cs="Times New Roman Regular"/>
          <w:color w:val="auto"/>
          <w:lang w:val="en-US" w:eastAsia="zh-Hans"/>
        </w:rPr>
        <w:t>年</w:t>
      </w:r>
      <w:r>
        <w:rPr>
          <w:rFonts w:hint="default" w:ascii="Times New Roman Regular" w:hAnsi="Times New Roman Regular" w:cs="Times New Roman Regular"/>
          <w:color w:val="auto"/>
          <w:lang w:eastAsia="zh-Hans"/>
        </w:rPr>
        <w:t>11</w:t>
      </w:r>
      <w:r>
        <w:rPr>
          <w:rFonts w:hint="default" w:ascii="Times New Roman Regular" w:hAnsi="Times New Roman Regular" w:cs="Times New Roman Regular"/>
          <w:color w:val="auto"/>
          <w:lang w:val="en-US" w:eastAsia="zh-Hans"/>
        </w:rPr>
        <w:t>月</w:t>
      </w:r>
      <w:r>
        <w:rPr>
          <w:rFonts w:hint="default" w:ascii="Times New Roman Regular" w:hAnsi="Times New Roman Regular" w:cs="Times New Roman Regular"/>
          <w:color w:val="auto"/>
          <w:lang w:eastAsia="zh-Hans"/>
        </w:rPr>
        <w:t>13</w:t>
      </w:r>
      <w:r>
        <w:rPr>
          <w:rFonts w:hint="default" w:ascii="Times New Roman Regular" w:hAnsi="Times New Roman Regular" w:cs="Times New Roman Regular"/>
          <w:color w:val="auto"/>
          <w:lang w:val="en-US" w:eastAsia="zh-Hans"/>
        </w:rPr>
        <w:t>日在闽侯县发展和改革局进行了项目备案</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备案号</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闽发改备</w:t>
      </w:r>
      <w:r>
        <w:rPr>
          <w:rFonts w:hint="default" w:ascii="Times New Roman Regular" w:hAnsi="Times New Roman Regular" w:cs="Times New Roman Regular"/>
          <w:color w:val="auto"/>
          <w:lang w:eastAsia="zh-Hans"/>
        </w:rPr>
        <w:t>[2020]</w:t>
      </w:r>
      <w:r>
        <w:rPr>
          <w:rFonts w:hint="default" w:ascii="Times New Roman Regular" w:hAnsi="Times New Roman Regular" w:cs="Times New Roman Regular"/>
          <w:color w:val="auto"/>
          <w:lang w:val="en-US" w:eastAsia="zh-Hans"/>
        </w:rPr>
        <w:t>A</w:t>
      </w:r>
      <w:r>
        <w:rPr>
          <w:rFonts w:hint="default" w:ascii="Times New Roman Regular" w:hAnsi="Times New Roman Regular" w:cs="Times New Roman Regular"/>
          <w:color w:val="auto"/>
          <w:lang w:eastAsia="zh-Hans"/>
        </w:rPr>
        <w:t>080393</w:t>
      </w:r>
      <w:r>
        <w:rPr>
          <w:rFonts w:hint="default" w:ascii="Times New Roman Regular" w:hAnsi="Times New Roman Regular" w:cs="Times New Roman Regular"/>
          <w:color w:val="auto"/>
          <w:lang w:val="en-US" w:eastAsia="zh-Hans"/>
        </w:rPr>
        <w:t>号</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详见附件</w:t>
      </w:r>
      <w:r>
        <w:rPr>
          <w:rFonts w:hint="default" w:ascii="Times New Roman Regular" w:hAnsi="Times New Roman Regular" w:cs="Times New Roman Regular"/>
          <w:color w:val="auto"/>
          <w:lang w:eastAsia="zh-Hans"/>
        </w:rPr>
        <w:t>2）。</w:t>
      </w:r>
    </w:p>
    <w:p>
      <w:pPr>
        <w:autoSpaceDE w:val="0"/>
        <w:autoSpaceDN w:val="0"/>
        <w:spacing w:line="420" w:lineRule="auto"/>
        <w:ind w:firstLine="480" w:firstLineChars="200"/>
        <w:rPr>
          <w:rFonts w:hint="default" w:ascii="Times New Roman Regular" w:hAnsi="Times New Roman Regular" w:cs="Times New Roman Regular"/>
          <w:color w:val="auto"/>
          <w:lang w:eastAsia="zh-Hans"/>
        </w:rPr>
      </w:pPr>
      <w:r>
        <w:rPr>
          <w:rFonts w:hint="default" w:ascii="Times New Roman Regular" w:hAnsi="Times New Roman Regular" w:cs="Times New Roman Regular"/>
          <w:color w:val="auto"/>
        </w:rPr>
        <w:t>根据《中华人民共和国环境保护法》（2015年）、《中华人民共和国环境影响评价法》（2018年修正版）、《建设项目环境保护管理条例》（2017年）和《建设项目环境影响评价分类管理名录》（2017年及2018年修改单）的相关规定，该建设项目属于“</w:t>
      </w:r>
      <w:r>
        <w:rPr>
          <w:rFonts w:hint="default" w:ascii="Times New Roman Regular" w:hAnsi="Times New Roman Regular" w:cs="Times New Roman Regular"/>
          <w:color w:val="auto"/>
          <w:lang w:val="en-US" w:eastAsia="zh-Hans"/>
        </w:rPr>
        <w:t>二十二</w:t>
      </w:r>
      <w:r>
        <w:rPr>
          <w:rFonts w:hint="default" w:ascii="Times New Roman Regular" w:hAnsi="Times New Roman Regular" w:cs="Times New Roman Regular"/>
          <w:b/>
          <w:color w:val="auto"/>
        </w:rPr>
        <w:t xml:space="preserve"> 、</w:t>
      </w:r>
      <w:r>
        <w:rPr>
          <w:rFonts w:hint="default" w:ascii="Times New Roman Regular" w:hAnsi="Times New Roman Regular" w:cs="Times New Roman Regular"/>
          <w:b/>
          <w:color w:val="auto"/>
          <w:lang w:val="en-US" w:eastAsia="zh-Hans"/>
        </w:rPr>
        <w:t>金属制品业</w:t>
      </w:r>
      <w:r>
        <w:rPr>
          <w:rFonts w:hint="default" w:ascii="Times New Roman Regular" w:hAnsi="Times New Roman Regular" w:cs="Times New Roman Regular"/>
          <w:b/>
          <w:color w:val="auto"/>
          <w:lang w:eastAsia="zh-Hans"/>
        </w:rPr>
        <w:t>——</w:t>
      </w:r>
      <w:r>
        <w:rPr>
          <w:rFonts w:hint="default" w:ascii="Times New Roman Regular" w:hAnsi="Times New Roman Regular" w:cs="Times New Roman Regular"/>
          <w:b/>
          <w:color w:val="auto"/>
        </w:rPr>
        <w:t>67、</w:t>
      </w:r>
      <w:r>
        <w:rPr>
          <w:rFonts w:hint="default" w:ascii="Times New Roman Regular" w:hAnsi="Times New Roman Regular" w:cs="Times New Roman Regular"/>
          <w:b/>
          <w:color w:val="auto"/>
          <w:lang w:val="en-US" w:eastAsia="zh-Hans"/>
        </w:rPr>
        <w:t>金属制品加工制造</w:t>
      </w:r>
      <w:r>
        <w:rPr>
          <w:rFonts w:hint="default" w:ascii="Times New Roman Regular" w:hAnsi="Times New Roman Regular" w:cs="Times New Roman Regular"/>
          <w:color w:val="auto"/>
        </w:rPr>
        <w:t>”</w:t>
      </w:r>
      <w:r>
        <w:rPr>
          <w:rFonts w:hint="default" w:ascii="Times New Roman Regular" w:hAnsi="Times New Roman Regular" w:cs="Times New Roman Regular"/>
          <w:color w:val="auto"/>
          <w:lang w:val="en-US" w:eastAsia="zh-Hans"/>
        </w:rPr>
        <w:t>中其他</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仅切割组装除外</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rPr>
        <w:t>类别的项目，</w:t>
      </w:r>
      <w:r>
        <w:rPr>
          <w:rFonts w:hint="default" w:ascii="Times New Roman Regular" w:hAnsi="Times New Roman Regular" w:cs="Times New Roman Regular"/>
          <w:color w:val="auto"/>
          <w:lang w:val="en-US" w:eastAsia="zh-Hans"/>
        </w:rPr>
        <w:t>确定该项目等</w:t>
      </w:r>
      <w:r>
        <w:rPr>
          <w:rFonts w:hint="default" w:ascii="Times New Roman Regular" w:hAnsi="Times New Roman Regular" w:cs="Times New Roman Regular"/>
          <w:color w:val="auto"/>
        </w:rPr>
        <w:t>环境影响</w:t>
      </w:r>
      <w:r>
        <w:rPr>
          <w:rFonts w:hint="default" w:ascii="Times New Roman Regular" w:hAnsi="Times New Roman Regular" w:cs="Times New Roman Regular"/>
          <w:color w:val="auto"/>
          <w:lang w:val="en-US" w:eastAsia="zh-Hans"/>
        </w:rPr>
        <w:t>评价形式为编制环境影响报告</w:t>
      </w:r>
      <w:r>
        <w:rPr>
          <w:rFonts w:hint="default" w:ascii="Times New Roman Regular" w:hAnsi="Times New Roman Regular" w:cs="Times New Roman Regular"/>
          <w:color w:val="auto"/>
        </w:rPr>
        <w:t>报告表。</w:t>
      </w:r>
      <w:r>
        <w:rPr>
          <w:rFonts w:hint="default" w:ascii="Times New Roman Regular" w:hAnsi="Times New Roman Regular" w:cs="Times New Roman Regular"/>
          <w:color w:val="auto"/>
          <w:lang w:val="en-US" w:eastAsia="zh-Hans"/>
        </w:rPr>
        <w:t>编制依据详见表</w:t>
      </w:r>
      <w:r>
        <w:rPr>
          <w:rFonts w:hint="default" w:ascii="Times New Roman Regular" w:hAnsi="Times New Roman Regular" w:cs="Times New Roman Regular"/>
          <w:color w:val="auto"/>
          <w:lang w:eastAsia="zh-Hans"/>
        </w:rPr>
        <w:t>2</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1-1。</w:t>
      </w:r>
    </w:p>
    <w:p>
      <w:pPr>
        <w:bidi w:val="0"/>
        <w:jc w:val="center"/>
        <w:rPr>
          <w:rFonts w:hint="default"/>
          <w:b/>
          <w:bCs/>
          <w:lang w:val="zh-CN"/>
        </w:rPr>
      </w:pPr>
      <w:r>
        <w:rPr>
          <w:rFonts w:hint="default"/>
          <w:b/>
          <w:bCs/>
          <w:lang w:val="zh-CN"/>
        </w:rPr>
        <w:t>表2.1-1  建设项目环境影响评价分类管理名录</w:t>
      </w:r>
    </w:p>
    <w:tbl>
      <w:tblPr>
        <w:tblStyle w:val="36"/>
        <w:tblW w:w="883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08"/>
        <w:gridCol w:w="3248"/>
        <w:gridCol w:w="1713"/>
        <w:gridCol w:w="14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2408" w:type="dxa"/>
            <w:tcBorders>
              <w:tl2br w:val="single" w:color="auto" w:sz="4" w:space="0"/>
            </w:tcBorders>
            <w:vAlign w:val="center"/>
          </w:tcPr>
          <w:p>
            <w:pPr>
              <w:widowControl/>
              <w:adjustRightInd w:val="0"/>
              <w:snapToGrid w:val="0"/>
              <w:spacing w:line="340" w:lineRule="exact"/>
              <w:ind w:firstLine="0"/>
              <w:jc w:val="right"/>
              <w:rPr>
                <w:rFonts w:hint="default" w:ascii="Times New Roman Regular" w:hAnsi="Times New Roman Regular" w:eastAsia="宋体" w:cs="Times New Roman Regular"/>
                <w:snapToGrid w:val="0"/>
                <w:color w:val="auto"/>
                <w:kern w:val="0"/>
                <w:sz w:val="24"/>
              </w:rPr>
            </w:pPr>
            <w:r>
              <w:rPr>
                <w:rFonts w:hint="default" w:ascii="Times New Roman Regular" w:hAnsi="Times New Roman Regular" w:eastAsia="宋体" w:cs="Times New Roman Regular"/>
                <w:snapToGrid w:val="0"/>
                <w:color w:val="auto"/>
                <w:kern w:val="0"/>
                <w:sz w:val="21"/>
                <w:szCs w:val="21"/>
              </w:rPr>
              <w:t>环评类别</w:t>
            </w:r>
          </w:p>
          <w:p>
            <w:pPr>
              <w:widowControl/>
              <w:adjustRightInd w:val="0"/>
              <w:snapToGrid w:val="0"/>
              <w:spacing w:line="340" w:lineRule="exact"/>
              <w:ind w:firstLine="0"/>
              <w:jc w:val="left"/>
              <w:rPr>
                <w:rFonts w:hint="default" w:ascii="Times New Roman Regular" w:hAnsi="Times New Roman Regular" w:eastAsia="宋体" w:cs="Times New Roman Regular"/>
                <w:snapToGrid w:val="0"/>
                <w:color w:val="auto"/>
                <w:kern w:val="0"/>
                <w:sz w:val="24"/>
              </w:rPr>
            </w:pPr>
            <w:r>
              <w:rPr>
                <w:rFonts w:hint="default" w:ascii="Times New Roman Regular" w:hAnsi="Times New Roman Regular" w:eastAsia="宋体" w:cs="Times New Roman Regular"/>
                <w:snapToGrid w:val="0"/>
                <w:color w:val="auto"/>
                <w:kern w:val="0"/>
                <w:sz w:val="21"/>
                <w:szCs w:val="21"/>
              </w:rPr>
              <w:t>项目类别</w:t>
            </w:r>
          </w:p>
        </w:tc>
        <w:tc>
          <w:tcPr>
            <w:tcW w:w="3248" w:type="dxa"/>
            <w:vAlign w:val="center"/>
          </w:tcPr>
          <w:p>
            <w:pPr>
              <w:widowControl/>
              <w:adjustRightInd w:val="0"/>
              <w:snapToGrid w:val="0"/>
              <w:spacing w:line="340" w:lineRule="exact"/>
              <w:ind w:firstLine="0"/>
              <w:jc w:val="center"/>
              <w:rPr>
                <w:rFonts w:hint="default" w:ascii="Times New Roman Regular" w:hAnsi="Times New Roman Regular" w:eastAsia="宋体" w:cs="Times New Roman Regular"/>
                <w:snapToGrid w:val="0"/>
                <w:color w:val="auto"/>
                <w:kern w:val="0"/>
                <w:sz w:val="21"/>
                <w:szCs w:val="21"/>
              </w:rPr>
            </w:pPr>
            <w:r>
              <w:rPr>
                <w:rFonts w:hint="default" w:ascii="Times New Roman Regular" w:hAnsi="Times New Roman Regular" w:eastAsia="宋体" w:cs="Times New Roman Regular"/>
                <w:snapToGrid w:val="0"/>
                <w:color w:val="auto"/>
                <w:kern w:val="0"/>
                <w:sz w:val="21"/>
                <w:szCs w:val="21"/>
              </w:rPr>
              <w:t>报告书</w:t>
            </w:r>
          </w:p>
        </w:tc>
        <w:tc>
          <w:tcPr>
            <w:tcW w:w="1713" w:type="dxa"/>
            <w:vAlign w:val="center"/>
          </w:tcPr>
          <w:p>
            <w:pPr>
              <w:widowControl/>
              <w:adjustRightInd w:val="0"/>
              <w:snapToGrid w:val="0"/>
              <w:spacing w:line="340" w:lineRule="exact"/>
              <w:ind w:firstLine="0"/>
              <w:jc w:val="center"/>
              <w:rPr>
                <w:rFonts w:hint="default" w:ascii="Times New Roman Regular" w:hAnsi="Times New Roman Regular" w:eastAsia="宋体" w:cs="Times New Roman Regular"/>
                <w:snapToGrid w:val="0"/>
                <w:color w:val="auto"/>
                <w:kern w:val="0"/>
                <w:sz w:val="21"/>
                <w:szCs w:val="21"/>
              </w:rPr>
            </w:pPr>
            <w:r>
              <w:rPr>
                <w:rFonts w:hint="default" w:ascii="Times New Roman Regular" w:hAnsi="Times New Roman Regular" w:eastAsia="宋体" w:cs="Times New Roman Regular"/>
                <w:snapToGrid w:val="0"/>
                <w:color w:val="auto"/>
                <w:kern w:val="0"/>
                <w:sz w:val="21"/>
                <w:szCs w:val="21"/>
              </w:rPr>
              <w:t>报告表</w:t>
            </w:r>
          </w:p>
        </w:tc>
        <w:tc>
          <w:tcPr>
            <w:tcW w:w="1465" w:type="dxa"/>
            <w:vAlign w:val="center"/>
          </w:tcPr>
          <w:p>
            <w:pPr>
              <w:widowControl/>
              <w:adjustRightInd w:val="0"/>
              <w:snapToGrid w:val="0"/>
              <w:spacing w:line="340" w:lineRule="exact"/>
              <w:ind w:firstLine="0"/>
              <w:jc w:val="center"/>
              <w:rPr>
                <w:rFonts w:hint="default" w:ascii="Times New Roman Regular" w:hAnsi="Times New Roman Regular" w:eastAsia="宋体" w:cs="Times New Roman Regular"/>
                <w:snapToGrid w:val="0"/>
                <w:color w:val="auto"/>
                <w:kern w:val="0"/>
                <w:sz w:val="21"/>
                <w:szCs w:val="21"/>
              </w:rPr>
            </w:pPr>
            <w:r>
              <w:rPr>
                <w:rFonts w:hint="default" w:ascii="Times New Roman Regular" w:hAnsi="Times New Roman Regular" w:eastAsia="宋体" w:cs="Times New Roman Regular"/>
                <w:snapToGrid w:val="0"/>
                <w:color w:val="auto"/>
                <w:kern w:val="0"/>
                <w:sz w:val="21"/>
                <w:szCs w:val="21"/>
              </w:rPr>
              <w:t>登记表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834" w:type="dxa"/>
            <w:gridSpan w:val="4"/>
            <w:vAlign w:val="center"/>
          </w:tcPr>
          <w:p>
            <w:pPr>
              <w:widowControl/>
              <w:adjustRightInd w:val="0"/>
              <w:snapToGrid w:val="0"/>
              <w:spacing w:line="340" w:lineRule="exact"/>
              <w:ind w:firstLine="0"/>
              <w:rPr>
                <w:rFonts w:hint="default" w:ascii="Times New Roman Regular" w:hAnsi="Times New Roman Regular" w:eastAsia="宋体" w:cs="Times New Roman Regular"/>
                <w:snapToGrid w:val="0"/>
                <w:color w:val="auto"/>
                <w:kern w:val="0"/>
                <w:sz w:val="21"/>
                <w:szCs w:val="21"/>
                <w:lang w:val="en-US" w:eastAsia="zh-Hans"/>
              </w:rPr>
            </w:pPr>
            <w:r>
              <w:rPr>
                <w:rFonts w:hint="default" w:ascii="Times New Roman Regular" w:hAnsi="Times New Roman Regular" w:cs="Times New Roman Regular"/>
                <w:snapToGrid w:val="0"/>
                <w:color w:val="auto"/>
                <w:kern w:val="0"/>
                <w:sz w:val="21"/>
                <w:szCs w:val="21"/>
                <w:lang w:val="en-US" w:eastAsia="zh-Hans"/>
              </w:rPr>
              <w:t>二十二</w:t>
            </w:r>
            <w:r>
              <w:rPr>
                <w:rFonts w:hint="default" w:ascii="Times New Roman Regular" w:hAnsi="Times New Roman Regular" w:cs="Times New Roman Regular"/>
                <w:snapToGrid w:val="0"/>
                <w:color w:val="auto"/>
                <w:kern w:val="0"/>
                <w:sz w:val="21"/>
                <w:szCs w:val="21"/>
                <w:lang w:eastAsia="zh-Hans"/>
              </w:rPr>
              <w:t>、</w:t>
            </w:r>
            <w:r>
              <w:rPr>
                <w:rFonts w:hint="default" w:ascii="Times New Roman Regular" w:hAnsi="Times New Roman Regular" w:cs="Times New Roman Regular"/>
                <w:snapToGrid w:val="0"/>
                <w:color w:val="auto"/>
                <w:kern w:val="0"/>
                <w:sz w:val="21"/>
                <w:szCs w:val="21"/>
                <w:lang w:val="en-US" w:eastAsia="zh-Hans"/>
              </w:rPr>
              <w:t>金属制品业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3" w:hRule="atLeast"/>
          <w:jc w:val="center"/>
        </w:trPr>
        <w:tc>
          <w:tcPr>
            <w:tcW w:w="2408" w:type="dxa"/>
            <w:vAlign w:val="center"/>
          </w:tcPr>
          <w:p>
            <w:pPr>
              <w:widowControl/>
              <w:adjustRightInd w:val="0"/>
              <w:snapToGrid w:val="0"/>
              <w:spacing w:line="340" w:lineRule="exact"/>
              <w:ind w:firstLine="0"/>
              <w:jc w:val="center"/>
              <w:rPr>
                <w:rFonts w:hint="default" w:ascii="Times New Roman Regular" w:hAnsi="Times New Roman Regular" w:eastAsia="宋体" w:cs="Times New Roman Regular"/>
                <w:snapToGrid w:val="0"/>
                <w:color w:val="auto"/>
                <w:kern w:val="0"/>
                <w:sz w:val="21"/>
                <w:szCs w:val="21"/>
              </w:rPr>
            </w:pPr>
            <w:r>
              <w:rPr>
                <w:rFonts w:hint="default" w:ascii="Times New Roman Regular" w:hAnsi="Times New Roman Regular" w:cs="Times New Roman Regular"/>
                <w:snapToGrid w:val="0"/>
                <w:color w:val="auto"/>
                <w:kern w:val="0"/>
                <w:sz w:val="21"/>
                <w:szCs w:val="21"/>
              </w:rPr>
              <w:t>67、</w:t>
            </w:r>
            <w:r>
              <w:rPr>
                <w:rFonts w:hint="default" w:ascii="Times New Roman Regular" w:hAnsi="Times New Roman Regular" w:cs="Times New Roman Regular"/>
                <w:snapToGrid w:val="0"/>
                <w:color w:val="auto"/>
                <w:kern w:val="0"/>
                <w:sz w:val="21"/>
                <w:szCs w:val="21"/>
                <w:lang w:val="en-US" w:eastAsia="zh-Hans"/>
              </w:rPr>
              <w:t>金属制品加工制造</w:t>
            </w:r>
          </w:p>
        </w:tc>
        <w:tc>
          <w:tcPr>
            <w:tcW w:w="3248" w:type="dxa"/>
            <w:vAlign w:val="center"/>
          </w:tcPr>
          <w:p>
            <w:pPr>
              <w:widowControl/>
              <w:adjustRightInd w:val="0"/>
              <w:snapToGrid w:val="0"/>
              <w:spacing w:line="340" w:lineRule="exact"/>
              <w:ind w:firstLine="0"/>
              <w:jc w:val="center"/>
              <w:rPr>
                <w:rFonts w:hint="default" w:ascii="Times New Roman Regular" w:hAnsi="Times New Roman Regular" w:eastAsia="宋体" w:cs="Times New Roman Regular"/>
                <w:snapToGrid w:val="0"/>
                <w:color w:val="auto"/>
                <w:kern w:val="0"/>
                <w:sz w:val="21"/>
                <w:szCs w:val="21"/>
              </w:rPr>
            </w:pPr>
            <w:r>
              <w:rPr>
                <w:rFonts w:hint="default" w:ascii="Times New Roman Regular" w:hAnsi="Times New Roman Regular" w:cs="Times New Roman Regular"/>
                <w:snapToGrid w:val="0"/>
                <w:color w:val="auto"/>
                <w:kern w:val="0"/>
                <w:sz w:val="21"/>
                <w:szCs w:val="21"/>
                <w:lang w:val="en-US" w:eastAsia="zh-Hans"/>
              </w:rPr>
              <w:t>有电镀或喷漆工艺且年用油性漆量</w:t>
            </w:r>
            <w:r>
              <w:rPr>
                <w:rFonts w:hint="default" w:ascii="Times New Roman Regular" w:hAnsi="Times New Roman Regular" w:cs="Times New Roman Regular"/>
                <w:snapToGrid w:val="0"/>
                <w:color w:val="auto"/>
                <w:kern w:val="0"/>
                <w:sz w:val="21"/>
                <w:szCs w:val="21"/>
                <w:lang w:eastAsia="zh-Hans"/>
              </w:rPr>
              <w:t>（</w:t>
            </w:r>
            <w:r>
              <w:rPr>
                <w:rFonts w:hint="default" w:ascii="Times New Roman Regular" w:hAnsi="Times New Roman Regular" w:cs="Times New Roman Regular"/>
                <w:snapToGrid w:val="0"/>
                <w:color w:val="auto"/>
                <w:kern w:val="0"/>
                <w:sz w:val="21"/>
                <w:szCs w:val="21"/>
                <w:lang w:val="en-US" w:eastAsia="zh-Hans"/>
              </w:rPr>
              <w:t>含稀释剂</w:t>
            </w:r>
            <w:r>
              <w:rPr>
                <w:rFonts w:hint="default" w:ascii="Times New Roman Regular" w:hAnsi="Times New Roman Regular" w:cs="Times New Roman Regular"/>
                <w:snapToGrid w:val="0"/>
                <w:color w:val="auto"/>
                <w:kern w:val="0"/>
                <w:sz w:val="21"/>
                <w:szCs w:val="21"/>
                <w:lang w:eastAsia="zh-Hans"/>
              </w:rPr>
              <w:t>）10</w:t>
            </w:r>
            <w:r>
              <w:rPr>
                <w:rFonts w:hint="default" w:ascii="Times New Roman Regular" w:hAnsi="Times New Roman Regular" w:cs="Times New Roman Regular"/>
                <w:snapToGrid w:val="0"/>
                <w:color w:val="auto"/>
                <w:kern w:val="0"/>
                <w:sz w:val="21"/>
                <w:szCs w:val="21"/>
                <w:lang w:val="en-US" w:eastAsia="zh-Hans"/>
              </w:rPr>
              <w:t>吨及以上的</w:t>
            </w:r>
          </w:p>
        </w:tc>
        <w:tc>
          <w:tcPr>
            <w:tcW w:w="1713" w:type="dxa"/>
            <w:vAlign w:val="center"/>
          </w:tcPr>
          <w:p>
            <w:pPr>
              <w:widowControl/>
              <w:adjustRightInd w:val="0"/>
              <w:snapToGrid w:val="0"/>
              <w:spacing w:line="340" w:lineRule="exact"/>
              <w:ind w:firstLine="0"/>
              <w:jc w:val="center"/>
              <w:rPr>
                <w:rFonts w:hint="default" w:ascii="Times New Roman Regular" w:hAnsi="Times New Roman Regular" w:eastAsia="宋体" w:cs="Times New Roman Regular"/>
                <w:snapToGrid w:val="0"/>
                <w:color w:val="auto"/>
                <w:kern w:val="0"/>
                <w:sz w:val="21"/>
                <w:szCs w:val="21"/>
              </w:rPr>
            </w:pPr>
            <w:r>
              <w:rPr>
                <w:rFonts w:hint="default" w:ascii="Times New Roman Regular" w:hAnsi="Times New Roman Regular" w:eastAsia="宋体" w:cs="Times New Roman Regular"/>
                <w:snapToGrid w:val="0"/>
                <w:color w:val="auto"/>
                <w:kern w:val="0"/>
                <w:sz w:val="21"/>
                <w:szCs w:val="21"/>
              </w:rPr>
              <w:t>其他</w:t>
            </w:r>
            <w:r>
              <w:rPr>
                <w:rFonts w:hint="default" w:ascii="Times New Roman Regular" w:hAnsi="Times New Roman Regular" w:cs="Times New Roman Regular"/>
                <w:snapToGrid w:val="0"/>
                <w:color w:val="auto"/>
                <w:kern w:val="0"/>
                <w:sz w:val="21"/>
                <w:szCs w:val="21"/>
              </w:rPr>
              <w:t>（</w:t>
            </w:r>
            <w:r>
              <w:rPr>
                <w:rFonts w:hint="default" w:ascii="Times New Roman Regular" w:hAnsi="Times New Roman Regular" w:cs="Times New Roman Regular"/>
                <w:snapToGrid w:val="0"/>
                <w:color w:val="auto"/>
                <w:kern w:val="0"/>
                <w:sz w:val="21"/>
                <w:szCs w:val="21"/>
                <w:lang w:val="en-US" w:eastAsia="zh-Hans"/>
              </w:rPr>
              <w:t>仅切割组装除外</w:t>
            </w:r>
            <w:r>
              <w:rPr>
                <w:rFonts w:hint="default" w:ascii="Times New Roman Regular" w:hAnsi="Times New Roman Regular" w:cs="Times New Roman Regular"/>
                <w:snapToGrid w:val="0"/>
                <w:color w:val="auto"/>
                <w:kern w:val="0"/>
                <w:sz w:val="21"/>
                <w:szCs w:val="21"/>
              </w:rPr>
              <w:t>）</w:t>
            </w:r>
          </w:p>
        </w:tc>
        <w:tc>
          <w:tcPr>
            <w:tcW w:w="1465" w:type="dxa"/>
            <w:vAlign w:val="center"/>
          </w:tcPr>
          <w:p>
            <w:pPr>
              <w:widowControl/>
              <w:adjustRightInd w:val="0"/>
              <w:snapToGrid w:val="0"/>
              <w:spacing w:line="340" w:lineRule="exact"/>
              <w:ind w:firstLine="0"/>
              <w:jc w:val="center"/>
              <w:rPr>
                <w:rFonts w:hint="default" w:ascii="Times New Roman Regular" w:hAnsi="Times New Roman Regular" w:eastAsia="宋体" w:cs="Times New Roman Regular"/>
                <w:snapToGrid w:val="0"/>
                <w:color w:val="auto"/>
                <w:kern w:val="0"/>
                <w:sz w:val="21"/>
                <w:szCs w:val="21"/>
              </w:rPr>
            </w:pPr>
            <w:r>
              <w:rPr>
                <w:rFonts w:hint="default" w:ascii="Times New Roman Regular" w:hAnsi="Times New Roman Regular" w:cs="Times New Roman Regular"/>
                <w:snapToGrid w:val="0"/>
                <w:color w:val="auto"/>
                <w:kern w:val="0"/>
                <w:sz w:val="21"/>
                <w:szCs w:val="21"/>
                <w:lang w:val="en-US" w:eastAsia="zh-Hans"/>
              </w:rPr>
              <w:t>仅切割组装的</w:t>
            </w:r>
          </w:p>
        </w:tc>
      </w:tr>
    </w:tbl>
    <w:p>
      <w:pPr>
        <w:autoSpaceDE w:val="0"/>
        <w:autoSpaceDN w:val="0"/>
        <w:spacing w:line="420" w:lineRule="auto"/>
        <w:ind w:firstLine="480" w:firstLineChars="200"/>
        <w:rPr>
          <w:rFonts w:hint="default" w:ascii="Times New Roman Regular" w:hAnsi="Times New Roman Regular" w:cs="Times New Roman Regular"/>
          <w:b/>
          <w:color w:val="auto"/>
          <w:sz w:val="28"/>
          <w:szCs w:val="20"/>
        </w:rPr>
      </w:pPr>
      <w:r>
        <w:rPr>
          <w:rFonts w:hint="default" w:ascii="Times New Roman Regular" w:hAnsi="Times New Roman Regular" w:cs="Times New Roman Regular"/>
          <w:color w:val="auto"/>
        </w:rPr>
        <w:t>因此，福建欧玛克智能科技有限公司于2020年10月26日委托福建盖尔博瑞环保科技有限公司编制该项目的环境影响报告表（</w:t>
      </w:r>
      <w:r>
        <w:rPr>
          <w:rFonts w:hint="default" w:ascii="Times New Roman Regular" w:hAnsi="Times New Roman Regular" w:cs="Times New Roman Regular"/>
          <w:color w:val="auto"/>
          <w:lang w:val="en-US" w:eastAsia="zh-Hans"/>
        </w:rPr>
        <w:t>详见</w:t>
      </w:r>
      <w:r>
        <w:rPr>
          <w:rFonts w:hint="default" w:ascii="Times New Roman Regular" w:hAnsi="Times New Roman Regular" w:cs="Times New Roman Regular"/>
          <w:color w:val="auto"/>
        </w:rPr>
        <w:t>附件1）。本环评单位接受委托后，组织有关人员进行现场踏勘，在对项目开展环境现状调查、资料收集等和调研的基础上，根据本项目点特点和相关技术导则编制了本环境影响报告表，供建设单位呈报生态环境部门审批。</w:t>
      </w:r>
      <w:r>
        <w:rPr>
          <w:rFonts w:hint="default" w:ascii="Times New Roman Regular" w:hAnsi="Times New Roman Regular" w:cs="Times New Roman Regular"/>
          <w:b/>
          <w:color w:val="auto"/>
          <w:sz w:val="28"/>
          <w:szCs w:val="20"/>
        </w:rPr>
        <w:t xml:space="preserve"> </w:t>
      </w:r>
    </w:p>
    <w:p>
      <w:pPr>
        <w:pStyle w:val="3"/>
        <w:bidi w:val="0"/>
        <w:outlineLvl w:val="0"/>
        <w:rPr>
          <w:rFonts w:hint="default"/>
        </w:rPr>
      </w:pPr>
      <w:bookmarkStart w:id="24" w:name="_Toc47618287"/>
      <w:bookmarkStart w:id="25" w:name="_Toc1095913195_WPSOffice_Level1"/>
      <w:r>
        <w:rPr>
          <w:rFonts w:hint="default"/>
        </w:rPr>
        <w:t>当地环境简述</w:t>
      </w:r>
      <w:bookmarkEnd w:id="24"/>
      <w:bookmarkEnd w:id="25"/>
      <w:bookmarkStart w:id="26" w:name="_Toc47618288"/>
    </w:p>
    <w:p>
      <w:pPr>
        <w:pStyle w:val="4"/>
        <w:bidi w:val="0"/>
        <w:outlineLvl w:val="1"/>
        <w:rPr>
          <w:rFonts w:hint="default"/>
        </w:rPr>
      </w:pPr>
      <w:bookmarkStart w:id="27" w:name="_Toc145435547"/>
      <w:bookmarkStart w:id="28" w:name="_Toc1095913195_WPSOffice_Level2"/>
      <w:r>
        <w:rPr>
          <w:rFonts w:hint="default"/>
        </w:rPr>
        <w:t>3.1 地理位置及周边环境概况</w:t>
      </w:r>
      <w:bookmarkEnd w:id="26"/>
      <w:bookmarkEnd w:id="27"/>
      <w:bookmarkEnd w:id="28"/>
    </w:p>
    <w:p>
      <w:pPr>
        <w:pStyle w:val="128"/>
        <w:keepNext/>
        <w:spacing w:before="190" w:beforeLines="50"/>
        <w:outlineLvl w:val="2"/>
        <w:rPr>
          <w:rFonts w:hint="default" w:ascii="Times New Roman Regular" w:hAnsi="Times New Roman Regular" w:cs="Times New Roman Regular"/>
          <w:color w:val="auto"/>
        </w:rPr>
      </w:pPr>
      <w:bookmarkStart w:id="29" w:name="_Toc498848143"/>
      <w:r>
        <w:rPr>
          <w:rFonts w:hint="default" w:ascii="Times New Roman Regular" w:hAnsi="Times New Roman Regular" w:cs="Times New Roman Regular"/>
          <w:color w:val="auto"/>
        </w:rPr>
        <w:t>3.1.1 地理位置</w:t>
      </w:r>
      <w:bookmarkEnd w:id="29"/>
    </w:p>
    <w:p>
      <w:pPr>
        <w:ind w:firstLine="480" w:firstLineChars="200"/>
        <w:rPr>
          <w:rFonts w:hint="default" w:ascii="Times New Roman Regular" w:hAnsi="Times New Roman Regular" w:eastAsia="宋体" w:cs="Times New Roman Regular"/>
          <w:color w:val="auto"/>
          <w:sz w:val="24"/>
        </w:rPr>
      </w:pPr>
      <w:r>
        <w:rPr>
          <w:rFonts w:hint="default" w:ascii="Times New Roman Regular" w:hAnsi="Times New Roman Regular" w:eastAsia="宋体" w:cs="Times New Roman Regular"/>
          <w:color w:val="auto"/>
          <w:sz w:val="24"/>
        </w:rPr>
        <w:t>闽侯县位于福建省东部，福州市西南侧，闽江下游两岸，呈月牙形拱卫省城。地处北纬</w:t>
      </w:r>
      <w:r>
        <w:rPr>
          <w:rFonts w:hint="default" w:ascii="Times New Roman Regular" w:hAnsi="Times New Roman Regular" w:cs="Times New Roman Regular"/>
          <w:color w:val="auto"/>
          <w:sz w:val="24"/>
        </w:rPr>
        <w:t>2</w:t>
      </w:r>
      <w:r>
        <w:rPr>
          <w:rFonts w:hint="default" w:ascii="Times New Roman Regular" w:hAnsi="Times New Roman Regular" w:eastAsia="宋体" w:cs="Times New Roman Regular"/>
          <w:color w:val="auto"/>
          <w:sz w:val="24"/>
        </w:rPr>
        <w:t>5°47′-26°37′，东经 118°51′-119°25′。东邻福州市晋安区、鼓楼区、仓山区以及长乐市、罗源县，南接福清市、永泰县，西抵闽清县，北靠古田县，是全省离省会最近的一个县。交通便捷，闽江从中部流贯全境，外福铁路和福厦铁路，以及 324 国道、316国道、福厦高速公路、京福高速公路等交通干线穿线而过。</w:t>
      </w:r>
    </w:p>
    <w:p>
      <w:pPr>
        <w:ind w:firstLine="480" w:firstLineChars="200"/>
        <w:rPr>
          <w:rFonts w:hint="default" w:ascii="Times New Roman Regular" w:hAnsi="Times New Roman Regular" w:eastAsia="宋体" w:cs="Times New Roman Regular"/>
          <w:color w:val="auto"/>
          <w:sz w:val="24"/>
        </w:rPr>
      </w:pPr>
      <w:r>
        <w:rPr>
          <w:rFonts w:hint="default" w:ascii="Times New Roman Regular" w:hAnsi="Times New Roman Regular" w:eastAsia="宋体" w:cs="Times New Roman Regular"/>
          <w:color w:val="auto"/>
          <w:sz w:val="24"/>
          <w:lang w:val="en-US" w:eastAsia="zh-Hans"/>
        </w:rPr>
        <w:t>青口镇位于福建省闽侯县东南端</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闽江下游</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福州至福清工业走廊中心地段</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东西南三面群山环抱</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北临乌龙江</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境内有青潭</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安民</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梅溪三条溪流汇聚陶江</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中部平原广阔</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是福厦走廊进入省城福州市区的南大门</w:t>
      </w:r>
      <w:r>
        <w:rPr>
          <w:rFonts w:hint="default" w:ascii="Times New Roman Regular" w:hAnsi="Times New Roman Regular" w:eastAsia="宋体" w:cs="Times New Roman Regular"/>
          <w:color w:val="auto"/>
          <w:sz w:val="24"/>
          <w:lang w:eastAsia="zh-Hans"/>
        </w:rPr>
        <w:t>。</w:t>
      </w:r>
    </w:p>
    <w:p>
      <w:pPr>
        <w:ind w:firstLine="480" w:firstLineChars="200"/>
        <w:rPr>
          <w:rFonts w:hint="default" w:ascii="Times New Roman Regular" w:hAnsi="Times New Roman Regular" w:cs="Times New Roman Regular"/>
          <w:color w:val="FF0000"/>
        </w:rPr>
      </w:pPr>
      <w:r>
        <w:rPr>
          <w:rFonts w:hint="default" w:ascii="Times New Roman Regular" w:hAnsi="Times New Roman Regular" w:eastAsia="宋体" w:cs="Times New Roman Regular"/>
          <w:color w:val="auto"/>
          <w:sz w:val="24"/>
        </w:rPr>
        <w:t>本项</w:t>
      </w:r>
      <w:r>
        <w:rPr>
          <w:rFonts w:hint="default" w:ascii="Times New Roman Regular" w:hAnsi="Times New Roman Regular" w:cs="Times New Roman Regular"/>
          <w:color w:val="auto"/>
        </w:rPr>
        <w:t>目选址于</w:t>
      </w:r>
      <w:r>
        <w:rPr>
          <w:rFonts w:hint="default" w:ascii="Times New Roman Regular" w:hAnsi="Times New Roman Regular" w:cs="Times New Roman Regular"/>
          <w:color w:val="auto"/>
          <w:lang w:val="en-US" w:eastAsia="zh-Hans"/>
        </w:rPr>
        <w:t>青口投资区</w:t>
      </w:r>
      <w:r>
        <w:rPr>
          <w:rFonts w:hint="default" w:ascii="Times New Roman Regular" w:hAnsi="Times New Roman Regular" w:cs="Times New Roman Regular"/>
          <w:color w:val="auto"/>
        </w:rPr>
        <w:t>，租赁</w:t>
      </w:r>
      <w:r>
        <w:rPr>
          <w:rFonts w:hint="default" w:ascii="Times New Roman Regular" w:hAnsi="Times New Roman Regular" w:cs="Times New Roman Regular"/>
          <w:color w:val="auto"/>
          <w:lang w:eastAsia="zh-Hans"/>
        </w:rPr>
        <w:t>福州东郁机械包装有限公司</w:t>
      </w:r>
      <w:r>
        <w:rPr>
          <w:rFonts w:hint="default" w:ascii="Times New Roman Regular" w:hAnsi="Times New Roman Regular" w:cs="Times New Roman Regular"/>
          <w:color w:val="auto"/>
          <w:lang w:val="en-US" w:eastAsia="zh-Hans"/>
        </w:rPr>
        <w:t>厂房</w:t>
      </w:r>
      <w:r>
        <w:rPr>
          <w:rFonts w:hint="default" w:ascii="Times New Roman Regular" w:hAnsi="Times New Roman Regular" w:cs="Times New Roman Regular"/>
          <w:color w:val="auto"/>
        </w:rPr>
        <w:t>（卫星定位：</w:t>
      </w:r>
      <w:r>
        <w:rPr>
          <w:rFonts w:hint="default" w:ascii="Times New Roman Regular" w:hAnsi="Times New Roman Regular" w:cs="Times New Roman Regular"/>
          <w:color w:val="auto"/>
          <w:sz w:val="24"/>
          <w:szCs w:val="24"/>
        </w:rPr>
        <w:t>N25</w:t>
      </w:r>
      <w:r>
        <w:rPr>
          <w:rFonts w:hint="default" w:ascii="Times New Roman Regular" w:hAnsi="Times New Roman Regular" w:cs="Times New Roman Regular"/>
          <w:color w:val="auto"/>
          <w:sz w:val="24"/>
          <w:szCs w:val="24"/>
          <w:lang w:val="en-US" w:eastAsia="zh-Hans"/>
        </w:rPr>
        <w:t>.</w:t>
      </w:r>
      <w:r>
        <w:rPr>
          <w:rFonts w:hint="default" w:ascii="Times New Roman Regular" w:hAnsi="Times New Roman Regular" w:cs="Times New Roman Regular"/>
          <w:color w:val="auto"/>
          <w:sz w:val="24"/>
          <w:szCs w:val="24"/>
          <w:lang w:eastAsia="zh-Hans"/>
        </w:rPr>
        <w:t>877706</w:t>
      </w:r>
      <w:r>
        <w:rPr>
          <w:rFonts w:hint="default" w:ascii="Times New Roman Regular" w:hAnsi="Times New Roman Regular" w:cs="Times New Roman Regular"/>
          <w:color w:val="auto"/>
          <w:sz w:val="24"/>
          <w:szCs w:val="24"/>
        </w:rPr>
        <w:t>，E119.347768</w:t>
      </w:r>
      <w:r>
        <w:rPr>
          <w:rFonts w:hint="default" w:ascii="Times New Roman Regular" w:hAnsi="Times New Roman Regular" w:cs="Times New Roman Regular"/>
          <w:color w:val="auto"/>
        </w:rPr>
        <w:t>），项目地理位置详见图3.1-1。</w:t>
      </w:r>
    </w:p>
    <w:p>
      <w:pPr>
        <w:spacing w:line="240" w:lineRule="auto"/>
        <w:jc w:val="center"/>
        <w:rPr>
          <w:rFonts w:hint="default" w:ascii="Times New Roman Regular" w:hAnsi="Times New Roman Regular" w:eastAsia="Times New Roman" w:cs="Times New Roman Regular"/>
          <w:color w:val="FF0000"/>
          <w:kern w:val="0"/>
          <w:lang w:val="en-MY"/>
        </w:rPr>
      </w:pPr>
      <w:r>
        <w:rPr>
          <w:rFonts w:hint="default" w:ascii="Times New Roman Regular" w:hAnsi="Times New Roman Regular" w:eastAsia="Times New Roman" w:cs="Times New Roman Regular"/>
          <w:color w:val="FF0000"/>
          <w:kern w:val="0"/>
          <w:lang w:val="en-MY"/>
        </w:rPr>
        <mc:AlternateContent>
          <mc:Choice Requires="wps">
            <w:drawing>
              <wp:anchor distT="0" distB="0" distL="114300" distR="114300" simplePos="0" relativeHeight="252062720" behindDoc="0" locked="0" layoutInCell="1" allowOverlap="1">
                <wp:simplePos x="0" y="0"/>
                <wp:positionH relativeFrom="column">
                  <wp:posOffset>3952875</wp:posOffset>
                </wp:positionH>
                <wp:positionV relativeFrom="paragraph">
                  <wp:posOffset>6461125</wp:posOffset>
                </wp:positionV>
                <wp:extent cx="112395" cy="112395"/>
                <wp:effectExtent l="0" t="0" r="1905" b="1905"/>
                <wp:wrapNone/>
                <wp:docPr id="203" name="Oval 203"/>
                <wp:cNvGraphicFramePr/>
                <a:graphic xmlns:a="http://schemas.openxmlformats.org/drawingml/2006/main">
                  <a:graphicData uri="http://schemas.microsoft.com/office/word/2010/wordprocessingShape">
                    <wps:wsp>
                      <wps:cNvSpPr/>
                      <wps:spPr>
                        <a:xfrm>
                          <a:off x="0" y="0"/>
                          <a:ext cx="112395" cy="11239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Oval 203" o:spid="_x0000_s1026" o:spt="3" type="#_x0000_t3" style="position:absolute;left:0pt;margin-left:311.25pt;margin-top:508.75pt;height:8.85pt;width:8.85pt;z-index:252062720;v-text-anchor:middle;mso-width-relative:page;mso-height-relative:page;" fillcolor="#FF0000" filled="t" stroked="f" coordsize="21600,21600" o:gfxdata="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BPfGA7YAAAADQEAAA8AAAAAAAAAAQAgAAAAIgAAAGRycy9kb3ducmV2LnhtbFBLAQIU&#10;ABQAAAAIAIdO4kBFpFw7ZQIAANoEAAAOAAAAAAAAAAEAIAAAACcBAABkcnMvZTJvRG9jLnhtbFBL&#10;BQYAAAAABgAGAFkBAAD+BQAAAAA=&#10;">
                <v:fill on="t" focussize="0,0"/>
                <v:stroke on="f" weight="1pt" miterlimit="8" joinstyle="miter"/>
                <v:imagedata o:title=""/>
                <o:lock v:ext="edit" aspectratio="f"/>
                <v:textbox>
                  <w:txbxContent>
                    <w:p>
                      <w:pPr>
                        <w:jc w:val="center"/>
                      </w:pPr>
                    </w:p>
                  </w:txbxContent>
                </v:textbox>
              </v:shap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2064768" behindDoc="0" locked="0" layoutInCell="1" allowOverlap="1">
                <wp:simplePos x="0" y="0"/>
                <wp:positionH relativeFrom="column">
                  <wp:posOffset>4290695</wp:posOffset>
                </wp:positionH>
                <wp:positionV relativeFrom="paragraph">
                  <wp:posOffset>6339840</wp:posOffset>
                </wp:positionV>
                <wp:extent cx="899795" cy="368935"/>
                <wp:effectExtent l="0" t="0" r="0" b="0"/>
                <wp:wrapNone/>
                <wp:docPr id="204" name="Rectangle 204"/>
                <wp:cNvGraphicFramePr/>
                <a:graphic xmlns:a="http://schemas.openxmlformats.org/drawingml/2006/main">
                  <a:graphicData uri="http://schemas.microsoft.com/office/word/2010/wordprocessingShape">
                    <wps:wsp>
                      <wps:cNvSpPr/>
                      <wps:spPr>
                        <a:xfrm>
                          <a:off x="0" y="0"/>
                          <a:ext cx="899651" cy="3689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21"/>
                                <w14:textFill>
                                  <w14:solidFill>
                                    <w14:schemeClr w14:val="tx1"/>
                                  </w14:solidFill>
                                </w14:textFill>
                              </w:rPr>
                            </w:pPr>
                            <w:r>
                              <w:rPr>
                                <w:rFonts w:hint="eastAsia"/>
                                <w:color w:val="000000" w:themeColor="text1"/>
                                <w:sz w:val="21"/>
                                <w:highlight w:val="red"/>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04" o:spid="_x0000_s1026" o:spt="1" style="position:absolute;left:0pt;margin-left:337.85pt;margin-top:499.2pt;height:29.05pt;width:70.85pt;z-index:252064768;v-text-anchor:middle;mso-width-relative:page;mso-height-relative:page;" filled="f" stroked="f" coordsize="21600,21600" o:gfxdata="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7GoEktkA&#10;AAAMAQAADwAAAAAAAAABACAAAAAiAAAAZHJzL2Rvd25yZXYueG1sUEsBAhQAFAAAAAgAh07iQEBg&#10;8MZXAgAAswQAAA4AAAAAAAAAAQAgAAAAKAEAAGRycy9lMm9Eb2MueG1sUEsFBgAAAAAGAAYAWQEA&#10;APEFAAAAAA==&#10;">
                <v:fill on="f" focussize="0,0"/>
                <v:stroke on="f" weight="1pt" miterlimit="8" joinstyle="miter"/>
                <v:imagedata o:title=""/>
                <o:lock v:ext="edit" aspectratio="f"/>
                <v:textbox>
                  <w:txbxContent>
                    <w:p>
                      <w:pPr>
                        <w:jc w:val="center"/>
                        <w:rPr>
                          <w:color w:val="000000" w:themeColor="text1"/>
                          <w:sz w:val="21"/>
                          <w14:textFill>
                            <w14:solidFill>
                              <w14:schemeClr w14:val="tx1"/>
                            </w14:solidFill>
                          </w14:textFill>
                        </w:rPr>
                      </w:pPr>
                      <w:r>
                        <w:rPr>
                          <w:rFonts w:hint="eastAsia"/>
                          <w:color w:val="000000" w:themeColor="text1"/>
                          <w:sz w:val="21"/>
                          <w:highlight w:val="red"/>
                          <w14:textFill>
                            <w14:solidFill>
                              <w14:schemeClr w14:val="tx1"/>
                            </w14:solidFill>
                          </w14:textFill>
                        </w:rPr>
                        <w:t>本项目位置</w:t>
                      </w:r>
                    </w:p>
                  </w:txbxContent>
                </v:textbox>
              </v:rect>
            </w:pict>
          </mc:Fallback>
        </mc:AlternateContent>
      </w:r>
      <w:r>
        <w:rPr>
          <w:rFonts w:hint="default" w:ascii="Times New Roman Regular" w:hAnsi="Times New Roman Regular" w:cs="Times New Roman Regular"/>
          <w:color w:val="FF0000"/>
        </w:rPr>
        <w:drawing>
          <wp:inline distT="0" distB="0" distL="114300" distR="114300">
            <wp:extent cx="5277485" cy="7339330"/>
            <wp:effectExtent l="0" t="0" r="5715" b="1270"/>
            <wp:docPr id="74" name="图片 74" descr="闽侯县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闽侯县地图"/>
                    <pic:cNvPicPr>
                      <a:picLocks noChangeAspect="1"/>
                    </pic:cNvPicPr>
                  </pic:nvPicPr>
                  <pic:blipFill>
                    <a:blip r:embed="rId10"/>
                    <a:stretch>
                      <a:fillRect/>
                    </a:stretch>
                  </pic:blipFill>
                  <pic:spPr>
                    <a:xfrm>
                      <a:off x="0" y="0"/>
                      <a:ext cx="5277485" cy="7339330"/>
                    </a:xfrm>
                    <a:prstGeom prst="rect">
                      <a:avLst/>
                    </a:prstGeom>
                  </pic:spPr>
                </pic:pic>
              </a:graphicData>
            </a:graphic>
          </wp:inline>
        </w:drawing>
      </w:r>
      <w:r>
        <w:rPr>
          <w:rFonts w:hint="default" w:ascii="Times New Roman Regular" w:hAnsi="Times New Roman Regular" w:cs="Times New Roman Regular"/>
          <w:color w:val="FF0000"/>
        </w:rPr>
        <mc:AlternateContent>
          <mc:Choice Requires="wps">
            <w:drawing>
              <wp:anchor distT="0" distB="0" distL="114300" distR="114300" simplePos="0" relativeHeight="252065792" behindDoc="0" locked="0" layoutInCell="1" allowOverlap="1">
                <wp:simplePos x="0" y="0"/>
                <wp:positionH relativeFrom="column">
                  <wp:posOffset>4065270</wp:posOffset>
                </wp:positionH>
                <wp:positionV relativeFrom="paragraph">
                  <wp:posOffset>6517640</wp:posOffset>
                </wp:positionV>
                <wp:extent cx="335280" cy="27305"/>
                <wp:effectExtent l="635" t="6350" r="19685" b="17145"/>
                <wp:wrapNone/>
                <wp:docPr id="205" name="Straight Connector 205"/>
                <wp:cNvGraphicFramePr/>
                <a:graphic xmlns:a="http://schemas.openxmlformats.org/drawingml/2006/main">
                  <a:graphicData uri="http://schemas.microsoft.com/office/word/2010/wordprocessingShape">
                    <wps:wsp>
                      <wps:cNvCnPr>
                        <a:stCxn id="203" idx="6"/>
                      </wps:cNvCnPr>
                      <wps:spPr>
                        <a:xfrm>
                          <a:off x="0" y="0"/>
                          <a:ext cx="335280" cy="2730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5" o:spid="_x0000_s1026" o:spt="20" style="position:absolute;left:0pt;margin-left:320.1pt;margin-top:513.2pt;height:2.15pt;width:26.4pt;z-index:252065792;mso-width-relative:page;mso-height-relative:page;" filled="f" stroked="t" coordsize="21600,21600" o:gfxdata="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ADC&#10;cxHXAAAADQEAAA8AAAAAAAAAAQAgAAAAIgAAAGRycy9kb3ducmV2LnhtbFBLAQIUABQAAAAIAIdO&#10;4kCuIA8l6wEAAOMDAAAOAAAAAAAAAAEAIAAAACYBAABkcnMvZTJvRG9jLnhtbFBLBQYAAAAABgAG&#10;AFkBAACDBQAAAAA=&#10;">
                <v:fill on="f" focussize="0,0"/>
                <v:stroke weight="0.5pt" color="#FF0000 [3204]" miterlimit="8" joinstyle="miter"/>
                <v:imagedata o:title=""/>
                <o:lock v:ext="edit" aspectratio="f"/>
              </v:line>
            </w:pict>
          </mc:Fallback>
        </mc:AlternateConten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图3.1-1 项目地理位置图（</w:t>
      </w:r>
      <w:r>
        <w:rPr>
          <w:rFonts w:hint="default" w:ascii="Times New Roman Regular" w:hAnsi="Times New Roman Regular" w:cs="Times New Roman Regular"/>
          <w:color w:val="auto"/>
          <w:sz w:val="24"/>
          <w:szCs w:val="24"/>
        </w:rPr>
        <w:t>N25</w:t>
      </w:r>
      <w:r>
        <w:rPr>
          <w:rFonts w:hint="default" w:ascii="Times New Roman Regular" w:hAnsi="Times New Roman Regular" w:cs="Times New Roman Regular"/>
          <w:color w:val="auto"/>
          <w:sz w:val="24"/>
          <w:szCs w:val="24"/>
          <w:lang w:val="en-US" w:eastAsia="zh-Hans"/>
        </w:rPr>
        <w:t>.</w:t>
      </w:r>
      <w:r>
        <w:rPr>
          <w:rFonts w:hint="default" w:ascii="Times New Roman Regular" w:hAnsi="Times New Roman Regular" w:cs="Times New Roman Regular"/>
          <w:color w:val="auto"/>
          <w:sz w:val="24"/>
          <w:szCs w:val="24"/>
          <w:lang w:eastAsia="zh-Hans"/>
        </w:rPr>
        <w:t>877706</w:t>
      </w:r>
      <w:r>
        <w:rPr>
          <w:rFonts w:hint="default" w:ascii="Times New Roman Regular" w:hAnsi="Times New Roman Regular" w:cs="Times New Roman Regular"/>
          <w:color w:val="auto"/>
          <w:sz w:val="24"/>
          <w:szCs w:val="24"/>
        </w:rPr>
        <w:t>，E119.347768</w:t>
      </w:r>
      <w:r>
        <w:rPr>
          <w:rFonts w:hint="default" w:ascii="Times New Roman Regular" w:hAnsi="Times New Roman Regular" w:cs="Times New Roman Regular"/>
          <w:b/>
          <w:color w:val="auto"/>
        </w:rPr>
        <w:t>）</w:t>
      </w:r>
    </w:p>
    <w:p>
      <w:pPr>
        <w:pStyle w:val="128"/>
        <w:keepNext/>
        <w:spacing w:before="190" w:beforeLines="50"/>
        <w:outlineLvl w:val="2"/>
        <w:rPr>
          <w:rFonts w:hint="default" w:ascii="Times New Roman Regular" w:hAnsi="Times New Roman Regular" w:cs="Times New Roman Regular"/>
          <w:color w:val="auto"/>
        </w:rPr>
      </w:pPr>
      <w:bookmarkStart w:id="30" w:name="_Toc364581513"/>
      <w:r>
        <w:rPr>
          <w:rFonts w:hint="default" w:ascii="Times New Roman Regular" w:hAnsi="Times New Roman Regular" w:cs="Times New Roman Regular"/>
          <w:color w:val="auto"/>
        </w:rPr>
        <w:t>3.1.2 周边环境概况</w:t>
      </w:r>
      <w:bookmarkEnd w:id="30"/>
    </w:p>
    <w:p>
      <w:pPr>
        <w:pStyle w:val="10"/>
        <w:numPr>
          <w:ilvl w:val="0"/>
          <w:numId w:val="0"/>
        </w:numPr>
        <w:adjustRightInd w:val="0"/>
        <w:snapToGrid w:val="0"/>
        <w:ind w:firstLine="480" w:firstLineChars="200"/>
        <w:jc w:val="left"/>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根据现场勘查，</w:t>
      </w:r>
      <w:r>
        <w:rPr>
          <w:rFonts w:hint="default" w:ascii="Times New Roman Regular" w:hAnsi="Times New Roman Regular" w:cs="Times New Roman Regular"/>
          <w:color w:val="auto"/>
          <w:lang w:val="en-US" w:eastAsia="zh-Hans"/>
        </w:rPr>
        <w:t>项目北</w:t>
      </w:r>
      <w:r>
        <w:rPr>
          <w:rFonts w:hint="default" w:ascii="Times New Roman Regular" w:hAnsi="Times New Roman Regular" w:cs="Times New Roman Regular"/>
          <w:color w:val="auto"/>
        </w:rPr>
        <w:t>侧</w:t>
      </w:r>
      <w:r>
        <w:rPr>
          <w:rFonts w:hint="default" w:ascii="Times New Roman Regular" w:hAnsi="Times New Roman Regular" w:cs="Times New Roman Regular"/>
          <w:color w:val="auto"/>
          <w:lang w:val="en-US" w:eastAsia="zh-Hans"/>
        </w:rPr>
        <w:t>隔</w:t>
      </w:r>
      <w:r>
        <w:rPr>
          <w:rFonts w:hint="default" w:ascii="Times New Roman Regular" w:hAnsi="Times New Roman Regular" w:cs="Times New Roman Regular"/>
          <w:color w:val="auto"/>
          <w:lang w:eastAsia="zh-Hans"/>
        </w:rPr>
        <w:t>104</w:t>
      </w:r>
      <w:r>
        <w:rPr>
          <w:rFonts w:hint="default" w:ascii="Times New Roman Regular" w:hAnsi="Times New Roman Regular" w:cs="Times New Roman Regular"/>
          <w:color w:val="auto"/>
          <w:lang w:val="en-US" w:eastAsia="zh-Hans"/>
        </w:rPr>
        <w:t>国道为</w:t>
      </w:r>
      <w:r>
        <w:rPr>
          <w:rFonts w:hint="default" w:ascii="Times New Roman Regular" w:hAnsi="Times New Roman Regular" w:cs="Times New Roman Regular"/>
          <w:color w:val="auto"/>
        </w:rPr>
        <w:t>福州小糸大亿车灯有限公司，东侧为</w:t>
      </w:r>
      <w:r>
        <w:rPr>
          <w:rFonts w:hint="default" w:ascii="Times New Roman Regular" w:hAnsi="Times New Roman Regular" w:cs="Times New Roman Regular"/>
          <w:color w:val="auto"/>
          <w:lang w:val="en-US" w:eastAsia="zh-Hans"/>
        </w:rPr>
        <w:t>福州新易制模有限公司</w:t>
      </w:r>
      <w:r>
        <w:rPr>
          <w:rFonts w:hint="default" w:ascii="Times New Roman Regular" w:hAnsi="Times New Roman Regular" w:cs="Times New Roman Regular"/>
          <w:color w:val="auto"/>
        </w:rPr>
        <w:t>，</w:t>
      </w:r>
      <w:r>
        <w:rPr>
          <w:rFonts w:hint="default" w:ascii="Times New Roman Regular" w:hAnsi="Times New Roman Regular" w:cs="Times New Roman Regular"/>
          <w:color w:val="auto"/>
          <w:lang w:val="en-US" w:eastAsia="zh-Hans"/>
        </w:rPr>
        <w:t>南侧为福州泰鸿机械有限公司</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西侧隔东长路为正道汽车配件</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有限公司</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rPr>
        <w:t>项目场地周边环境现状图见图3.1-2，周边环境示意图及敏感目标分布图见</w:t>
      </w:r>
      <w:r>
        <w:rPr>
          <w:rFonts w:hint="default" w:ascii="Times New Roman Regular" w:hAnsi="Times New Roman Regular" w:cs="Times New Roman Regular"/>
          <w:color w:val="auto"/>
          <w:lang w:val="en-US" w:eastAsia="zh-Hans"/>
        </w:rPr>
        <w:t>附图</w:t>
      </w:r>
      <w:r>
        <w:rPr>
          <w:rFonts w:hint="default" w:ascii="Times New Roman Regular" w:hAnsi="Times New Roman Regular" w:cs="Times New Roman Regular"/>
          <w:color w:val="auto"/>
          <w:lang w:eastAsia="zh-Hans"/>
        </w:rPr>
        <w:t>1</w:t>
      </w:r>
      <w:r>
        <w:rPr>
          <w:rFonts w:hint="default" w:ascii="Times New Roman Regular" w:hAnsi="Times New Roman Regular" w:cs="Times New Roman Regular"/>
          <w:color w:val="auto"/>
        </w:rPr>
        <w:t>。</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7" w:hRule="atLeast"/>
        </w:trPr>
        <w:tc>
          <w:tcPr>
            <w:tcW w:w="4264" w:type="dxa"/>
          </w:tcPr>
          <w:p>
            <w:pPr>
              <w:pStyle w:val="10"/>
              <w:widowControl/>
              <w:numPr>
                <w:ilvl w:val="0"/>
                <w:numId w:val="0"/>
              </w:numPr>
              <w:adjustRightInd w:val="0"/>
              <w:snapToGrid w:val="0"/>
              <w:rPr>
                <w:rFonts w:hint="default" w:ascii="Times New Roman Regular" w:hAnsi="Times New Roman Regular" w:cs="Times New Roman Regular"/>
                <w:color w:val="auto"/>
              </w:rPr>
            </w:pPr>
            <w:r>
              <w:rPr>
                <w:rFonts w:hint="default" w:ascii="Times New Roman Regular" w:hAnsi="Times New Roman Regular" w:cs="Times New Roman Regular"/>
                <w:color w:val="auto"/>
              </w:rPr>
              <w:drawing>
                <wp:inline distT="0" distB="0" distL="114300" distR="114300">
                  <wp:extent cx="2559685" cy="1920240"/>
                  <wp:effectExtent l="0" t="0" r="5715" b="10160"/>
                  <wp:docPr id="9" name="图片 9" descr="场外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场外南侧"/>
                          <pic:cNvPicPr>
                            <a:picLocks noChangeAspect="1"/>
                          </pic:cNvPicPr>
                        </pic:nvPicPr>
                        <pic:blipFill>
                          <a:blip r:embed="rId11"/>
                          <a:stretch>
                            <a:fillRect/>
                          </a:stretch>
                        </pic:blipFill>
                        <pic:spPr>
                          <a:xfrm>
                            <a:off x="0" y="0"/>
                            <a:ext cx="2559685" cy="1920240"/>
                          </a:xfrm>
                          <a:prstGeom prst="rect">
                            <a:avLst/>
                          </a:prstGeom>
                        </pic:spPr>
                      </pic:pic>
                    </a:graphicData>
                  </a:graphic>
                </wp:inline>
              </w:drawing>
            </w:r>
          </w:p>
          <w:p>
            <w:pPr>
              <w:pStyle w:val="10"/>
              <w:widowControl/>
              <w:numPr>
                <w:ilvl w:val="0"/>
                <w:numId w:val="0"/>
              </w:numPr>
              <w:adjustRightInd w:val="0"/>
              <w:snapToGrid w:val="0"/>
              <w:jc w:val="cente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项目南侧</w:t>
            </w:r>
          </w:p>
        </w:tc>
        <w:tc>
          <w:tcPr>
            <w:tcW w:w="4264" w:type="dxa"/>
          </w:tcPr>
          <w:p>
            <w:pPr>
              <w:pStyle w:val="10"/>
              <w:widowControl/>
              <w:numPr>
                <w:ilvl w:val="0"/>
                <w:numId w:val="0"/>
              </w:numPr>
              <w:adjustRightInd w:val="0"/>
              <w:snapToGrid w:val="0"/>
              <w:rPr>
                <w:rFonts w:hint="default" w:ascii="Times New Roman Regular" w:hAnsi="Times New Roman Regular" w:cs="Times New Roman Regular"/>
                <w:color w:val="auto"/>
              </w:rPr>
            </w:pPr>
            <w:r>
              <w:rPr>
                <w:rFonts w:hint="default" w:ascii="Times New Roman Regular" w:hAnsi="Times New Roman Regular" w:cs="Times New Roman Regular"/>
                <w:color w:val="auto"/>
              </w:rPr>
              <w:drawing>
                <wp:inline distT="0" distB="0" distL="114300" distR="114300">
                  <wp:extent cx="2559685" cy="1920240"/>
                  <wp:effectExtent l="0" t="0" r="5715" b="10160"/>
                  <wp:docPr id="4" name="图片 4" descr="场外东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场外东侧"/>
                          <pic:cNvPicPr>
                            <a:picLocks noChangeAspect="1"/>
                          </pic:cNvPicPr>
                        </pic:nvPicPr>
                        <pic:blipFill>
                          <a:blip r:embed="rId12"/>
                          <a:stretch>
                            <a:fillRect/>
                          </a:stretch>
                        </pic:blipFill>
                        <pic:spPr>
                          <a:xfrm>
                            <a:off x="0" y="0"/>
                            <a:ext cx="2559685" cy="1920240"/>
                          </a:xfrm>
                          <a:prstGeom prst="rect">
                            <a:avLst/>
                          </a:prstGeom>
                        </pic:spPr>
                      </pic:pic>
                    </a:graphicData>
                  </a:graphic>
                </wp:inline>
              </w:drawing>
            </w:r>
          </w:p>
          <w:p>
            <w:pPr>
              <w:pStyle w:val="10"/>
              <w:widowControl/>
              <w:numPr>
                <w:ilvl w:val="0"/>
                <w:numId w:val="0"/>
              </w:numPr>
              <w:adjustRightInd w:val="0"/>
              <w:snapToGrid w:val="0"/>
              <w:jc w:val="cente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项目东侧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8" w:hRule="atLeast"/>
        </w:trPr>
        <w:tc>
          <w:tcPr>
            <w:tcW w:w="4264" w:type="dxa"/>
          </w:tcPr>
          <w:p>
            <w:pPr>
              <w:pStyle w:val="10"/>
              <w:widowControl/>
              <w:numPr>
                <w:ilvl w:val="0"/>
                <w:numId w:val="0"/>
              </w:numPr>
              <w:adjustRightInd w:val="0"/>
              <w:snapToGrid w:val="0"/>
              <w:jc w:val="center"/>
              <w:rPr>
                <w:rFonts w:hint="default" w:ascii="Times New Roman Regular" w:hAnsi="Times New Roman Regular" w:cs="Times New Roman Regular"/>
                <w:color w:val="auto"/>
              </w:rPr>
            </w:pPr>
            <w:r>
              <w:rPr>
                <w:rFonts w:hint="default" w:ascii="Times New Roman Regular" w:hAnsi="Times New Roman Regular" w:cs="Times New Roman Regular"/>
                <w:color w:val="auto"/>
              </w:rPr>
              <w:drawing>
                <wp:inline distT="0" distB="0" distL="114300" distR="114300">
                  <wp:extent cx="2559685" cy="1920240"/>
                  <wp:effectExtent l="0" t="0" r="5715" b="10160"/>
                  <wp:docPr id="11" name="图片 11" descr="场外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场外北侧"/>
                          <pic:cNvPicPr>
                            <a:picLocks noChangeAspect="1"/>
                          </pic:cNvPicPr>
                        </pic:nvPicPr>
                        <pic:blipFill>
                          <a:blip r:embed="rId13"/>
                          <a:stretch>
                            <a:fillRect/>
                          </a:stretch>
                        </pic:blipFill>
                        <pic:spPr>
                          <a:xfrm>
                            <a:off x="0" y="0"/>
                            <a:ext cx="2559685" cy="1920240"/>
                          </a:xfrm>
                          <a:prstGeom prst="rect">
                            <a:avLst/>
                          </a:prstGeom>
                        </pic:spPr>
                      </pic:pic>
                    </a:graphicData>
                  </a:graphic>
                </wp:inline>
              </w:drawing>
            </w:r>
          </w:p>
          <w:p>
            <w:pPr>
              <w:pStyle w:val="10"/>
              <w:widowControl/>
              <w:numPr>
                <w:ilvl w:val="0"/>
                <w:numId w:val="0"/>
              </w:numPr>
              <w:adjustRightInd w:val="0"/>
              <w:snapToGrid w:val="0"/>
              <w:jc w:val="cente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项目</w:t>
            </w:r>
            <w:r>
              <w:rPr>
                <w:rFonts w:hint="default" w:ascii="Times New Roman Regular" w:hAnsi="Times New Roman Regular" w:cs="Times New Roman Regular"/>
                <w:color w:val="auto"/>
                <w:lang w:val="en-US" w:eastAsia="zh-Hans"/>
              </w:rPr>
              <w:t>北</w:t>
            </w:r>
            <w:r>
              <w:rPr>
                <w:rFonts w:hint="default" w:ascii="Times New Roman Regular" w:hAnsi="Times New Roman Regular" w:cs="Times New Roman Regular"/>
                <w:color w:val="auto"/>
              </w:rPr>
              <w:t>侧</w:t>
            </w:r>
          </w:p>
        </w:tc>
        <w:tc>
          <w:tcPr>
            <w:tcW w:w="4264" w:type="dxa"/>
          </w:tcPr>
          <w:p>
            <w:pPr>
              <w:pStyle w:val="10"/>
              <w:widowControl/>
              <w:numPr>
                <w:ilvl w:val="0"/>
                <w:numId w:val="0"/>
              </w:numPr>
              <w:adjustRightInd w:val="0"/>
              <w:snapToGrid w:val="0"/>
              <w:jc w:val="center"/>
              <w:rPr>
                <w:rFonts w:hint="default" w:ascii="Times New Roman Regular" w:hAnsi="Times New Roman Regular" w:cs="Times New Roman Regular"/>
                <w:color w:val="auto"/>
              </w:rPr>
            </w:pPr>
            <w:r>
              <w:rPr>
                <w:rFonts w:hint="default" w:ascii="Times New Roman Regular" w:hAnsi="Times New Roman Regular" w:cs="Times New Roman Regular"/>
                <w:color w:val="auto"/>
              </w:rPr>
              <w:drawing>
                <wp:inline distT="0" distB="0" distL="114300" distR="114300">
                  <wp:extent cx="2559685" cy="1920240"/>
                  <wp:effectExtent l="0" t="0" r="5715" b="10160"/>
                  <wp:docPr id="13" name="图片 13" descr="场外西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场外西侧"/>
                          <pic:cNvPicPr>
                            <a:picLocks noChangeAspect="1"/>
                          </pic:cNvPicPr>
                        </pic:nvPicPr>
                        <pic:blipFill>
                          <a:blip r:embed="rId14"/>
                          <a:stretch>
                            <a:fillRect/>
                          </a:stretch>
                        </pic:blipFill>
                        <pic:spPr>
                          <a:xfrm>
                            <a:off x="0" y="0"/>
                            <a:ext cx="2559685" cy="1920240"/>
                          </a:xfrm>
                          <a:prstGeom prst="rect">
                            <a:avLst/>
                          </a:prstGeom>
                        </pic:spPr>
                      </pic:pic>
                    </a:graphicData>
                  </a:graphic>
                </wp:inline>
              </w:drawing>
            </w:r>
          </w:p>
          <w:p>
            <w:pPr>
              <w:pStyle w:val="10"/>
              <w:widowControl/>
              <w:numPr>
                <w:ilvl w:val="0"/>
                <w:numId w:val="0"/>
              </w:numPr>
              <w:adjustRightInd w:val="0"/>
              <w:snapToGrid w:val="0"/>
              <w:jc w:val="cente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项目</w:t>
            </w:r>
            <w:r>
              <w:rPr>
                <w:rFonts w:hint="default" w:ascii="Times New Roman Regular" w:hAnsi="Times New Roman Regular" w:cs="Times New Roman Regular"/>
                <w:color w:val="auto"/>
                <w:lang w:val="en-US" w:eastAsia="zh-Hans"/>
              </w:rPr>
              <w:t>西</w:t>
            </w:r>
            <w:r>
              <w:rPr>
                <w:rFonts w:hint="default" w:ascii="Times New Roman Regular" w:hAnsi="Times New Roman Regular" w:cs="Times New Roman Regular"/>
                <w:color w:val="auto"/>
              </w:rPr>
              <w:t>侧</w:t>
            </w:r>
          </w:p>
        </w:tc>
      </w:tr>
    </w:tbl>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图3.1-2 场地周边环境现状图</w:t>
      </w:r>
    </w:p>
    <w:p>
      <w:pPr>
        <w:jc w:val="center"/>
        <w:rPr>
          <w:rFonts w:hint="default" w:ascii="Times New Roman Regular" w:hAnsi="Times New Roman Regular" w:cs="Times New Roman Regular"/>
          <w:color w:val="FF0000"/>
        </w:rPr>
      </w:pPr>
      <w:r>
        <w:rPr>
          <w:rFonts w:hint="default" w:ascii="Times New Roman Regular" w:hAnsi="Times New Roman Regular" w:cs="Times New Roman Regular"/>
          <w:b/>
          <w:color w:val="FF0000"/>
        </w:rPr>
        <w:br w:type="page"/>
      </w:r>
    </w:p>
    <w:p>
      <w:pPr>
        <w:pStyle w:val="4"/>
        <w:keepNext/>
        <w:keepLines/>
        <w:widowControl w:val="0"/>
        <w:spacing w:before="190" w:beforeLines="50" w:after="190" w:afterLines="50"/>
        <w:outlineLvl w:val="1"/>
        <w:rPr>
          <w:rFonts w:hint="default" w:ascii="Times New Roman Regular" w:hAnsi="Times New Roman Regular" w:eastAsia="宋体" w:cs="Times New Roman Regular"/>
          <w:bCs w:val="0"/>
          <w:color w:val="auto"/>
          <w:kern w:val="2"/>
        </w:rPr>
      </w:pPr>
      <w:bookmarkStart w:id="31" w:name="_Toc47618289"/>
      <w:bookmarkStart w:id="32" w:name="_Toc750644100"/>
      <w:bookmarkStart w:id="33" w:name="_Toc45828046_WPSOffice_Level2"/>
      <w:r>
        <w:rPr>
          <w:rFonts w:hint="default" w:ascii="Times New Roman Regular" w:hAnsi="Times New Roman Regular" w:eastAsia="宋体" w:cs="Times New Roman Regular"/>
          <w:bCs w:val="0"/>
          <w:color w:val="auto"/>
          <w:kern w:val="2"/>
        </w:rPr>
        <w:t>3.2 自然环境社会概况</w:t>
      </w:r>
      <w:bookmarkEnd w:id="31"/>
      <w:bookmarkEnd w:id="32"/>
      <w:bookmarkEnd w:id="33"/>
    </w:p>
    <w:p>
      <w:pPr>
        <w:pStyle w:val="128"/>
        <w:keepNext/>
        <w:spacing w:before="190" w:beforeLines="50"/>
        <w:outlineLvl w:val="2"/>
        <w:rPr>
          <w:rFonts w:hint="default" w:ascii="Times New Roman Regular" w:hAnsi="Times New Roman Regular" w:cs="Times New Roman Regular"/>
          <w:color w:val="auto"/>
        </w:rPr>
      </w:pPr>
      <w:bookmarkStart w:id="34" w:name="_Toc44275405"/>
      <w:bookmarkStart w:id="35" w:name="_Toc42613011"/>
      <w:bookmarkStart w:id="36" w:name="_Toc46314181"/>
      <w:bookmarkStart w:id="37" w:name="_Toc1756446222"/>
      <w:bookmarkStart w:id="38" w:name="_Toc44272249"/>
      <w:bookmarkStart w:id="39" w:name="_Toc47618290"/>
      <w:r>
        <w:rPr>
          <w:rFonts w:hint="default" w:ascii="Times New Roman Regular" w:hAnsi="Times New Roman Regular" w:cs="Times New Roman Regular"/>
          <w:color w:val="auto"/>
        </w:rPr>
        <w:t>3.2.1 地质地貌</w:t>
      </w:r>
      <w:bookmarkEnd w:id="34"/>
      <w:bookmarkEnd w:id="35"/>
      <w:bookmarkEnd w:id="36"/>
      <w:bookmarkEnd w:id="37"/>
      <w:bookmarkEnd w:id="38"/>
      <w:bookmarkEnd w:id="39"/>
    </w:p>
    <w:p>
      <w:pPr>
        <w:adjustRightInd w:val="0"/>
        <w:snapToGrid w:val="0"/>
        <w:spacing w:line="360" w:lineRule="auto"/>
        <w:ind w:firstLine="480" w:firstLineChars="200"/>
        <w:rPr>
          <w:rFonts w:hint="default" w:ascii="Times New Roman Regular" w:hAnsi="Times New Roman Regular" w:cs="Times New Roman Regular"/>
          <w:color w:val="auto"/>
          <w:sz w:val="24"/>
        </w:rPr>
      </w:pPr>
      <w:r>
        <w:rPr>
          <w:rFonts w:hint="default" w:ascii="Times New Roman Regular" w:hAnsi="Times New Roman Regular" w:eastAsia="宋体" w:cs="Times New Roman Regular"/>
          <w:color w:val="auto"/>
          <w:sz w:val="24"/>
        </w:rPr>
        <w:t>闽侯县地处闽浙丘陵山地的东部。北部为鹫峰山脉向东南展布的部分，群山连绵，重峦迭嶂。大湖一带千米以上的高山有43座，其中牛姆山海拔1403.7m，为全县最高峰。南部属于戴云山脉向东北延伸的余脉，峰峦起伏，层次分明，天台山海拔1117.2m，是闽侯县南部最高峰。闽侯县境内地貌类型多样，地形变化复杂，由于火山运动所致，地壳隆起或沉降，造成境内地貌强烈切割，异峰突起，山地高差悬殊，断层地貌普遍而显着。断块山山势巍峨，壑谷幽深。地势从北部、西南部向东南倾斜。南部隶属福州盆地，沿闽江两岸尚干、祥谦、上街、南屿、南通、荆溪等乡镇均为冲积、海积平原。在高山深谷之间，普遍形成V型河谷，由于沟壑纵横交错，因而大小盆谷点缀其间</w:t>
      </w:r>
      <w:r>
        <w:rPr>
          <w:rFonts w:hint="default" w:ascii="Times New Roman Regular" w:hAnsi="Times New Roman Regular" w:cs="Times New Roman Regular"/>
          <w:color w:val="auto"/>
          <w:sz w:val="24"/>
        </w:rPr>
        <w:t>。</w:t>
      </w:r>
    </w:p>
    <w:p>
      <w:pPr>
        <w:spacing w:line="360" w:lineRule="auto"/>
        <w:ind w:firstLine="480" w:firstLineChars="200"/>
        <w:rPr>
          <w:rFonts w:hint="default" w:ascii="Times New Roman Regular" w:hAnsi="Times New Roman Regular" w:eastAsia="宋体" w:cs="Times New Roman Regular"/>
          <w:color w:val="auto"/>
          <w:sz w:val="24"/>
          <w:lang w:eastAsia="zh-Hans" w:bidi="ar"/>
        </w:rPr>
      </w:pPr>
      <w:r>
        <w:rPr>
          <w:rFonts w:hint="default" w:ascii="Times New Roman Regular" w:hAnsi="Times New Roman Regular" w:eastAsia="宋体" w:cs="Times New Roman Regular"/>
          <w:color w:val="auto"/>
          <w:sz w:val="24"/>
          <w:lang w:val="en-US" w:eastAsia="zh-Hans"/>
        </w:rPr>
        <w:t>青口镇东</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南</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西三面群山环抱</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地势由中部</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北部向乌龙江倾斜</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青口镇区内平原</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丘陵和山地由西北向东南呈梯级分布</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山地</w:t>
      </w:r>
      <w:r>
        <w:rPr>
          <w:rFonts w:hint="default" w:ascii="Times New Roman Regular" w:hAnsi="Times New Roman Regular" w:eastAsia="宋体" w:cs="Times New Roman Regular"/>
          <w:color w:val="auto"/>
          <w:sz w:val="24"/>
          <w:lang w:eastAsia="zh-Hans"/>
        </w:rPr>
        <w:t>85</w:t>
      </w:r>
      <w:r>
        <w:rPr>
          <w:rFonts w:hint="default" w:ascii="Times New Roman Regular" w:hAnsi="Times New Roman Regular" w:eastAsia="宋体" w:cs="Times New Roman Regular"/>
          <w:color w:val="auto"/>
          <w:sz w:val="24"/>
          <w:lang w:val="en-US" w:eastAsia="zh-Hans"/>
        </w:rPr>
        <w:t>.</w:t>
      </w:r>
      <w:r>
        <w:rPr>
          <w:rFonts w:hint="default" w:ascii="Times New Roman Regular" w:hAnsi="Times New Roman Regular" w:eastAsia="宋体" w:cs="Times New Roman Regular"/>
          <w:color w:val="auto"/>
          <w:sz w:val="24"/>
          <w:lang w:eastAsia="zh-Hans"/>
        </w:rPr>
        <w:t>3</w:t>
      </w:r>
      <w:r>
        <w:rPr>
          <w:rFonts w:hint="default" w:ascii="Times New Roman Regular" w:hAnsi="Times New Roman Regular" w:eastAsia="宋体" w:cs="Times New Roman Regular"/>
          <w:color w:val="auto"/>
          <w:sz w:val="24"/>
          <w:lang w:val="en-US" w:eastAsia="zh-Hans"/>
        </w:rPr>
        <w:t>平方公里</w:t>
      </w:r>
      <w:r>
        <w:rPr>
          <w:rFonts w:hint="default" w:ascii="Times New Roman Regular" w:hAnsi="Times New Roman Regular" w:eastAsia="宋体" w:cs="Times New Roman Regular"/>
          <w:color w:val="auto"/>
          <w:sz w:val="24"/>
          <w:lang w:eastAsia="zh-Hans"/>
        </w:rPr>
        <w:t>，</w:t>
      </w:r>
      <w:r>
        <w:rPr>
          <w:rFonts w:hint="default" w:ascii="Times New Roman Regular" w:hAnsi="Times New Roman Regular" w:eastAsia="宋体" w:cs="Times New Roman Regular"/>
          <w:color w:val="auto"/>
          <w:sz w:val="24"/>
          <w:lang w:val="en-US" w:eastAsia="zh-Hans"/>
        </w:rPr>
        <w:t>占</w:t>
      </w:r>
      <w:r>
        <w:rPr>
          <w:rFonts w:hint="default" w:ascii="Times New Roman Regular" w:hAnsi="Times New Roman Regular" w:eastAsia="宋体" w:cs="Times New Roman Regular"/>
          <w:color w:val="auto"/>
          <w:sz w:val="24"/>
          <w:lang w:eastAsia="zh-Hans"/>
        </w:rPr>
        <w:t>66</w:t>
      </w:r>
      <w:r>
        <w:rPr>
          <w:rFonts w:hint="default" w:ascii="Times New Roman Regular" w:hAnsi="Times New Roman Regular" w:eastAsia="宋体" w:cs="Times New Roman Regular"/>
          <w:color w:val="auto"/>
          <w:sz w:val="24"/>
          <w:lang w:val="en-US" w:eastAsia="zh-Hans"/>
        </w:rPr>
        <w:t>.</w:t>
      </w:r>
      <w:r>
        <w:rPr>
          <w:rFonts w:hint="default" w:ascii="Times New Roman Regular" w:hAnsi="Times New Roman Regular" w:eastAsia="宋体" w:cs="Times New Roman Regular"/>
          <w:color w:val="auto"/>
          <w:sz w:val="24"/>
          <w:lang w:eastAsia="zh-Hans"/>
        </w:rPr>
        <w:t>9%，</w:t>
      </w:r>
      <w:r>
        <w:rPr>
          <w:rFonts w:hint="default" w:ascii="Times New Roman Regular" w:hAnsi="Times New Roman Regular" w:eastAsia="宋体" w:cs="Times New Roman Regular"/>
          <w:color w:val="auto"/>
          <w:sz w:val="24"/>
          <w:lang w:val="en-US" w:eastAsia="zh-Hans"/>
        </w:rPr>
        <w:t>平</w:t>
      </w:r>
      <w:r>
        <w:rPr>
          <w:rFonts w:hint="default" w:ascii="Times New Roman Regular" w:hAnsi="Times New Roman Regular" w:eastAsia="宋体" w:cs="Times New Roman Regular"/>
          <w:color w:val="auto"/>
          <w:sz w:val="24"/>
          <w:lang w:val="en-US" w:eastAsia="zh-Hans" w:bidi="ar"/>
        </w:rPr>
        <w:t>地</w:t>
      </w:r>
      <w:r>
        <w:rPr>
          <w:rFonts w:hint="default" w:ascii="Times New Roman Regular" w:hAnsi="Times New Roman Regular" w:eastAsia="宋体" w:cs="Times New Roman Regular"/>
          <w:color w:val="auto"/>
          <w:sz w:val="24"/>
          <w:lang w:eastAsia="zh-Hans" w:bidi="ar"/>
        </w:rPr>
        <w:t>42</w:t>
      </w:r>
      <w:r>
        <w:rPr>
          <w:rFonts w:hint="default" w:ascii="Times New Roman Regular" w:hAnsi="Times New Roman Regular" w:eastAsia="宋体" w:cs="Times New Roman Regular"/>
          <w:color w:val="auto"/>
          <w:sz w:val="24"/>
          <w:lang w:val="en-US" w:eastAsia="zh-Hans" w:bidi="ar"/>
        </w:rPr>
        <w:t>.</w:t>
      </w:r>
      <w:r>
        <w:rPr>
          <w:rFonts w:hint="default" w:ascii="Times New Roman Regular" w:hAnsi="Times New Roman Regular" w:eastAsia="宋体" w:cs="Times New Roman Regular"/>
          <w:color w:val="auto"/>
          <w:sz w:val="24"/>
          <w:lang w:eastAsia="zh-Hans" w:bidi="ar"/>
        </w:rPr>
        <w:t>2</w:t>
      </w:r>
      <w:r>
        <w:rPr>
          <w:rFonts w:hint="default" w:ascii="Times New Roman Regular" w:hAnsi="Times New Roman Regular" w:eastAsia="宋体" w:cs="Times New Roman Regular"/>
          <w:color w:val="auto"/>
          <w:sz w:val="24"/>
          <w:lang w:val="en-US" w:eastAsia="zh-Hans" w:bidi="ar"/>
        </w:rPr>
        <w:t>平方公里</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占</w:t>
      </w:r>
      <w:r>
        <w:rPr>
          <w:rFonts w:hint="default" w:ascii="Times New Roman Regular" w:hAnsi="Times New Roman Regular" w:eastAsia="宋体" w:cs="Times New Roman Regular"/>
          <w:color w:val="auto"/>
          <w:sz w:val="24"/>
          <w:lang w:eastAsia="zh-Hans" w:bidi="ar"/>
        </w:rPr>
        <w:t>33</w:t>
      </w:r>
      <w:r>
        <w:rPr>
          <w:rFonts w:hint="default" w:ascii="Times New Roman Regular" w:hAnsi="Times New Roman Regular" w:eastAsia="宋体" w:cs="Times New Roman Regular"/>
          <w:color w:val="auto"/>
          <w:sz w:val="24"/>
          <w:lang w:val="en-US" w:eastAsia="zh-Hans" w:bidi="ar"/>
        </w:rPr>
        <w:t>.</w:t>
      </w:r>
      <w:r>
        <w:rPr>
          <w:rFonts w:hint="default" w:ascii="Times New Roman Regular" w:hAnsi="Times New Roman Regular" w:eastAsia="宋体" w:cs="Times New Roman Regular"/>
          <w:color w:val="auto"/>
          <w:sz w:val="24"/>
          <w:lang w:eastAsia="zh-Hans" w:bidi="ar"/>
        </w:rPr>
        <w:t>1%。</w:t>
      </w:r>
    </w:p>
    <w:p>
      <w:pPr>
        <w:spacing w:line="360" w:lineRule="auto"/>
        <w:ind w:firstLine="480" w:firstLineChars="200"/>
        <w:rPr>
          <w:rFonts w:hint="default" w:ascii="Times New Roman Regular" w:hAnsi="Times New Roman Regular" w:eastAsia="宋体" w:cs="Times New Roman Regular"/>
          <w:color w:val="auto"/>
          <w:sz w:val="24"/>
          <w:lang w:bidi="ar"/>
        </w:rPr>
      </w:pPr>
      <w:r>
        <w:rPr>
          <w:rFonts w:hint="default" w:ascii="Times New Roman Regular" w:hAnsi="Times New Roman Regular" w:eastAsia="宋体" w:cs="Times New Roman Regular"/>
          <w:color w:val="auto"/>
          <w:sz w:val="24"/>
          <w:lang w:val="en-US" w:eastAsia="zh-Hans" w:bidi="ar"/>
        </w:rPr>
        <w:t>青口投资区地形较平</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其地貌单元属冲击平原地貌</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土层成因以冲淤积成因为主</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层次较为稳定</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区域跨越五条河流</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表层主要为人工堆填层</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由杂填土</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粉质粘土</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淤泥</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含泥砾卵石及风化基岩等组成</w:t>
      </w:r>
      <w:r>
        <w:rPr>
          <w:rFonts w:hint="default" w:ascii="Times New Roman Regular" w:hAnsi="Times New Roman Regular" w:eastAsia="宋体" w:cs="Times New Roman Regular"/>
          <w:color w:val="auto"/>
          <w:sz w:val="24"/>
          <w:lang w:eastAsia="zh-Hans" w:bidi="ar"/>
        </w:rPr>
        <w:t>。</w:t>
      </w:r>
    </w:p>
    <w:p>
      <w:pPr>
        <w:keepNext/>
        <w:widowControl w:val="0"/>
        <w:autoSpaceDE w:val="0"/>
        <w:autoSpaceDN w:val="0"/>
        <w:textAlignment w:val="bottom"/>
        <w:outlineLvl w:val="2"/>
        <w:rPr>
          <w:rFonts w:hint="default" w:ascii="Times New Roman Regular" w:hAnsi="Times New Roman Regular" w:cs="Times New Roman Regular"/>
          <w:b/>
          <w:color w:val="auto"/>
          <w:lang w:bidi="ar"/>
        </w:rPr>
      </w:pPr>
      <w:bookmarkStart w:id="40" w:name="_Toc42613013"/>
      <w:bookmarkStart w:id="41" w:name="_Toc46314183"/>
      <w:bookmarkStart w:id="42" w:name="_Toc1281441492"/>
      <w:bookmarkStart w:id="43" w:name="_Toc44272251"/>
      <w:bookmarkStart w:id="44" w:name="_Toc47618292"/>
      <w:bookmarkStart w:id="45" w:name="_Toc44275407"/>
      <w:r>
        <w:rPr>
          <w:rFonts w:hint="default" w:ascii="Times New Roman Regular" w:hAnsi="Times New Roman Regular" w:cs="Times New Roman Regular"/>
          <w:b/>
          <w:color w:val="auto"/>
          <w:lang w:bidi="ar"/>
        </w:rPr>
        <w:t>3.2.2 气候气象</w:t>
      </w:r>
      <w:bookmarkEnd w:id="40"/>
      <w:bookmarkEnd w:id="41"/>
      <w:bookmarkEnd w:id="42"/>
      <w:bookmarkEnd w:id="43"/>
      <w:bookmarkEnd w:id="44"/>
      <w:bookmarkEnd w:id="45"/>
    </w:p>
    <w:p>
      <w:pPr>
        <w:spacing w:line="360" w:lineRule="auto"/>
        <w:ind w:firstLine="480" w:firstLineChars="200"/>
        <w:rPr>
          <w:rFonts w:hint="default" w:ascii="Times New Roman Regular" w:hAnsi="Times New Roman Regular" w:eastAsia="宋体" w:cs="Times New Roman Regular"/>
          <w:color w:val="auto"/>
          <w:sz w:val="24"/>
          <w:lang w:bidi="ar"/>
        </w:rPr>
      </w:pPr>
      <w:r>
        <w:rPr>
          <w:rFonts w:hint="default" w:ascii="Times New Roman Regular" w:hAnsi="Times New Roman Regular" w:eastAsia="宋体" w:cs="Times New Roman Regular"/>
          <w:color w:val="auto"/>
          <w:sz w:val="24"/>
          <w:lang w:bidi="ar"/>
        </w:rPr>
        <w:t>闽侯县属亚热带海洋性季风气候，暖热湿润，雨量充沛，四季如春。年平均气温19.6°C，极端最高气温38.7°C。降水在年内可分为四个时期：3~4月的春雨期，5~6月的梅雨期，7~9月的台风雨期及10月至翌年2月的少雨期。梅雨是造成闽江流域大范围降雨的天气因素，这期间雨量可占全年雨量36~40%，4~9月为汛期，降水量可占全年的70~77%，该区域年平均降水量为1673.9mm，全县平均雨日约150天。</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eastAsia="宋体" w:cs="Times New Roman Regular"/>
          <w:color w:val="auto"/>
          <w:sz w:val="24"/>
          <w:lang w:bidi="ar"/>
        </w:rPr>
        <w:t>全年最多风向为东南风（ES），为37.5%。其次为西北风（NW）小风频率高，年均小风频率为14.4%。多年平均风速2.8m/s。每年1~8月东南风向频率最高，9~12月西北风向频率最高。常年冬春两季贴地逆温层厚度大于夏、秋两季。每年夏秋常有台风袭击，最大风力12级，风速达31.7m/s。年平均气压1005mPa，相对湿度年平均77%，绝对湿度年平均19%，全市受季风影响明显。据福州气象台资料统计，多年平均气温19.3°C，一月平均气温10°C，最热的七月平均气温28.7°C，历年极端最高气温39.9°C，极端最低气温-1.7°C。</w:t>
      </w:r>
    </w:p>
    <w:p>
      <w:pPr>
        <w:keepNext/>
        <w:widowControl w:val="0"/>
        <w:autoSpaceDE w:val="0"/>
        <w:autoSpaceDN w:val="0"/>
        <w:textAlignment w:val="bottom"/>
        <w:outlineLvl w:val="2"/>
        <w:rPr>
          <w:rFonts w:hint="default" w:ascii="Times New Roman Regular" w:hAnsi="Times New Roman Regular" w:cs="Times New Roman Regular"/>
          <w:b/>
          <w:color w:val="auto"/>
          <w:lang w:bidi="ar"/>
        </w:rPr>
      </w:pPr>
      <w:bookmarkStart w:id="46" w:name="_Toc44275408"/>
      <w:bookmarkStart w:id="47" w:name="_Toc47618293"/>
      <w:bookmarkStart w:id="48" w:name="_Toc46314184"/>
      <w:bookmarkStart w:id="49" w:name="_Toc42613014"/>
      <w:bookmarkStart w:id="50" w:name="_Toc44272252"/>
      <w:bookmarkStart w:id="51" w:name="_Toc73660281"/>
      <w:r>
        <w:rPr>
          <w:rFonts w:hint="default" w:ascii="Times New Roman Regular" w:hAnsi="Times New Roman Regular" w:cs="Times New Roman Regular"/>
          <w:b/>
          <w:color w:val="auto"/>
          <w:lang w:bidi="ar"/>
        </w:rPr>
        <w:t>3.2.3 水文状况</w:t>
      </w:r>
      <w:bookmarkEnd w:id="46"/>
      <w:bookmarkEnd w:id="47"/>
      <w:bookmarkEnd w:id="48"/>
      <w:bookmarkEnd w:id="49"/>
      <w:bookmarkEnd w:id="50"/>
      <w:bookmarkEnd w:id="51"/>
    </w:p>
    <w:p>
      <w:pPr>
        <w:spacing w:line="360" w:lineRule="auto"/>
        <w:ind w:firstLine="480" w:firstLineChars="200"/>
        <w:rPr>
          <w:rFonts w:hint="default" w:ascii="Times New Roman Regular" w:hAnsi="Times New Roman Regular" w:eastAsia="宋体" w:cs="Times New Roman Regular"/>
          <w:color w:val="auto"/>
          <w:sz w:val="24"/>
          <w:lang w:bidi="ar"/>
        </w:rPr>
      </w:pPr>
      <w:r>
        <w:rPr>
          <w:rFonts w:hint="default" w:ascii="Times New Roman Regular" w:hAnsi="Times New Roman Regular" w:eastAsia="宋体" w:cs="Times New Roman Regular"/>
          <w:color w:val="auto"/>
          <w:sz w:val="24"/>
          <w:lang w:bidi="ar"/>
        </w:rPr>
        <w:t>闽侯县地处闽江下游北岸，闽江是福建省最大的水系，自安仁溪至闽江口七星礁长137km的河段称为闽江下游。闽江下游是多功能的感潮河段，水域功能为灌溉、供水、航运、养殖、排洪、景观等。椐竹岐水文站资料，闽江多年平均流量1715m</w:t>
      </w:r>
      <w:r>
        <w:rPr>
          <w:rFonts w:hint="default" w:ascii="Times New Roman Regular" w:hAnsi="Times New Roman Regular" w:eastAsia="宋体" w:cs="Times New Roman Regular"/>
          <w:color w:val="auto"/>
          <w:sz w:val="24"/>
          <w:vertAlign w:val="superscript"/>
          <w:lang w:bidi="ar"/>
        </w:rPr>
        <w:t>3</w:t>
      </w:r>
      <w:r>
        <w:rPr>
          <w:rFonts w:hint="default" w:ascii="Times New Roman Regular" w:hAnsi="Times New Roman Regular" w:eastAsia="宋体" w:cs="Times New Roman Regular"/>
          <w:color w:val="auto"/>
          <w:sz w:val="24"/>
          <w:lang w:bidi="ar"/>
        </w:rPr>
        <w:t>/s，多年平均最大流量17700m</w:t>
      </w:r>
      <w:r>
        <w:rPr>
          <w:rFonts w:hint="default" w:ascii="Times New Roman Regular" w:hAnsi="Times New Roman Regular" w:eastAsia="宋体" w:cs="Times New Roman Regular"/>
          <w:color w:val="auto"/>
          <w:sz w:val="24"/>
          <w:vertAlign w:val="superscript"/>
          <w:lang w:bidi="ar"/>
        </w:rPr>
        <w:t>3</w:t>
      </w:r>
      <w:r>
        <w:rPr>
          <w:rFonts w:hint="default" w:ascii="Times New Roman Regular" w:hAnsi="Times New Roman Regular" w:eastAsia="宋体" w:cs="Times New Roman Regular"/>
          <w:color w:val="auto"/>
          <w:sz w:val="24"/>
          <w:lang w:bidi="ar"/>
        </w:rPr>
        <w:t>/s，最小流量483m</w:t>
      </w:r>
      <w:r>
        <w:rPr>
          <w:rFonts w:hint="default" w:ascii="Times New Roman Regular" w:hAnsi="Times New Roman Regular" w:eastAsia="宋体" w:cs="Times New Roman Regular"/>
          <w:color w:val="auto"/>
          <w:sz w:val="24"/>
          <w:vertAlign w:val="superscript"/>
          <w:lang w:bidi="ar"/>
        </w:rPr>
        <w:t>3</w:t>
      </w:r>
      <w:r>
        <w:rPr>
          <w:rFonts w:hint="default" w:ascii="Times New Roman Regular" w:hAnsi="Times New Roman Regular" w:eastAsia="宋体" w:cs="Times New Roman Regular"/>
          <w:color w:val="auto"/>
          <w:sz w:val="24"/>
          <w:lang w:bidi="ar"/>
        </w:rPr>
        <w:t>/s，洪水频率19.73%。闽江24年一遇洪水水位13.74m，50年一遇洪水水位为14.33m。</w:t>
      </w:r>
    </w:p>
    <w:p>
      <w:pPr>
        <w:spacing w:line="360" w:lineRule="auto"/>
        <w:ind w:firstLine="480" w:firstLineChars="200"/>
        <w:rPr>
          <w:rFonts w:hint="default" w:ascii="Times New Roman Regular" w:hAnsi="Times New Roman Regular" w:eastAsia="宋体" w:cs="Times New Roman Regular"/>
          <w:color w:val="auto"/>
          <w:sz w:val="24"/>
          <w:lang w:bidi="ar"/>
        </w:rPr>
      </w:pPr>
      <w:r>
        <w:rPr>
          <w:rFonts w:hint="default" w:ascii="Times New Roman Regular" w:hAnsi="Times New Roman Regular" w:eastAsia="宋体" w:cs="Times New Roman Regular"/>
          <w:color w:val="auto"/>
          <w:sz w:val="24"/>
          <w:lang w:val="en-US" w:eastAsia="zh-Hans" w:bidi="ar"/>
        </w:rPr>
        <w:t>本地区河网密布</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主要河流是陶江</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是闽江下游等一级支流</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陶江亦称土漱溪</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源于五虎山山脉东麓</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七星岩北坡</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马铁山</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大顶山两侧</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集雨面积</w:t>
      </w:r>
      <w:r>
        <w:rPr>
          <w:rFonts w:hint="default" w:ascii="Times New Roman Regular" w:hAnsi="Times New Roman Regular" w:eastAsia="宋体" w:cs="Times New Roman Regular"/>
          <w:color w:val="auto"/>
          <w:sz w:val="24"/>
          <w:lang w:eastAsia="zh-Hans" w:bidi="ar"/>
        </w:rPr>
        <w:t>153</w:t>
      </w:r>
      <w:r>
        <w:rPr>
          <w:rFonts w:hint="default" w:ascii="Times New Roman Regular" w:hAnsi="Times New Roman Regular" w:eastAsia="宋体" w:cs="Times New Roman Regular"/>
          <w:color w:val="auto"/>
          <w:sz w:val="24"/>
          <w:lang w:val="en-US" w:eastAsia="zh-Hans" w:bidi="ar"/>
        </w:rPr>
        <w:t>.</w:t>
      </w:r>
      <w:r>
        <w:rPr>
          <w:rFonts w:hint="default" w:ascii="Times New Roman Regular" w:hAnsi="Times New Roman Regular" w:eastAsia="宋体" w:cs="Times New Roman Regular"/>
          <w:color w:val="auto"/>
          <w:sz w:val="24"/>
          <w:lang w:eastAsia="zh-Hans" w:bidi="ar"/>
        </w:rPr>
        <w:t>6</w:t>
      </w:r>
      <w:r>
        <w:rPr>
          <w:rFonts w:hint="default" w:ascii="Times New Roman Regular" w:hAnsi="Times New Roman Regular" w:eastAsia="宋体" w:cs="Times New Roman Regular"/>
          <w:color w:val="auto"/>
          <w:sz w:val="24"/>
          <w:lang w:val="en-US" w:eastAsia="zh-Hans" w:bidi="ar"/>
        </w:rPr>
        <w:t>平方公里</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流域年平均降雨量</w:t>
      </w:r>
      <w:r>
        <w:rPr>
          <w:rFonts w:hint="default" w:ascii="Times New Roman Regular" w:hAnsi="Times New Roman Regular" w:eastAsia="宋体" w:cs="Times New Roman Regular"/>
          <w:color w:val="auto"/>
          <w:sz w:val="24"/>
          <w:lang w:eastAsia="zh-Hans" w:bidi="ar"/>
        </w:rPr>
        <w:t>1565</w:t>
      </w:r>
      <w:r>
        <w:rPr>
          <w:rFonts w:hint="default" w:ascii="Times New Roman Regular" w:hAnsi="Times New Roman Regular" w:eastAsia="宋体" w:cs="Times New Roman Regular"/>
          <w:color w:val="auto"/>
          <w:sz w:val="24"/>
          <w:lang w:val="en-US" w:eastAsia="zh-Hans" w:bidi="ar"/>
        </w:rPr>
        <w:t>.</w:t>
      </w:r>
      <w:r>
        <w:rPr>
          <w:rFonts w:hint="default" w:ascii="Times New Roman Regular" w:hAnsi="Times New Roman Regular" w:eastAsia="宋体" w:cs="Times New Roman Regular"/>
          <w:color w:val="auto"/>
          <w:sz w:val="24"/>
          <w:lang w:eastAsia="zh-Hans" w:bidi="ar"/>
        </w:rPr>
        <w:t>1</w:t>
      </w:r>
      <w:r>
        <w:rPr>
          <w:rFonts w:hint="default" w:ascii="Times New Roman Regular" w:hAnsi="Times New Roman Regular" w:eastAsia="宋体" w:cs="Times New Roman Regular"/>
          <w:color w:val="auto"/>
          <w:sz w:val="24"/>
          <w:lang w:val="en-US" w:eastAsia="zh-Hans" w:bidi="ar"/>
        </w:rPr>
        <w:t>mm</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时洋站数据</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系列年数</w:t>
      </w:r>
      <w:r>
        <w:rPr>
          <w:rFonts w:hint="default" w:ascii="Times New Roman Regular" w:hAnsi="Times New Roman Regular" w:eastAsia="宋体" w:cs="Times New Roman Regular"/>
          <w:color w:val="auto"/>
          <w:sz w:val="24"/>
          <w:lang w:eastAsia="zh-Hans" w:bidi="ar"/>
        </w:rPr>
        <w:t>24</w:t>
      </w:r>
      <w:r>
        <w:rPr>
          <w:rFonts w:hint="default" w:ascii="Times New Roman Regular" w:hAnsi="Times New Roman Regular" w:eastAsia="宋体" w:cs="Times New Roman Regular"/>
          <w:color w:val="auto"/>
          <w:sz w:val="24"/>
          <w:lang w:val="en-US" w:eastAsia="zh-Hans" w:bidi="ar"/>
        </w:rPr>
        <w:t>年</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陶江上游由时洋溪</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大义溪</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梅溪</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南山溪</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青口溪</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和洋里溪等支流组成</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汇义溪</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荣溪</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若竹溪</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三溪口之水</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流经新村</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岐尾</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联丰</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东台</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西台</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大义</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茶园</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符竹</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青圃</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尚干</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于祥谦镇中院附近的目树山麓汇入乌龙江</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闽江</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陶江全长</w:t>
      </w:r>
      <w:r>
        <w:rPr>
          <w:rFonts w:hint="default" w:ascii="Times New Roman Regular" w:hAnsi="Times New Roman Regular" w:eastAsia="宋体" w:cs="Times New Roman Regular"/>
          <w:color w:val="auto"/>
          <w:sz w:val="24"/>
          <w:lang w:eastAsia="zh-Hans" w:bidi="ar"/>
        </w:rPr>
        <w:t>26</w:t>
      </w:r>
      <w:r>
        <w:rPr>
          <w:rFonts w:hint="default" w:ascii="Times New Roman Regular" w:hAnsi="Times New Roman Regular" w:eastAsia="宋体" w:cs="Times New Roman Regular"/>
          <w:color w:val="auto"/>
          <w:sz w:val="24"/>
          <w:lang w:val="en-US" w:eastAsia="zh-Hans" w:bidi="ar"/>
        </w:rPr>
        <w:t>公里</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年平均径流量约</w:t>
      </w:r>
      <w:r>
        <w:rPr>
          <w:rFonts w:hint="default" w:ascii="Times New Roman Regular" w:hAnsi="Times New Roman Regular" w:eastAsia="宋体" w:cs="Times New Roman Regular"/>
          <w:color w:val="auto"/>
          <w:sz w:val="24"/>
          <w:lang w:eastAsia="zh-Hans" w:bidi="ar"/>
        </w:rPr>
        <w:t>1</w:t>
      </w:r>
      <w:r>
        <w:rPr>
          <w:rFonts w:hint="default" w:ascii="Times New Roman Regular" w:hAnsi="Times New Roman Regular" w:eastAsia="宋体" w:cs="Times New Roman Regular"/>
          <w:color w:val="auto"/>
          <w:sz w:val="24"/>
          <w:lang w:val="en-US" w:eastAsia="zh-Hans" w:bidi="ar"/>
        </w:rPr>
        <w:t>.</w:t>
      </w:r>
      <w:r>
        <w:rPr>
          <w:rFonts w:hint="default" w:ascii="Times New Roman Regular" w:hAnsi="Times New Roman Regular" w:eastAsia="宋体" w:cs="Times New Roman Regular"/>
          <w:color w:val="auto"/>
          <w:sz w:val="24"/>
          <w:lang w:eastAsia="zh-Hans" w:bidi="ar"/>
        </w:rPr>
        <w:t>85</w:t>
      </w:r>
      <w:r>
        <w:rPr>
          <w:rFonts w:hint="default" w:ascii="Times New Roman Regular" w:hAnsi="Times New Roman Regular" w:eastAsia="宋体" w:cs="Times New Roman Regular"/>
          <w:color w:val="auto"/>
          <w:sz w:val="24"/>
          <w:lang w:val="en-US" w:eastAsia="zh-Hans" w:bidi="ar"/>
        </w:rPr>
        <w:t>亿m</w:t>
      </w:r>
      <w:r>
        <w:rPr>
          <w:rFonts w:hint="default" w:ascii="Times New Roman Regular" w:hAnsi="Times New Roman Regular" w:eastAsia="宋体" w:cs="Times New Roman Regular"/>
          <w:color w:val="auto"/>
          <w:sz w:val="24"/>
          <w:vertAlign w:val="superscript"/>
          <w:lang w:eastAsia="zh-Hans" w:bidi="ar"/>
        </w:rPr>
        <w:t>3</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区内各溪流域面积均小于</w:t>
      </w:r>
      <w:r>
        <w:rPr>
          <w:rFonts w:hint="default" w:ascii="Times New Roman Regular" w:hAnsi="Times New Roman Regular" w:eastAsia="宋体" w:cs="Times New Roman Regular"/>
          <w:color w:val="auto"/>
          <w:sz w:val="24"/>
          <w:lang w:eastAsia="zh-Hans" w:bidi="ar"/>
        </w:rPr>
        <w:t>200</w:t>
      </w:r>
      <w:r>
        <w:rPr>
          <w:rFonts w:hint="default" w:ascii="Times New Roman Regular" w:hAnsi="Times New Roman Regular" w:eastAsia="宋体" w:cs="Times New Roman Regular"/>
          <w:color w:val="auto"/>
          <w:sz w:val="24"/>
          <w:lang w:val="en-US" w:eastAsia="zh-Hans" w:bidi="ar"/>
        </w:rPr>
        <w:t>km</w:t>
      </w:r>
      <w:r>
        <w:rPr>
          <w:rFonts w:hint="default" w:ascii="Times New Roman Regular" w:hAnsi="Times New Roman Regular" w:eastAsia="宋体" w:cs="Times New Roman Regular"/>
          <w:color w:val="auto"/>
          <w:sz w:val="24"/>
          <w:vertAlign w:val="superscript"/>
          <w:lang w:eastAsia="zh-Hans" w:bidi="ar"/>
        </w:rPr>
        <w:t>2</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流域内山丘比例占总流域面积的</w:t>
      </w:r>
      <w:r>
        <w:rPr>
          <w:rFonts w:hint="default" w:ascii="Times New Roman Regular" w:hAnsi="Times New Roman Regular" w:eastAsia="宋体" w:cs="Times New Roman Regular"/>
          <w:color w:val="auto"/>
          <w:sz w:val="24"/>
          <w:lang w:eastAsia="zh-Hans" w:bidi="ar"/>
        </w:rPr>
        <w:t>79</w:t>
      </w:r>
      <w:r>
        <w:rPr>
          <w:rFonts w:hint="default" w:ascii="Times New Roman Regular" w:hAnsi="Times New Roman Regular" w:eastAsia="宋体" w:cs="Times New Roman Regular"/>
          <w:color w:val="auto"/>
          <w:sz w:val="24"/>
          <w:lang w:val="en-US" w:eastAsia="zh-Hans" w:bidi="ar"/>
        </w:rPr>
        <w:t>.</w:t>
      </w:r>
      <w:r>
        <w:rPr>
          <w:rFonts w:hint="default" w:ascii="Times New Roman Regular" w:hAnsi="Times New Roman Regular" w:eastAsia="宋体" w:cs="Times New Roman Regular"/>
          <w:color w:val="auto"/>
          <w:sz w:val="24"/>
          <w:lang w:eastAsia="zh-Hans" w:bidi="ar"/>
        </w:rPr>
        <w:t>7%，</w:t>
      </w:r>
      <w:r>
        <w:rPr>
          <w:rFonts w:hint="default" w:ascii="Times New Roman Regular" w:hAnsi="Times New Roman Regular" w:eastAsia="宋体" w:cs="Times New Roman Regular"/>
          <w:color w:val="auto"/>
          <w:sz w:val="24"/>
          <w:lang w:val="en-US" w:eastAsia="zh-Hans" w:bidi="ar"/>
        </w:rPr>
        <w:t>溪兜水库</w:t>
      </w:r>
      <w:r>
        <w:rPr>
          <w:rFonts w:hint="default" w:ascii="Times New Roman Regular" w:hAnsi="Times New Roman Regular" w:eastAsia="宋体" w:cs="Times New Roman Regular"/>
          <w:color w:val="auto"/>
          <w:sz w:val="24"/>
          <w:lang w:eastAsia="zh-Hans" w:bidi="ar"/>
        </w:rPr>
        <w:t>、</w:t>
      </w:r>
      <w:r>
        <w:rPr>
          <w:rFonts w:hint="default" w:ascii="Times New Roman Regular" w:hAnsi="Times New Roman Regular" w:eastAsia="宋体" w:cs="Times New Roman Regular"/>
          <w:color w:val="auto"/>
          <w:sz w:val="24"/>
          <w:lang w:val="en-US" w:eastAsia="zh-Hans" w:bidi="ar"/>
        </w:rPr>
        <w:t>三溪口水库对洪水具有一定对削峰作用</w:t>
      </w:r>
      <w:r>
        <w:rPr>
          <w:rFonts w:hint="default" w:ascii="Times New Roman Regular" w:hAnsi="Times New Roman Regular" w:eastAsia="宋体" w:cs="Times New Roman Regular"/>
          <w:color w:val="auto"/>
          <w:sz w:val="24"/>
          <w:lang w:eastAsia="zh-Hans" w:bidi="ar"/>
        </w:rPr>
        <w:t>。</w:t>
      </w:r>
    </w:p>
    <w:p>
      <w:pPr>
        <w:keepNext/>
        <w:widowControl w:val="0"/>
        <w:autoSpaceDE w:val="0"/>
        <w:autoSpaceDN w:val="0"/>
        <w:textAlignment w:val="bottom"/>
        <w:outlineLvl w:val="2"/>
        <w:rPr>
          <w:rFonts w:hint="default" w:ascii="Times New Roman Regular" w:hAnsi="Times New Roman Regular" w:cs="Times New Roman Regular"/>
          <w:b/>
          <w:color w:val="auto"/>
          <w:lang w:bidi="ar"/>
        </w:rPr>
      </w:pPr>
      <w:bookmarkStart w:id="52" w:name="_Toc1057762095"/>
      <w:r>
        <w:rPr>
          <w:rFonts w:hint="default" w:ascii="Times New Roman Regular" w:hAnsi="Times New Roman Regular" w:cs="Times New Roman Regular"/>
          <w:b/>
          <w:color w:val="auto"/>
          <w:lang w:bidi="ar"/>
        </w:rPr>
        <w:t>3.2.4 土壤植被</w:t>
      </w:r>
      <w:bookmarkEnd w:id="52"/>
    </w:p>
    <w:p>
      <w:pPr>
        <w:spacing w:line="360" w:lineRule="auto"/>
        <w:ind w:firstLine="480" w:firstLineChars="200"/>
        <w:rPr>
          <w:rFonts w:hint="default" w:ascii="Times New Roman Regular" w:hAnsi="Times New Roman Regular" w:eastAsia="宋体" w:cs="Times New Roman Regular"/>
          <w:color w:val="auto"/>
          <w:sz w:val="24"/>
          <w:shd w:val="clear" w:color="auto" w:fill="FFFFFF"/>
        </w:rPr>
      </w:pPr>
      <w:r>
        <w:rPr>
          <w:rFonts w:hint="default" w:ascii="Times New Roman Regular" w:hAnsi="Times New Roman Regular" w:eastAsia="宋体" w:cs="Times New Roman Regular"/>
          <w:color w:val="auto"/>
          <w:sz w:val="24"/>
          <w:shd w:val="clear" w:color="auto" w:fill="FFFFFF"/>
        </w:rPr>
        <w:t>闽侯县土壤分为6个土类、7个亚类、37个土属、45个土种，项目区内要分布有红壤土及水稻土。闽侯县境内的植被主要是林业植被，全县现有森林覆盖率为55%，这些植被的分布情况，因所处生态环境的不同而有所差异。闽侯县境内植被垂直地带甚为明显，在海拔150m以下，主要是果树林带；海拔300m~900m，为常绿阔叶林带；海拔1000m~1100m，为针叶疏林带；海拔1000m~1400m，为中山灌丛草坡带。低山丘陵人工植被带：大致海拔在300m以下，人工植被主要有龙眼、荔枝、柑橘、桃李、油茶、六月麻、毛竹等。</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eastAsia="宋体" w:cs="Times New Roman Regular"/>
          <w:color w:val="auto"/>
          <w:sz w:val="24"/>
          <w:shd w:val="clear" w:color="auto" w:fill="FFFFFF"/>
        </w:rPr>
        <w:t>常绿阔叶林带：大约海拔300m~1000m，除个别坡地为针、阔混合林外，主要植被树种为常绿阔叶林，如米槠、丝粟柯、南岭柯、罗浮柯、青冈栎、闽粤栲、冬青、红楠等；灌木层有胡枝子、黄瑞木、映山红、乌药等；草本有芒萁骨、五节芒、白茅、野枯草；藤本类有鸡血藤、藤黄檀、瓜馥木等。在本带相同的地形上，或较高的坡地和溪谷间交叉分布着杉木、马尾松、毛竹、篓竹等植物。针叶疏林带：分布海拔 1000m~1110m，主要散生一些柳杉、马尾松、黄山松等林木。</w:t>
      </w:r>
    </w:p>
    <w:p>
      <w:pPr>
        <w:pStyle w:val="4"/>
        <w:spacing w:before="120" w:after="120"/>
        <w:outlineLvl w:val="1"/>
        <w:rPr>
          <w:rFonts w:hint="default" w:ascii="Times New Roman Regular" w:hAnsi="Times New Roman Regular" w:cs="Times New Roman Regular"/>
          <w:color w:val="auto"/>
        </w:rPr>
      </w:pPr>
      <w:bookmarkStart w:id="53" w:name="_Toc1432823496_WPSOffice_Level2"/>
      <w:bookmarkStart w:id="54" w:name="_Toc937900799"/>
      <w:bookmarkStart w:id="55" w:name="_Toc47618297"/>
      <w:r>
        <w:rPr>
          <w:rFonts w:hint="default" w:ascii="Times New Roman Regular" w:hAnsi="Times New Roman Regular" w:cs="Times New Roman Regular"/>
          <w:bCs w:val="0"/>
          <w:color w:val="auto"/>
          <w:kern w:val="2"/>
        </w:rPr>
        <w:t>3.3</w:t>
      </w:r>
      <w:r>
        <w:rPr>
          <w:rFonts w:hint="default" w:ascii="Times New Roman Regular" w:hAnsi="Times New Roman Regular" w:cs="Times New Roman Regular"/>
          <w:bCs w:val="0"/>
          <w:color w:val="auto"/>
          <w:kern w:val="2"/>
          <w:lang w:val="en-US" w:eastAsia="zh-Hans"/>
        </w:rPr>
        <w:t>青口投资</w:t>
      </w:r>
      <w:r>
        <w:rPr>
          <w:rFonts w:hint="default" w:ascii="Times New Roman Regular" w:hAnsi="Times New Roman Regular" w:cs="Times New Roman Regular"/>
          <w:color w:val="auto"/>
        </w:rPr>
        <w:t>区概况</w:t>
      </w:r>
      <w:bookmarkEnd w:id="53"/>
      <w:bookmarkEnd w:id="54"/>
      <w:r>
        <w:rPr>
          <w:rFonts w:hint="default" w:ascii="Times New Roman Regular" w:hAnsi="Times New Roman Regular" w:cs="Times New Roman Regular"/>
          <w:color w:val="auto"/>
        </w:rPr>
        <w:t xml:space="preserve">  </w:t>
      </w:r>
    </w:p>
    <w:p>
      <w:pPr>
        <w:adjustRightInd w:val="0"/>
        <w:spacing w:line="480" w:lineRule="exact"/>
        <w:ind w:firstLine="480" w:firstLineChars="200"/>
        <w:rPr>
          <w:rFonts w:hint="default" w:ascii="Times New Roman Regular" w:hAnsi="Times New Roman Regular" w:eastAsia="宋体" w:cs="Times New Roman Regular"/>
          <w:color w:val="auto"/>
          <w:lang w:val="en-US" w:eastAsia="zh-Hans"/>
        </w:rPr>
      </w:pPr>
      <w:r>
        <w:rPr>
          <w:rFonts w:hint="default" w:ascii="Times New Roman Regular" w:hAnsi="Times New Roman Regular" w:cs="Times New Roman Regular"/>
          <w:color w:val="auto"/>
          <w:lang w:val="en-US" w:eastAsia="zh-Hans"/>
        </w:rPr>
        <w:t>福州市青口投资区是省级汽车工业园区</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是省市县重点打造对汽车生产基地</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目前</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已有海峡两岸最大合资汽车项目东南</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福建</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汽车工业有限公司</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一级国际品牌汽车福建戴姆勒汽车工业有限公司两家整车厂落户青口投资区</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到青口投资区投资兴业的由德国戴姆勒汽车公司</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美国克莱斯勒汽车公司</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加拿大麦格纳公司</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台湾六基集团公司</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台湾中华台亚公司等</w:t>
      </w:r>
      <w:r>
        <w:rPr>
          <w:rFonts w:hint="default" w:ascii="Times New Roman Regular" w:hAnsi="Times New Roman Regular" w:cs="Times New Roman Regular"/>
          <w:color w:val="auto"/>
          <w:lang w:eastAsia="zh-Hans"/>
        </w:rPr>
        <w:t>20</w:t>
      </w:r>
      <w:r>
        <w:rPr>
          <w:rFonts w:hint="default" w:ascii="Times New Roman Regular" w:hAnsi="Times New Roman Regular" w:cs="Times New Roman Regular"/>
          <w:color w:val="auto"/>
          <w:lang w:val="en-US" w:eastAsia="zh-Hans"/>
        </w:rPr>
        <w:t>多个国家</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地区的知名企业</w:t>
      </w:r>
      <w:r>
        <w:rPr>
          <w:rFonts w:hint="default" w:ascii="Times New Roman Regular" w:hAnsi="Times New Roman Regular" w:cs="Times New Roman Regular"/>
          <w:color w:val="auto"/>
          <w:lang w:eastAsia="zh-Hans"/>
        </w:rPr>
        <w:t>。区内有总投资22690万美元的东南（福建）汽车工业有限公司及总投资7亿多美元的零部件上下游配套厂120家，该配套厂从1996年的27家发展到现在120家，汽车产业链不断拉长，产业集群不断壮大。现生产产品有“菱帅、富利卡、得利卡”系列，汽车产量从1999年的5000辆到2003年生产汽车86655辆，实现产值112.4亿元，销售收入达108.4亿元，上交税收5.18亿元。</w:t>
      </w:r>
    </w:p>
    <w:p>
      <w:pPr>
        <w:pStyle w:val="4"/>
        <w:keepNext/>
        <w:keepLines/>
        <w:widowControl w:val="0"/>
        <w:spacing w:before="190" w:beforeLines="50" w:after="190" w:afterLines="50"/>
        <w:outlineLvl w:val="1"/>
        <w:rPr>
          <w:rFonts w:hint="default" w:ascii="Times New Roman Regular" w:hAnsi="Times New Roman Regular" w:cs="Times New Roman Regular"/>
          <w:bCs w:val="0"/>
          <w:color w:val="auto"/>
          <w:kern w:val="2"/>
        </w:rPr>
      </w:pPr>
      <w:bookmarkStart w:id="56" w:name="_Toc1730363461_WPSOffice_Level2"/>
      <w:bookmarkStart w:id="57" w:name="_Toc768759813"/>
      <w:r>
        <w:rPr>
          <w:rFonts w:hint="default" w:ascii="Times New Roman Regular" w:hAnsi="Times New Roman Regular" w:cs="Times New Roman Regular"/>
          <w:bCs w:val="0"/>
          <w:color w:val="auto"/>
          <w:kern w:val="2"/>
        </w:rPr>
        <w:t>3.4环境功能区划及</w:t>
      </w:r>
      <w:r>
        <w:rPr>
          <w:rFonts w:hint="default" w:ascii="Times New Roman Regular" w:hAnsi="Times New Roman Regular" w:cs="Times New Roman Regular"/>
          <w:bCs w:val="0"/>
          <w:color w:val="auto"/>
          <w:kern w:val="2"/>
          <w:lang w:eastAsia="zh-Hans"/>
        </w:rPr>
        <w:t>执行</w:t>
      </w:r>
      <w:r>
        <w:rPr>
          <w:rFonts w:hint="default" w:ascii="Times New Roman Regular" w:hAnsi="Times New Roman Regular" w:cs="Times New Roman Regular"/>
          <w:bCs w:val="0"/>
          <w:color w:val="auto"/>
          <w:kern w:val="2"/>
        </w:rPr>
        <w:t>标准</w:t>
      </w:r>
      <w:bookmarkEnd w:id="55"/>
      <w:bookmarkEnd w:id="56"/>
      <w:bookmarkEnd w:id="57"/>
    </w:p>
    <w:p>
      <w:pPr>
        <w:pStyle w:val="128"/>
        <w:keepNext/>
        <w:spacing w:before="190" w:beforeLines="50"/>
        <w:outlineLvl w:val="2"/>
        <w:rPr>
          <w:rFonts w:hint="default" w:ascii="Times New Roman Regular" w:hAnsi="Times New Roman Regular" w:cs="Times New Roman Regular"/>
          <w:color w:val="auto"/>
        </w:rPr>
      </w:pPr>
      <w:bookmarkStart w:id="58" w:name="_Toc44272257"/>
      <w:bookmarkStart w:id="59" w:name="_Toc1284556739"/>
      <w:bookmarkStart w:id="60" w:name="_Toc42613019"/>
      <w:bookmarkStart w:id="61" w:name="_Toc44275413"/>
      <w:bookmarkStart w:id="62" w:name="_Toc47618298"/>
      <w:bookmarkStart w:id="63" w:name="_Toc46314189"/>
      <w:r>
        <w:rPr>
          <w:rFonts w:hint="default" w:ascii="Times New Roman Regular" w:hAnsi="Times New Roman Regular" w:cs="Times New Roman Regular"/>
          <w:color w:val="auto"/>
        </w:rPr>
        <w:t>3.4.1 水环境</w:t>
      </w:r>
      <w:bookmarkEnd w:id="58"/>
      <w:bookmarkEnd w:id="59"/>
      <w:bookmarkEnd w:id="60"/>
      <w:bookmarkEnd w:id="61"/>
      <w:bookmarkEnd w:id="62"/>
      <w:bookmarkEnd w:id="63"/>
    </w:p>
    <w:p>
      <w:pPr>
        <w:adjustRightInd w:val="0"/>
        <w:spacing w:line="480" w:lineRule="exact"/>
        <w:ind w:firstLine="480" w:firstLineChars="200"/>
        <w:rPr>
          <w:rFonts w:hint="default" w:ascii="Times New Roman Regular" w:hAnsi="Times New Roman Regular" w:cs="Times New Roman Regular"/>
          <w:color w:val="auto"/>
          <w:lang w:eastAsia="zh-CN"/>
        </w:rPr>
      </w:pPr>
      <w:r>
        <w:rPr>
          <w:rFonts w:hint="default" w:ascii="Times New Roman Regular" w:hAnsi="Times New Roman Regular" w:cs="Times New Roman Regular"/>
          <w:color w:val="auto"/>
        </w:rPr>
        <w:t>根据《</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市地表水环境功能区划》，</w:t>
      </w:r>
      <w:r>
        <w:rPr>
          <w:rFonts w:hint="default" w:ascii="Times New Roman Regular" w:hAnsi="Times New Roman Regular" w:cs="Times New Roman Regular"/>
          <w:color w:val="auto"/>
          <w:lang w:val="en-US" w:eastAsia="zh-Hans"/>
        </w:rPr>
        <w:t>陶江在卜州汇合处</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吉山汇合处</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后福福厦高速公路桥断面</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青圃里水电站断面至镜上汇合处的水体功能为一般景观用水</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其水环境功能区划为V类区</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水质执行</w:t>
      </w:r>
      <w:r>
        <w:rPr>
          <w:rFonts w:hint="default" w:ascii="Times New Roman Regular" w:hAnsi="Times New Roman Regular" w:cs="Times New Roman Regular"/>
          <w:color w:val="auto"/>
        </w:rPr>
        <w:t>《地表水环境质量标准》（GB3838-2002）</w:t>
      </w:r>
      <w:r>
        <w:rPr>
          <w:rFonts w:hint="default" w:ascii="Times New Roman Regular" w:hAnsi="Times New Roman Regular" w:cs="Times New Roman Regular"/>
          <w:color w:val="auto"/>
          <w:lang w:val="en-US" w:eastAsia="zh-Hans"/>
        </w:rPr>
        <w:t>V</w:t>
      </w:r>
      <w:r>
        <w:rPr>
          <w:rFonts w:hint="default" w:ascii="Times New Roman Regular" w:hAnsi="Times New Roman Regular" w:cs="Times New Roman Regular"/>
          <w:color w:val="auto"/>
        </w:rPr>
        <w:t>类水质标准，主要水质标准详见表 3.4-1。</w:t>
      </w:r>
    </w:p>
    <w:p>
      <w:pPr>
        <w:pStyle w:val="16"/>
        <w:tabs>
          <w:tab w:val="left" w:pos="6789"/>
        </w:tabs>
        <w:adjustRightInd w:val="0"/>
        <w:jc w:val="center"/>
        <w:rPr>
          <w:rFonts w:hint="default" w:ascii="Times New Roman Regular" w:hAnsi="Times New Roman Regular" w:cs="Times New Roman Regular"/>
          <w:b/>
          <w:bCs/>
          <w:color w:val="auto"/>
        </w:rPr>
      </w:pPr>
      <w:r>
        <w:rPr>
          <w:rFonts w:hint="default" w:ascii="Times New Roman Regular" w:hAnsi="Times New Roman Regular" w:cs="Times New Roman Regular"/>
          <w:b/>
          <w:bCs/>
          <w:color w:val="auto"/>
        </w:rPr>
        <w:t>表3.4-1  《地表水环境质量标准》（GB3838-2002）（摘录）   单位：mg/L</w:t>
      </w:r>
    </w:p>
    <w:tbl>
      <w:tblPr>
        <w:tblStyle w:val="3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829"/>
        <w:gridCol w:w="1579"/>
        <w:gridCol w:w="1705"/>
        <w:gridCol w:w="17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pPr>
              <w:pStyle w:val="141"/>
              <w:spacing w:line="340" w:lineRule="exact"/>
              <w:rPr>
                <w:rFonts w:hint="default" w:ascii="Times New Roman Regular" w:hAnsi="Times New Roman Regular" w:eastAsia="宋体" w:cs="Times New Roman Regular"/>
                <w:snapToGrid w:val="0"/>
                <w:color w:val="auto"/>
                <w:kern w:val="18"/>
                <w:lang w:val="en-US" w:eastAsia="zh-Hans"/>
              </w:rPr>
            </w:pPr>
            <w:r>
              <w:rPr>
                <w:rFonts w:hint="default" w:ascii="Times New Roman Regular" w:hAnsi="Times New Roman Regular" w:eastAsia="宋体" w:cs="Times New Roman Regular"/>
                <w:snapToGrid w:val="0"/>
                <w:color w:val="auto"/>
                <w:kern w:val="18"/>
                <w:lang w:val="en-US" w:eastAsia="zh-Hans"/>
              </w:rPr>
              <w:t>项目</w:t>
            </w:r>
          </w:p>
        </w:tc>
        <w:tc>
          <w:tcPr>
            <w:tcW w:w="1829" w:type="dxa"/>
            <w:vAlign w:val="center"/>
          </w:tcPr>
          <w:p>
            <w:pPr>
              <w:pStyle w:val="141"/>
              <w:spacing w:line="340" w:lineRule="exact"/>
              <w:rPr>
                <w:rFonts w:hint="default" w:ascii="Times New Roman Regular" w:hAnsi="Times New Roman Regular" w:eastAsia="宋体" w:cs="Times New Roman Regular"/>
                <w:snapToGrid w:val="0"/>
                <w:color w:val="auto"/>
                <w:kern w:val="18"/>
                <w:lang w:val="en-US" w:eastAsia="zh-Hans"/>
              </w:rPr>
            </w:pPr>
            <w:r>
              <w:rPr>
                <w:rFonts w:hint="default" w:ascii="Times New Roman Regular" w:hAnsi="Times New Roman Regular" w:eastAsia="宋体" w:cs="Times New Roman Regular"/>
                <w:snapToGrid w:val="0"/>
                <w:color w:val="auto"/>
                <w:kern w:val="18"/>
                <w:lang w:val="en-US" w:eastAsia="zh-Hans"/>
              </w:rPr>
              <w:t>pH</w:t>
            </w:r>
            <w:r>
              <w:rPr>
                <w:rFonts w:hint="default" w:ascii="Times New Roman Regular" w:hAnsi="Times New Roman Regular" w:eastAsia="宋体" w:cs="Times New Roman Regular"/>
                <w:snapToGrid w:val="0"/>
                <w:color w:val="auto"/>
                <w:kern w:val="18"/>
                <w:lang w:eastAsia="zh-Hans"/>
              </w:rPr>
              <w:t>（</w:t>
            </w:r>
            <w:r>
              <w:rPr>
                <w:rFonts w:hint="default" w:ascii="Times New Roman Regular" w:hAnsi="Times New Roman Regular" w:eastAsia="宋体" w:cs="Times New Roman Regular"/>
                <w:snapToGrid w:val="0"/>
                <w:color w:val="auto"/>
                <w:kern w:val="18"/>
                <w:lang w:val="en-US" w:eastAsia="zh-Hans"/>
              </w:rPr>
              <w:t>无量纲</w:t>
            </w:r>
            <w:r>
              <w:rPr>
                <w:rFonts w:hint="default" w:ascii="Times New Roman Regular" w:hAnsi="Times New Roman Regular" w:eastAsia="宋体" w:cs="Times New Roman Regular"/>
                <w:snapToGrid w:val="0"/>
                <w:color w:val="auto"/>
                <w:kern w:val="18"/>
                <w:lang w:eastAsia="zh-Hans"/>
              </w:rPr>
              <w:t>）</w:t>
            </w:r>
          </w:p>
        </w:tc>
        <w:tc>
          <w:tcPr>
            <w:tcW w:w="1579" w:type="dxa"/>
            <w:vAlign w:val="center"/>
          </w:tcPr>
          <w:p>
            <w:pPr>
              <w:pStyle w:val="141"/>
              <w:spacing w:line="340" w:lineRule="exact"/>
              <w:rPr>
                <w:rFonts w:hint="default" w:ascii="Times New Roman Regular" w:hAnsi="Times New Roman Regular" w:eastAsia="宋体" w:cs="Times New Roman Regular"/>
                <w:snapToGrid w:val="0"/>
                <w:color w:val="auto"/>
                <w:kern w:val="18"/>
                <w:lang w:val="en-US" w:eastAsia="zh-Hans"/>
              </w:rPr>
            </w:pPr>
            <w:r>
              <w:rPr>
                <w:rFonts w:hint="default" w:ascii="Times New Roman Regular" w:hAnsi="Times New Roman Regular" w:eastAsia="宋体" w:cs="Times New Roman Regular"/>
                <w:snapToGrid w:val="0"/>
                <w:color w:val="auto"/>
                <w:kern w:val="18"/>
                <w:lang w:val="en-US" w:eastAsia="zh-Hans"/>
              </w:rPr>
              <w:t>COD</w:t>
            </w:r>
            <w:r>
              <w:rPr>
                <w:rFonts w:hint="default" w:ascii="Times New Roman Regular" w:hAnsi="Times New Roman Regular" w:eastAsia="宋体" w:cs="Times New Roman Regular"/>
                <w:snapToGrid w:val="0"/>
                <w:color w:val="auto"/>
                <w:kern w:val="18"/>
                <w:vertAlign w:val="subscript"/>
                <w:lang w:val="en-US" w:eastAsia="zh-Hans"/>
              </w:rPr>
              <w:t>cr</w:t>
            </w:r>
          </w:p>
        </w:tc>
        <w:tc>
          <w:tcPr>
            <w:tcW w:w="1705" w:type="dxa"/>
            <w:vAlign w:val="center"/>
          </w:tcPr>
          <w:p>
            <w:pPr>
              <w:pStyle w:val="141"/>
              <w:spacing w:line="340" w:lineRule="exact"/>
              <w:rPr>
                <w:rFonts w:hint="default" w:ascii="Times New Roman Regular" w:hAnsi="Times New Roman Regular" w:eastAsia="宋体" w:cs="Times New Roman Regular"/>
                <w:snapToGrid w:val="0"/>
                <w:color w:val="auto"/>
                <w:kern w:val="18"/>
                <w:lang w:val="en-US" w:eastAsia="zh-Hans"/>
              </w:rPr>
            </w:pPr>
            <w:r>
              <w:rPr>
                <w:rFonts w:hint="default" w:ascii="Times New Roman Regular" w:hAnsi="Times New Roman Regular" w:eastAsia="宋体" w:cs="Times New Roman Regular"/>
                <w:snapToGrid w:val="0"/>
                <w:color w:val="auto"/>
                <w:kern w:val="18"/>
                <w:lang w:val="en-US" w:eastAsia="zh-Hans"/>
              </w:rPr>
              <w:t>NH</w:t>
            </w:r>
            <w:r>
              <w:rPr>
                <w:rFonts w:hint="default" w:ascii="Times New Roman Regular" w:hAnsi="Times New Roman Regular" w:eastAsia="宋体" w:cs="Times New Roman Regular"/>
                <w:snapToGrid w:val="0"/>
                <w:color w:val="auto"/>
                <w:kern w:val="18"/>
                <w:vertAlign w:val="subscript"/>
                <w:lang w:eastAsia="zh-Hans"/>
              </w:rPr>
              <w:t>3</w:t>
            </w:r>
            <w:r>
              <w:rPr>
                <w:rFonts w:hint="default" w:ascii="Times New Roman Regular" w:hAnsi="Times New Roman Regular" w:eastAsia="宋体" w:cs="Times New Roman Regular"/>
                <w:snapToGrid w:val="0"/>
                <w:color w:val="auto"/>
                <w:kern w:val="18"/>
                <w:lang w:eastAsia="zh-Hans"/>
              </w:rPr>
              <w:t>-</w:t>
            </w:r>
            <w:r>
              <w:rPr>
                <w:rFonts w:hint="default" w:ascii="Times New Roman Regular" w:hAnsi="Times New Roman Regular" w:eastAsia="宋体" w:cs="Times New Roman Regular"/>
                <w:snapToGrid w:val="0"/>
                <w:color w:val="auto"/>
                <w:kern w:val="18"/>
                <w:lang w:val="en-US" w:eastAsia="zh-Hans"/>
              </w:rPr>
              <w:t>N</w:t>
            </w:r>
          </w:p>
        </w:tc>
        <w:tc>
          <w:tcPr>
            <w:tcW w:w="1705" w:type="dxa"/>
            <w:vAlign w:val="center"/>
          </w:tcPr>
          <w:p>
            <w:pPr>
              <w:pStyle w:val="141"/>
              <w:spacing w:line="340" w:lineRule="exact"/>
              <w:rPr>
                <w:rFonts w:hint="default" w:ascii="Times New Roman Regular" w:hAnsi="Times New Roman Regular" w:eastAsia="宋体" w:cs="Times New Roman Regular"/>
                <w:snapToGrid w:val="0"/>
                <w:color w:val="auto"/>
                <w:kern w:val="18"/>
                <w:lang w:val="en-US" w:eastAsia="zh-Hans"/>
              </w:rPr>
            </w:pPr>
            <w:r>
              <w:rPr>
                <w:rFonts w:hint="default" w:ascii="Times New Roman Regular" w:hAnsi="Times New Roman Regular" w:eastAsia="宋体" w:cs="Times New Roman Regular"/>
                <w:snapToGrid w:val="0"/>
                <w:color w:val="auto"/>
                <w:kern w:val="18"/>
                <w:lang w:val="en-US" w:eastAsia="zh-Hans"/>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pPr>
              <w:pStyle w:val="141"/>
              <w:spacing w:line="340" w:lineRule="exact"/>
              <w:rPr>
                <w:rFonts w:hint="default" w:ascii="Times New Roman Regular" w:hAnsi="Times New Roman Regular" w:eastAsia="宋体" w:cs="Times New Roman Regular"/>
                <w:snapToGrid w:val="0"/>
                <w:color w:val="auto"/>
                <w:kern w:val="18"/>
                <w:lang w:val="en-US" w:eastAsia="zh-Hans"/>
              </w:rPr>
            </w:pPr>
            <w:r>
              <w:rPr>
                <w:rFonts w:hint="default" w:ascii="Times New Roman Regular" w:hAnsi="Times New Roman Regular" w:eastAsia="宋体" w:cs="Times New Roman Regular"/>
                <w:snapToGrid w:val="0"/>
                <w:color w:val="auto"/>
                <w:kern w:val="18"/>
                <w:lang w:val="en-US" w:eastAsia="zh-Hans"/>
              </w:rPr>
              <w:t>V类标准</w:t>
            </w:r>
          </w:p>
        </w:tc>
        <w:tc>
          <w:tcPr>
            <w:tcW w:w="1829" w:type="dxa"/>
            <w:vAlign w:val="center"/>
          </w:tcPr>
          <w:p>
            <w:pPr>
              <w:pStyle w:val="141"/>
              <w:spacing w:line="340" w:lineRule="exact"/>
              <w:rPr>
                <w:rFonts w:hint="default" w:ascii="Times New Roman Regular" w:hAnsi="Times New Roman Regular" w:eastAsia="宋体" w:cs="Times New Roman Regular"/>
                <w:snapToGrid w:val="0"/>
                <w:color w:val="auto"/>
                <w:kern w:val="18"/>
              </w:rPr>
            </w:pPr>
            <w:r>
              <w:rPr>
                <w:rFonts w:hint="default" w:ascii="Times New Roman Regular" w:hAnsi="Times New Roman Regular" w:eastAsia="宋体" w:cs="Times New Roman Regular"/>
                <w:snapToGrid w:val="0"/>
                <w:color w:val="auto"/>
                <w:kern w:val="18"/>
              </w:rPr>
              <w:t>6～9</w:t>
            </w:r>
          </w:p>
        </w:tc>
        <w:tc>
          <w:tcPr>
            <w:tcW w:w="1579" w:type="dxa"/>
            <w:vAlign w:val="center"/>
          </w:tcPr>
          <w:p>
            <w:pPr>
              <w:pStyle w:val="141"/>
              <w:spacing w:line="340" w:lineRule="exact"/>
              <w:rPr>
                <w:rFonts w:hint="default" w:ascii="Times New Roman Regular" w:hAnsi="Times New Roman Regular" w:eastAsia="宋体" w:cs="Times New Roman Regular"/>
                <w:snapToGrid w:val="0"/>
                <w:color w:val="auto"/>
                <w:kern w:val="18"/>
                <w:lang w:val="en-US" w:eastAsia="zh-Hans"/>
              </w:rPr>
            </w:pPr>
            <w:r>
              <w:rPr>
                <w:rFonts w:hint="default" w:ascii="Times New Roman Regular" w:hAnsi="Times New Roman Regular" w:eastAsia="宋体" w:cs="Times New Roman Regular"/>
                <w:snapToGrid w:val="0"/>
                <w:color w:val="auto"/>
                <w:kern w:val="18"/>
                <w:lang w:val="en-US" w:eastAsia="zh-Hans"/>
              </w:rPr>
              <w:t>≤</w:t>
            </w:r>
            <w:r>
              <w:rPr>
                <w:rFonts w:hint="default" w:ascii="Times New Roman Regular" w:hAnsi="Times New Roman Regular" w:eastAsia="宋体" w:cs="Times New Roman Regular"/>
                <w:snapToGrid w:val="0"/>
                <w:color w:val="auto"/>
                <w:kern w:val="18"/>
                <w:lang w:eastAsia="zh-Hans"/>
              </w:rPr>
              <w:t>40</w:t>
            </w:r>
          </w:p>
        </w:tc>
        <w:tc>
          <w:tcPr>
            <w:tcW w:w="1705" w:type="dxa"/>
            <w:vAlign w:val="center"/>
          </w:tcPr>
          <w:p>
            <w:pPr>
              <w:pStyle w:val="141"/>
              <w:spacing w:line="340" w:lineRule="exact"/>
              <w:rPr>
                <w:rFonts w:hint="default" w:ascii="Times New Roman Regular" w:hAnsi="Times New Roman Regular" w:eastAsia="宋体" w:cs="Times New Roman Regular"/>
                <w:snapToGrid w:val="0"/>
                <w:color w:val="auto"/>
                <w:kern w:val="18"/>
              </w:rPr>
            </w:pPr>
            <w:r>
              <w:rPr>
                <w:rFonts w:hint="default" w:ascii="Times New Roman Regular" w:hAnsi="Times New Roman Regular" w:eastAsia="宋体" w:cs="Times New Roman Regular"/>
                <w:snapToGrid w:val="0"/>
                <w:color w:val="auto"/>
                <w:kern w:val="18"/>
                <w:lang w:val="en-US" w:eastAsia="zh-Hans"/>
              </w:rPr>
              <w:t>≤</w:t>
            </w:r>
            <w:r>
              <w:rPr>
                <w:rFonts w:hint="default" w:ascii="Times New Roman Regular" w:hAnsi="Times New Roman Regular" w:eastAsia="宋体" w:cs="Times New Roman Regular"/>
                <w:snapToGrid w:val="0"/>
                <w:color w:val="auto"/>
                <w:kern w:val="18"/>
                <w:lang w:eastAsia="zh-Hans"/>
              </w:rPr>
              <w:t>2</w:t>
            </w:r>
            <w:r>
              <w:rPr>
                <w:rFonts w:hint="default" w:ascii="Times New Roman Regular" w:hAnsi="Times New Roman Regular" w:eastAsia="宋体" w:cs="Times New Roman Regular"/>
                <w:snapToGrid w:val="0"/>
                <w:color w:val="auto"/>
                <w:kern w:val="18"/>
                <w:lang w:val="en-US" w:eastAsia="zh-Hans"/>
              </w:rPr>
              <w:t>.</w:t>
            </w:r>
            <w:r>
              <w:rPr>
                <w:rFonts w:hint="default" w:ascii="Times New Roman Regular" w:hAnsi="Times New Roman Regular" w:eastAsia="宋体" w:cs="Times New Roman Regular"/>
                <w:snapToGrid w:val="0"/>
                <w:color w:val="auto"/>
                <w:kern w:val="18"/>
                <w:lang w:eastAsia="zh-Hans"/>
              </w:rPr>
              <w:t>0</w:t>
            </w:r>
          </w:p>
        </w:tc>
        <w:tc>
          <w:tcPr>
            <w:tcW w:w="1705" w:type="dxa"/>
            <w:vAlign w:val="center"/>
          </w:tcPr>
          <w:p>
            <w:pPr>
              <w:pStyle w:val="141"/>
              <w:spacing w:line="340" w:lineRule="exact"/>
              <w:rPr>
                <w:rFonts w:hint="default" w:ascii="Times New Roman Regular" w:hAnsi="Times New Roman Regular" w:eastAsia="宋体" w:cs="Times New Roman Regular"/>
                <w:snapToGrid w:val="0"/>
                <w:color w:val="auto"/>
                <w:kern w:val="18"/>
              </w:rPr>
            </w:pPr>
            <w:r>
              <w:rPr>
                <w:rFonts w:hint="default" w:ascii="Times New Roman Regular" w:hAnsi="Times New Roman Regular" w:eastAsia="宋体" w:cs="Times New Roman Regular"/>
                <w:snapToGrid w:val="0"/>
                <w:color w:val="auto"/>
                <w:kern w:val="18"/>
                <w:lang w:val="en-US" w:eastAsia="zh-Hans"/>
              </w:rPr>
              <w:t>≤</w:t>
            </w:r>
            <w:r>
              <w:rPr>
                <w:rFonts w:hint="default" w:ascii="Times New Roman Regular" w:hAnsi="Times New Roman Regular" w:eastAsia="宋体" w:cs="Times New Roman Regular"/>
                <w:snapToGrid w:val="0"/>
                <w:color w:val="auto"/>
                <w:kern w:val="18"/>
                <w:lang w:eastAsia="zh-Hans"/>
              </w:rPr>
              <w:t>1</w:t>
            </w:r>
            <w:r>
              <w:rPr>
                <w:rFonts w:hint="default" w:ascii="Times New Roman Regular" w:hAnsi="Times New Roman Regular" w:eastAsia="宋体" w:cs="Times New Roman Regular"/>
                <w:snapToGrid w:val="0"/>
                <w:color w:val="auto"/>
                <w:kern w:val="18"/>
                <w:lang w:val="en-US" w:eastAsia="zh-Hans"/>
              </w:rPr>
              <w:t>.</w:t>
            </w:r>
            <w:r>
              <w:rPr>
                <w:rFonts w:hint="default" w:ascii="Times New Roman Regular" w:hAnsi="Times New Roman Regular" w:eastAsia="宋体" w:cs="Times New Roman Regular"/>
                <w:snapToGrid w:val="0"/>
                <w:color w:val="auto"/>
                <w:kern w:val="18"/>
                <w:lang w:eastAsia="zh-Hans"/>
              </w:rPr>
              <w:t>0</w:t>
            </w:r>
          </w:p>
        </w:tc>
      </w:tr>
    </w:tbl>
    <w:p>
      <w:pPr>
        <w:pStyle w:val="128"/>
        <w:keepNext/>
        <w:spacing w:before="163" w:beforeLines="50"/>
        <w:outlineLvl w:val="2"/>
        <w:rPr>
          <w:rFonts w:hint="default" w:ascii="Times New Roman Regular" w:hAnsi="Times New Roman Regular" w:cs="Times New Roman Regular"/>
          <w:color w:val="auto"/>
        </w:rPr>
      </w:pPr>
      <w:bookmarkStart w:id="64" w:name="_Toc44272258"/>
      <w:bookmarkStart w:id="65" w:name="_Toc892009082"/>
      <w:bookmarkStart w:id="66" w:name="_Toc46314190"/>
      <w:bookmarkStart w:id="67" w:name="_Toc42613020"/>
      <w:bookmarkStart w:id="68" w:name="_Toc47618299"/>
      <w:bookmarkStart w:id="69" w:name="_Toc44275414"/>
      <w:r>
        <w:rPr>
          <w:rFonts w:hint="default" w:ascii="Times New Roman Regular" w:hAnsi="Times New Roman Regular" w:cs="Times New Roman Regular"/>
          <w:color w:val="auto"/>
        </w:rPr>
        <w:t>3.4.2 环境空气</w:t>
      </w:r>
      <w:bookmarkEnd w:id="64"/>
      <w:bookmarkEnd w:id="65"/>
      <w:bookmarkEnd w:id="66"/>
      <w:bookmarkEnd w:id="67"/>
      <w:bookmarkEnd w:id="68"/>
      <w:bookmarkEnd w:id="69"/>
    </w:p>
    <w:p>
      <w:pPr>
        <w:autoSpaceDE w:val="0"/>
        <w:autoSpaceDN w:val="0"/>
        <w:ind w:firstLine="480" w:firstLineChars="200"/>
        <w:rPr>
          <w:rFonts w:hint="default" w:ascii="Times New Roman Regular" w:hAnsi="Times New Roman Regular" w:cs="Times New Roman Regular"/>
          <w:color w:val="auto"/>
          <w:lang w:eastAsia="zh-CN"/>
        </w:rPr>
      </w:pPr>
      <w:r>
        <w:rPr>
          <w:rFonts w:hint="default" w:ascii="Times New Roman Regular" w:hAnsi="Times New Roman Regular" w:cs="Times New Roman Regular"/>
          <w:color w:val="auto"/>
          <w:lang w:val="en-US" w:eastAsia="zh-Hans"/>
        </w:rPr>
        <w:t>根据</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福州市环境空气质量功能区划</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本</w:t>
      </w:r>
      <w:r>
        <w:rPr>
          <w:rFonts w:hint="default" w:ascii="Times New Roman Regular" w:hAnsi="Times New Roman Regular" w:cs="Times New Roman Regular"/>
          <w:color w:val="auto"/>
        </w:rPr>
        <w:t>项目所在地环境空气</w:t>
      </w:r>
      <w:r>
        <w:rPr>
          <w:rFonts w:hint="default" w:ascii="Times New Roman Regular" w:hAnsi="Times New Roman Regular" w:cs="Times New Roman Regular"/>
          <w:color w:val="auto"/>
          <w:lang w:val="en-US" w:eastAsia="zh-Hans"/>
        </w:rPr>
        <w:t>质量</w:t>
      </w:r>
      <w:r>
        <w:rPr>
          <w:rFonts w:hint="default" w:ascii="Times New Roman Regular" w:hAnsi="Times New Roman Regular" w:cs="Times New Roman Regular"/>
          <w:color w:val="auto"/>
        </w:rPr>
        <w:t>功能</w:t>
      </w:r>
      <w:r>
        <w:rPr>
          <w:rFonts w:hint="default" w:ascii="Times New Roman Regular" w:hAnsi="Times New Roman Regular" w:cs="Times New Roman Regular"/>
          <w:color w:val="auto"/>
          <w:lang w:val="en-US" w:eastAsia="zh-Hans"/>
        </w:rPr>
        <w:t>区划</w:t>
      </w:r>
      <w:r>
        <w:rPr>
          <w:rFonts w:hint="default" w:ascii="Times New Roman Regular" w:hAnsi="Times New Roman Regular" w:cs="Times New Roman Regular"/>
          <w:color w:val="auto"/>
        </w:rPr>
        <w:t>二类区，区域空气质量执行《环境空气质量标准》（GB3095-2012）中二级标准，详见表3.4-2。</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表3.4-2 区域环境空气质量标准</w:t>
      </w:r>
    </w:p>
    <w:tbl>
      <w:tblPr>
        <w:tblStyle w:val="36"/>
        <w:tblW w:w="851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81"/>
        <w:gridCol w:w="1992"/>
        <w:gridCol w:w="1199"/>
        <w:gridCol w:w="963"/>
        <w:gridCol w:w="23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污染物项目</w:t>
            </w: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平均时间</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浓度限值</w:t>
            </w:r>
          </w:p>
        </w:tc>
        <w:tc>
          <w:tcPr>
            <w:tcW w:w="963"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单位</w:t>
            </w:r>
          </w:p>
        </w:tc>
        <w:tc>
          <w:tcPr>
            <w:tcW w:w="2375"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restart"/>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二氧化硫（SO</w:t>
            </w:r>
            <w:r>
              <w:rPr>
                <w:rFonts w:hint="default" w:ascii="Times New Roman Regular" w:hAnsi="Times New Roman Regular" w:cs="Times New Roman Regular"/>
                <w:snapToGrid w:val="0"/>
                <w:color w:val="auto"/>
                <w:kern w:val="18"/>
                <w:vertAlign w:val="subscript"/>
              </w:rPr>
              <w:t>2</w:t>
            </w:r>
            <w:r>
              <w:rPr>
                <w:rFonts w:hint="default" w:ascii="Times New Roman Regular" w:hAnsi="Times New Roman Regular" w:cs="Times New Roman Regular"/>
                <w:snapToGrid w:val="0"/>
                <w:color w:val="auto"/>
                <w:kern w:val="18"/>
              </w:rPr>
              <w:t>）</w:t>
            </w: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年平均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60</w:t>
            </w:r>
          </w:p>
        </w:tc>
        <w:tc>
          <w:tcPr>
            <w:tcW w:w="963" w:type="dxa"/>
            <w:vMerge w:val="restart"/>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µg/m</w:t>
            </w:r>
            <w:r>
              <w:rPr>
                <w:rFonts w:hint="default" w:ascii="Times New Roman Regular" w:hAnsi="Times New Roman Regular" w:cs="Times New Roman Regular"/>
                <w:snapToGrid w:val="0"/>
                <w:color w:val="auto"/>
                <w:kern w:val="18"/>
                <w:vertAlign w:val="superscript"/>
              </w:rPr>
              <w:t>3</w:t>
            </w:r>
          </w:p>
        </w:tc>
        <w:tc>
          <w:tcPr>
            <w:tcW w:w="2375" w:type="dxa"/>
            <w:vMerge w:val="restart"/>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《环境空气质量标准》</w:t>
            </w:r>
          </w:p>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（GB3095-2012）</w:t>
            </w:r>
          </w:p>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24小时平均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150</w:t>
            </w:r>
          </w:p>
        </w:tc>
        <w:tc>
          <w:tcPr>
            <w:tcW w:w="963"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2375"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1小时平均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500</w:t>
            </w:r>
          </w:p>
        </w:tc>
        <w:tc>
          <w:tcPr>
            <w:tcW w:w="963"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2375"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restart"/>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二氧化氮（NO</w:t>
            </w:r>
            <w:r>
              <w:rPr>
                <w:rFonts w:hint="default" w:ascii="Times New Roman Regular" w:hAnsi="Times New Roman Regular" w:cs="Times New Roman Regular"/>
                <w:snapToGrid w:val="0"/>
                <w:color w:val="auto"/>
                <w:kern w:val="18"/>
                <w:vertAlign w:val="subscript"/>
              </w:rPr>
              <w:t>x</w:t>
            </w:r>
            <w:r>
              <w:rPr>
                <w:rFonts w:hint="default" w:ascii="Times New Roman Regular" w:hAnsi="Times New Roman Regular" w:cs="Times New Roman Regular"/>
                <w:snapToGrid w:val="0"/>
                <w:color w:val="auto"/>
                <w:kern w:val="18"/>
              </w:rPr>
              <w:t>）</w:t>
            </w: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年平均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50</w:t>
            </w:r>
          </w:p>
        </w:tc>
        <w:tc>
          <w:tcPr>
            <w:tcW w:w="963"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2375"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24小时平均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100</w:t>
            </w:r>
          </w:p>
        </w:tc>
        <w:tc>
          <w:tcPr>
            <w:tcW w:w="963"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2375"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1小时平均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250</w:t>
            </w:r>
          </w:p>
        </w:tc>
        <w:tc>
          <w:tcPr>
            <w:tcW w:w="963"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2375" w:type="dxa"/>
            <w:vMerge w:val="continue"/>
            <w:vAlign w:val="center"/>
          </w:tcPr>
          <w:p>
            <w:pPr>
              <w:pStyle w:val="141"/>
              <w:spacing w:line="340" w:lineRule="exact"/>
              <w:jc w:val="both"/>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restart"/>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一氧化碳（CO）</w:t>
            </w: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24小时平均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4</w:t>
            </w:r>
          </w:p>
        </w:tc>
        <w:tc>
          <w:tcPr>
            <w:tcW w:w="963" w:type="dxa"/>
            <w:vMerge w:val="restart"/>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mg/m</w:t>
            </w:r>
            <w:r>
              <w:rPr>
                <w:rFonts w:hint="default" w:ascii="Times New Roman Regular" w:hAnsi="Times New Roman Regular" w:cs="Times New Roman Regular"/>
                <w:snapToGrid w:val="0"/>
                <w:color w:val="auto"/>
                <w:kern w:val="18"/>
                <w:vertAlign w:val="superscript"/>
              </w:rPr>
              <w:t>3</w:t>
            </w:r>
          </w:p>
        </w:tc>
        <w:tc>
          <w:tcPr>
            <w:tcW w:w="2375" w:type="dxa"/>
            <w:vMerge w:val="continue"/>
            <w:vAlign w:val="center"/>
          </w:tcPr>
          <w:p>
            <w:pPr>
              <w:pStyle w:val="141"/>
              <w:spacing w:line="340" w:lineRule="exact"/>
              <w:jc w:val="both"/>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1小时平均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10</w:t>
            </w:r>
          </w:p>
        </w:tc>
        <w:tc>
          <w:tcPr>
            <w:tcW w:w="963"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2375" w:type="dxa"/>
            <w:vMerge w:val="continue"/>
            <w:vAlign w:val="center"/>
          </w:tcPr>
          <w:p>
            <w:pPr>
              <w:pStyle w:val="141"/>
              <w:spacing w:line="340" w:lineRule="exact"/>
              <w:jc w:val="both"/>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restart"/>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臭氧（O</w:t>
            </w:r>
            <w:r>
              <w:rPr>
                <w:rFonts w:hint="default" w:ascii="Times New Roman Regular" w:hAnsi="Times New Roman Regular" w:cs="Times New Roman Regular"/>
                <w:snapToGrid w:val="0"/>
                <w:color w:val="auto"/>
                <w:kern w:val="18"/>
                <w:vertAlign w:val="subscript"/>
              </w:rPr>
              <w:t>3</w:t>
            </w:r>
            <w:r>
              <w:rPr>
                <w:rFonts w:hint="default" w:ascii="Times New Roman Regular" w:hAnsi="Times New Roman Regular" w:cs="Times New Roman Regular"/>
                <w:snapToGrid w:val="0"/>
                <w:color w:val="auto"/>
                <w:kern w:val="18"/>
              </w:rPr>
              <w:t>）</w:t>
            </w: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日最大8小时平均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160</w:t>
            </w:r>
          </w:p>
        </w:tc>
        <w:tc>
          <w:tcPr>
            <w:tcW w:w="963" w:type="dxa"/>
            <w:vMerge w:val="restart"/>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µg/m</w:t>
            </w:r>
            <w:r>
              <w:rPr>
                <w:rFonts w:hint="default" w:ascii="Times New Roman Regular" w:hAnsi="Times New Roman Regular" w:cs="Times New Roman Regular"/>
                <w:snapToGrid w:val="0"/>
                <w:color w:val="auto"/>
                <w:kern w:val="18"/>
                <w:vertAlign w:val="superscript"/>
              </w:rPr>
              <w:t>3</w:t>
            </w:r>
          </w:p>
        </w:tc>
        <w:tc>
          <w:tcPr>
            <w:tcW w:w="2375" w:type="dxa"/>
            <w:vMerge w:val="continue"/>
            <w:vAlign w:val="center"/>
          </w:tcPr>
          <w:p>
            <w:pPr>
              <w:pStyle w:val="141"/>
              <w:spacing w:line="340" w:lineRule="exact"/>
              <w:jc w:val="both"/>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1小时平均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200</w:t>
            </w:r>
          </w:p>
        </w:tc>
        <w:tc>
          <w:tcPr>
            <w:tcW w:w="963"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2375" w:type="dxa"/>
            <w:vMerge w:val="continue"/>
            <w:vAlign w:val="center"/>
          </w:tcPr>
          <w:p>
            <w:pPr>
              <w:pStyle w:val="141"/>
              <w:spacing w:line="340" w:lineRule="exact"/>
              <w:jc w:val="both"/>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restart"/>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颗粒物（粒径小于等于10µm）</w:t>
            </w: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年平均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70</w:t>
            </w:r>
          </w:p>
        </w:tc>
        <w:tc>
          <w:tcPr>
            <w:tcW w:w="963"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2375"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24小时平均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150</w:t>
            </w:r>
          </w:p>
        </w:tc>
        <w:tc>
          <w:tcPr>
            <w:tcW w:w="963"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2375"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restart"/>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颗粒物（粒径小于等于5µm）</w:t>
            </w: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年平均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35</w:t>
            </w:r>
          </w:p>
        </w:tc>
        <w:tc>
          <w:tcPr>
            <w:tcW w:w="963"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2375"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24小时平均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75</w:t>
            </w:r>
          </w:p>
        </w:tc>
        <w:tc>
          <w:tcPr>
            <w:tcW w:w="963"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2375"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vMerge w:val="restart"/>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总悬浮颗粒物（TSP）</w:t>
            </w: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年平均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200</w:t>
            </w:r>
          </w:p>
        </w:tc>
        <w:tc>
          <w:tcPr>
            <w:tcW w:w="963"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2375"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981"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1992"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24小时平均</w:t>
            </w:r>
          </w:p>
        </w:tc>
        <w:tc>
          <w:tcPr>
            <w:tcW w:w="1199" w:type="dxa"/>
            <w:vAlign w:val="center"/>
          </w:tcPr>
          <w:p>
            <w:pPr>
              <w:pStyle w:val="141"/>
              <w:spacing w:line="340" w:lineRule="exact"/>
              <w:rPr>
                <w:rFonts w:hint="default" w:ascii="Times New Roman Regular" w:hAnsi="Times New Roman Regular" w:cs="Times New Roman Regular"/>
                <w:snapToGrid w:val="0"/>
                <w:color w:val="auto"/>
                <w:kern w:val="18"/>
              </w:rPr>
            </w:pPr>
            <w:r>
              <w:rPr>
                <w:rFonts w:hint="default" w:ascii="Times New Roman Regular" w:hAnsi="Times New Roman Regular" w:cs="Times New Roman Regular"/>
                <w:snapToGrid w:val="0"/>
                <w:color w:val="auto"/>
                <w:kern w:val="18"/>
              </w:rPr>
              <w:t>300</w:t>
            </w:r>
          </w:p>
        </w:tc>
        <w:tc>
          <w:tcPr>
            <w:tcW w:w="963" w:type="dxa"/>
            <w:vMerge w:val="continue"/>
            <w:vAlign w:val="center"/>
          </w:tcPr>
          <w:p>
            <w:pPr>
              <w:pStyle w:val="141"/>
              <w:spacing w:line="340" w:lineRule="exact"/>
              <w:rPr>
                <w:rFonts w:hint="default" w:ascii="Times New Roman Regular" w:hAnsi="Times New Roman Regular" w:cs="Times New Roman Regular"/>
                <w:snapToGrid w:val="0"/>
                <w:color w:val="auto"/>
                <w:kern w:val="18"/>
              </w:rPr>
            </w:pPr>
          </w:p>
        </w:tc>
        <w:tc>
          <w:tcPr>
            <w:tcW w:w="2375" w:type="dxa"/>
            <w:vMerge w:val="continue"/>
            <w:tcBorders>
              <w:bottom w:val="single" w:color="auto" w:sz="4" w:space="0"/>
            </w:tcBorders>
            <w:vAlign w:val="center"/>
          </w:tcPr>
          <w:p>
            <w:pPr>
              <w:pStyle w:val="141"/>
              <w:spacing w:line="340" w:lineRule="exact"/>
              <w:rPr>
                <w:rFonts w:hint="default" w:ascii="Times New Roman Regular" w:hAnsi="Times New Roman Regular" w:cs="Times New Roman Regular"/>
                <w:snapToGrid w:val="0"/>
                <w:color w:val="auto"/>
                <w:kern w:val="18"/>
              </w:rPr>
            </w:pPr>
          </w:p>
        </w:tc>
      </w:tr>
    </w:tbl>
    <w:p>
      <w:pPr>
        <w:pStyle w:val="128"/>
        <w:keepNext/>
        <w:spacing w:before="163" w:beforeLines="50"/>
        <w:outlineLvl w:val="2"/>
        <w:rPr>
          <w:rFonts w:hint="default" w:ascii="Times New Roman Regular" w:hAnsi="Times New Roman Regular" w:cs="Times New Roman Regular"/>
          <w:color w:val="auto"/>
        </w:rPr>
      </w:pPr>
      <w:bookmarkStart w:id="70" w:name="_Toc44275415"/>
      <w:bookmarkStart w:id="71" w:name="_Toc46314191"/>
      <w:bookmarkStart w:id="72" w:name="_Toc44272259"/>
      <w:bookmarkStart w:id="73" w:name="_Toc413301467"/>
      <w:bookmarkStart w:id="74" w:name="_Toc42613021"/>
      <w:bookmarkStart w:id="75" w:name="_Toc47618300"/>
      <w:r>
        <w:rPr>
          <w:rFonts w:hint="default" w:ascii="Times New Roman Regular" w:hAnsi="Times New Roman Regular" w:cs="Times New Roman Regular"/>
          <w:color w:val="auto"/>
        </w:rPr>
        <w:t>3.4.3 声环境</w:t>
      </w:r>
      <w:bookmarkEnd w:id="70"/>
      <w:bookmarkEnd w:id="71"/>
      <w:bookmarkEnd w:id="72"/>
      <w:bookmarkEnd w:id="73"/>
      <w:bookmarkEnd w:id="74"/>
      <w:bookmarkEnd w:id="75"/>
    </w:p>
    <w:p>
      <w:pPr>
        <w:spacing w:line="480" w:lineRule="exact"/>
        <w:ind w:firstLine="523" w:firstLineChars="218"/>
        <w:rPr>
          <w:rFonts w:hint="default" w:ascii="Times New Roman Regular" w:hAnsi="Times New Roman Regular" w:cs="Times New Roman Regular"/>
          <w:color w:val="auto"/>
          <w:szCs w:val="20"/>
        </w:rPr>
      </w:pPr>
      <w:bookmarkStart w:id="76" w:name="_Toc47618301"/>
      <w:r>
        <w:rPr>
          <w:rFonts w:hint="default" w:ascii="Times New Roman Regular" w:hAnsi="Times New Roman Regular" w:cs="Times New Roman Regular"/>
          <w:color w:val="auto"/>
          <w:szCs w:val="20"/>
        </w:rPr>
        <w:t>项目位于</w:t>
      </w:r>
      <w:r>
        <w:rPr>
          <w:rFonts w:hint="default" w:ascii="Times New Roman Regular" w:hAnsi="Times New Roman Regular" w:cs="Times New Roman Regular"/>
          <w:color w:val="auto"/>
          <w:szCs w:val="20"/>
          <w:lang w:val="en-US" w:eastAsia="zh-Hans"/>
        </w:rPr>
        <w:t>青口投资</w:t>
      </w:r>
      <w:r>
        <w:rPr>
          <w:rFonts w:hint="default" w:ascii="Times New Roman Regular" w:hAnsi="Times New Roman Regular" w:cs="Times New Roman Regular"/>
          <w:color w:val="auto"/>
          <w:szCs w:val="20"/>
        </w:rPr>
        <w:t>区，该区域为声功能3类区域，项目</w:t>
      </w:r>
      <w:r>
        <w:rPr>
          <w:rFonts w:hint="default" w:ascii="Times New Roman Regular" w:hAnsi="Times New Roman Regular" w:cs="Times New Roman Regular"/>
          <w:color w:val="auto"/>
          <w:szCs w:val="20"/>
          <w:lang w:val="en-US" w:eastAsia="zh-Hans"/>
        </w:rPr>
        <w:t>北</w:t>
      </w:r>
      <w:r>
        <w:rPr>
          <w:rFonts w:hint="default" w:ascii="Times New Roman Regular" w:hAnsi="Times New Roman Regular" w:cs="Times New Roman Regular"/>
          <w:color w:val="auto"/>
          <w:szCs w:val="20"/>
        </w:rPr>
        <w:t>侧为</w:t>
      </w:r>
      <w:r>
        <w:rPr>
          <w:rFonts w:hint="default" w:ascii="Times New Roman Regular" w:hAnsi="Times New Roman Regular" w:cs="Times New Roman Regular"/>
          <w:color w:val="auto"/>
          <w:szCs w:val="20"/>
          <w:lang w:val="en-US" w:eastAsia="zh-Hans"/>
        </w:rPr>
        <w:t>国</w:t>
      </w:r>
      <w:r>
        <w:rPr>
          <w:rFonts w:hint="default" w:ascii="Times New Roman Regular" w:hAnsi="Times New Roman Regular" w:cs="Times New Roman Regular"/>
          <w:color w:val="auto"/>
          <w:szCs w:val="20"/>
        </w:rPr>
        <w:t>道</w:t>
      </w:r>
      <w:r>
        <w:rPr>
          <w:rFonts w:hint="default" w:ascii="Times New Roman Regular" w:hAnsi="Times New Roman Regular" w:cs="Times New Roman Regular"/>
          <w:color w:val="auto"/>
          <w:szCs w:val="20"/>
          <w:lang w:val="en-US" w:eastAsia="zh-Hans"/>
        </w:rPr>
        <w:t>G</w:t>
      </w:r>
      <w:r>
        <w:rPr>
          <w:rFonts w:hint="default" w:ascii="Times New Roman Regular" w:hAnsi="Times New Roman Regular" w:cs="Times New Roman Regular"/>
          <w:color w:val="auto"/>
          <w:szCs w:val="20"/>
          <w:lang w:eastAsia="zh-Hans"/>
        </w:rPr>
        <w:t>104</w:t>
      </w:r>
      <w:r>
        <w:rPr>
          <w:rFonts w:hint="default" w:ascii="Times New Roman Regular" w:hAnsi="Times New Roman Regular" w:cs="Times New Roman Regular"/>
          <w:color w:val="auto"/>
          <w:szCs w:val="20"/>
        </w:rPr>
        <w:t>，因此</w:t>
      </w:r>
      <w:r>
        <w:rPr>
          <w:rFonts w:hint="default" w:ascii="Times New Roman Regular" w:hAnsi="Times New Roman Regular" w:cs="Times New Roman Regular"/>
          <w:color w:val="auto"/>
          <w:szCs w:val="20"/>
          <w:lang w:val="en-US" w:eastAsia="zh-Hans"/>
        </w:rPr>
        <w:t>南</w:t>
      </w:r>
      <w:r>
        <w:rPr>
          <w:rFonts w:hint="default" w:ascii="Times New Roman Regular" w:hAnsi="Times New Roman Regular" w:cs="Times New Roman Regular"/>
          <w:color w:val="auto"/>
          <w:szCs w:val="20"/>
        </w:rPr>
        <w:t>侧声环境质量执行《声环境质量标准》（GB3096-2008）中4a类标准、其余执行3类标准，</w:t>
      </w:r>
      <w:r>
        <w:rPr>
          <w:rFonts w:hint="default" w:ascii="Times New Roman Regular" w:hAnsi="Times New Roman Regular" w:cs="Times New Roman Regular"/>
          <w:color w:val="auto"/>
          <w:szCs w:val="20"/>
          <w:lang w:eastAsia="zh-Hans"/>
        </w:rPr>
        <w:t>详见表3.4-3。</w:t>
      </w:r>
    </w:p>
    <w:p>
      <w:pPr>
        <w:spacing w:line="480" w:lineRule="exact"/>
        <w:jc w:val="center"/>
        <w:rPr>
          <w:rFonts w:hint="default" w:ascii="Times New Roman Regular" w:hAnsi="Times New Roman Regular" w:cs="Times New Roman Regular"/>
          <w:b/>
          <w:color w:val="auto"/>
          <w:szCs w:val="20"/>
        </w:rPr>
      </w:pPr>
      <w:r>
        <w:rPr>
          <w:rFonts w:hint="default" w:ascii="Times New Roman Regular" w:hAnsi="Times New Roman Regular" w:cs="Times New Roman Regular"/>
          <w:b/>
          <w:color w:val="auto"/>
          <w:szCs w:val="20"/>
        </w:rPr>
        <w:t>表3.4-3  环境噪声限值     单位:dB(A)</w:t>
      </w:r>
    </w:p>
    <w:tbl>
      <w:tblPr>
        <w:tblStyle w:val="3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11"/>
        <w:gridCol w:w="2472"/>
        <w:gridCol w:w="26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3411"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声环境功能区类别</w:t>
            </w:r>
          </w:p>
        </w:tc>
        <w:tc>
          <w:tcPr>
            <w:tcW w:w="247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昼间</w:t>
            </w:r>
          </w:p>
        </w:tc>
        <w:tc>
          <w:tcPr>
            <w:tcW w:w="264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3411"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3类</w:t>
            </w:r>
          </w:p>
        </w:tc>
        <w:tc>
          <w:tcPr>
            <w:tcW w:w="247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65</w:t>
            </w:r>
          </w:p>
        </w:tc>
        <w:tc>
          <w:tcPr>
            <w:tcW w:w="264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3411"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4a类</w:t>
            </w:r>
          </w:p>
        </w:tc>
        <w:tc>
          <w:tcPr>
            <w:tcW w:w="247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70</w:t>
            </w:r>
          </w:p>
        </w:tc>
        <w:tc>
          <w:tcPr>
            <w:tcW w:w="264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55</w:t>
            </w:r>
          </w:p>
        </w:tc>
      </w:tr>
    </w:tbl>
    <w:p>
      <w:pPr>
        <w:pStyle w:val="4"/>
        <w:keepNext/>
        <w:keepLines/>
        <w:widowControl w:val="0"/>
        <w:spacing w:before="163" w:beforeLines="50" w:after="163" w:afterLines="50"/>
        <w:outlineLvl w:val="1"/>
        <w:rPr>
          <w:rFonts w:hint="default" w:ascii="Times New Roman Regular" w:hAnsi="Times New Roman Regular" w:cs="Times New Roman Regular"/>
          <w:bCs w:val="0"/>
          <w:color w:val="auto"/>
          <w:kern w:val="2"/>
        </w:rPr>
      </w:pPr>
      <w:bookmarkStart w:id="77" w:name="_Toc1395641471"/>
      <w:bookmarkStart w:id="78" w:name="_Toc995141353_WPSOffice_Level2"/>
      <w:r>
        <w:rPr>
          <w:rFonts w:hint="default" w:ascii="Times New Roman Regular" w:hAnsi="Times New Roman Regular" w:cs="Times New Roman Regular"/>
          <w:bCs w:val="0"/>
          <w:color w:val="auto"/>
          <w:kern w:val="2"/>
        </w:rPr>
        <w:t>3.5 污染物排放标</w:t>
      </w:r>
      <w:bookmarkEnd w:id="76"/>
      <w:bookmarkEnd w:id="77"/>
      <w:bookmarkEnd w:id="78"/>
      <w:r>
        <w:rPr>
          <w:rFonts w:hint="eastAsia" w:ascii="Times New Roman Regular" w:hAnsi="Times New Roman Regular" w:cs="Times New Roman Regular"/>
          <w:bCs w:val="0"/>
          <w:color w:val="auto"/>
          <w:kern w:val="2"/>
          <w:lang w:val="en-US" w:eastAsia="zh-Hans"/>
        </w:rPr>
        <w:t>准</w:t>
      </w:r>
    </w:p>
    <w:p>
      <w:pPr>
        <w:pStyle w:val="128"/>
        <w:keepNext/>
        <w:spacing w:before="163" w:beforeLines="50"/>
        <w:outlineLvl w:val="2"/>
        <w:rPr>
          <w:rFonts w:hint="default" w:ascii="Times New Roman Regular" w:hAnsi="Times New Roman Regular" w:cs="Times New Roman Regular"/>
          <w:color w:val="auto"/>
        </w:rPr>
      </w:pPr>
      <w:bookmarkStart w:id="79" w:name="_Toc44275417"/>
      <w:bookmarkStart w:id="80" w:name="_Toc47618302"/>
      <w:bookmarkStart w:id="81" w:name="_Toc1729810563"/>
      <w:bookmarkStart w:id="82" w:name="_Toc42613023"/>
      <w:bookmarkStart w:id="83" w:name="_Toc46314193"/>
      <w:bookmarkStart w:id="84" w:name="_Toc44272261"/>
      <w:r>
        <w:rPr>
          <w:rFonts w:hint="default" w:ascii="Times New Roman Regular" w:hAnsi="Times New Roman Regular" w:cs="Times New Roman Regular"/>
          <w:color w:val="auto"/>
        </w:rPr>
        <w:t>3.5.1 废水</w:t>
      </w:r>
      <w:bookmarkEnd w:id="79"/>
      <w:bookmarkEnd w:id="80"/>
      <w:bookmarkEnd w:id="81"/>
      <w:bookmarkEnd w:id="82"/>
      <w:bookmarkEnd w:id="83"/>
      <w:bookmarkEnd w:id="84"/>
    </w:p>
    <w:p>
      <w:pPr>
        <w:adjustRightInd w:val="0"/>
        <w:spacing w:line="480" w:lineRule="exact"/>
        <w:ind w:firstLine="480" w:firstLineChars="200"/>
        <w:rPr>
          <w:rFonts w:hint="default" w:ascii="Times New Roman Regular" w:hAnsi="Times New Roman Regular" w:cs="Times New Roman Regular"/>
          <w:color w:val="auto"/>
        </w:rPr>
      </w:pPr>
      <w:bookmarkStart w:id="85" w:name="_Toc47618303"/>
      <w:bookmarkStart w:id="86" w:name="_Toc44272262"/>
      <w:bookmarkStart w:id="87" w:name="_Toc44275418"/>
      <w:bookmarkStart w:id="88" w:name="_Toc46314194"/>
      <w:bookmarkStart w:id="89" w:name="_Toc42613024"/>
      <w:r>
        <w:rPr>
          <w:rFonts w:hint="default" w:ascii="Times New Roman Regular" w:hAnsi="Times New Roman Regular" w:cs="Times New Roman Regular"/>
          <w:color w:val="auto"/>
        </w:rPr>
        <w:t>本项目营运期</w:t>
      </w:r>
      <w:r>
        <w:rPr>
          <w:rFonts w:hint="default" w:ascii="Times New Roman Regular" w:hAnsi="Times New Roman Regular" w:cs="Times New Roman Regular"/>
          <w:color w:val="auto"/>
          <w:lang w:val="en-US" w:eastAsia="zh-Hans"/>
        </w:rPr>
        <w:t>无生产废水</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rPr>
        <w:t>员工生活污水经化粪池处理达到《污水综合排放标准》（GB8978-1996）表4三级标准，其中氨氮参照执行《污水排入城镇下水道水质标准》（GB/T31962-2015）表1B等级标准接入市政污水管网，最后进入</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青口新区污水处理厂处理。</w:t>
      </w:r>
    </w:p>
    <w:p>
      <w:pPr>
        <w:spacing w:before="163" w:beforeLines="50"/>
        <w:jc w:val="center"/>
        <w:rPr>
          <w:rFonts w:hint="default" w:ascii="Times New Roman Regular" w:hAnsi="Times New Roman Regular" w:cs="Times New Roman Regular"/>
          <w:b/>
          <w:color w:val="auto"/>
          <w:szCs w:val="20"/>
        </w:rPr>
      </w:pPr>
      <w:r>
        <w:rPr>
          <w:rFonts w:hint="default" w:ascii="Times New Roman Regular" w:hAnsi="Times New Roman Regular" w:cs="Times New Roman Regular"/>
          <w:b/>
          <w:color w:val="auto"/>
          <w:szCs w:val="20"/>
        </w:rPr>
        <w:t>表3.5-1 《污水综合排放标准》(GB8978-1996) (摘录) 单位：mg/L</w:t>
      </w:r>
    </w:p>
    <w:tbl>
      <w:tblPr>
        <w:tblStyle w:val="36"/>
        <w:tblW w:w="4998" w:type="pct"/>
        <w:jc w:val="center"/>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259"/>
        <w:gridCol w:w="1520"/>
        <w:gridCol w:w="1353"/>
        <w:gridCol w:w="1590"/>
        <w:gridCol w:w="1373"/>
        <w:gridCol w:w="1424"/>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pct"/>
            <w:tcBorders>
              <w:top w:val="single" w:color="auto" w:sz="12" w:space="0"/>
              <w:left w:val="nil"/>
            </w:tcBorders>
            <w:vAlign w:val="center"/>
          </w:tcPr>
          <w:p>
            <w:pPr>
              <w:pStyle w:val="32"/>
              <w:widowControl w:val="0"/>
              <w:adjustRightInd w:val="0"/>
              <w:snapToGrid w:val="0"/>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0"/>
              </w:rPr>
              <w:t>污染物名称</w:t>
            </w:r>
          </w:p>
        </w:tc>
        <w:tc>
          <w:tcPr>
            <w:tcW w:w="892" w:type="pct"/>
            <w:tcBorders>
              <w:top w:val="single" w:color="auto" w:sz="12" w:space="0"/>
            </w:tcBorders>
            <w:vAlign w:val="center"/>
          </w:tcPr>
          <w:p>
            <w:pPr>
              <w:pStyle w:val="32"/>
              <w:widowControl w:val="0"/>
              <w:adjustRightInd w:val="0"/>
              <w:snapToGrid w:val="0"/>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pH值（无量纲）</w:t>
            </w:r>
          </w:p>
        </w:tc>
        <w:tc>
          <w:tcPr>
            <w:tcW w:w="794" w:type="pct"/>
            <w:tcBorders>
              <w:top w:val="single" w:color="auto" w:sz="12" w:space="0"/>
            </w:tcBorders>
            <w:vAlign w:val="center"/>
          </w:tcPr>
          <w:p>
            <w:pPr>
              <w:pStyle w:val="32"/>
              <w:widowControl w:val="0"/>
              <w:adjustRightInd w:val="0"/>
              <w:snapToGrid w:val="0"/>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悬浮物(SS)</w:t>
            </w:r>
          </w:p>
        </w:tc>
        <w:tc>
          <w:tcPr>
            <w:tcW w:w="933" w:type="pct"/>
            <w:tcBorders>
              <w:top w:val="single" w:color="auto" w:sz="12" w:space="0"/>
            </w:tcBorders>
            <w:vAlign w:val="center"/>
          </w:tcPr>
          <w:p>
            <w:pPr>
              <w:pStyle w:val="32"/>
              <w:widowControl w:val="0"/>
              <w:adjustRightInd w:val="0"/>
              <w:snapToGrid w:val="0"/>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五日生化需氧量(BOD</w:t>
            </w:r>
            <w:r>
              <w:rPr>
                <w:rFonts w:hint="default" w:ascii="Times New Roman Regular" w:hAnsi="Times New Roman Regular" w:cs="Times New Roman Regular"/>
                <w:color w:val="auto"/>
                <w:sz w:val="21"/>
                <w:szCs w:val="21"/>
                <w:vertAlign w:val="subscript"/>
              </w:rPr>
              <w:t>5</w:t>
            </w:r>
            <w:r>
              <w:rPr>
                <w:rFonts w:hint="default" w:ascii="Times New Roman Regular" w:hAnsi="Times New Roman Regular" w:cs="Times New Roman Regular"/>
                <w:color w:val="auto"/>
                <w:sz w:val="21"/>
                <w:szCs w:val="21"/>
              </w:rPr>
              <w:t>)</w:t>
            </w:r>
          </w:p>
        </w:tc>
        <w:tc>
          <w:tcPr>
            <w:tcW w:w="806" w:type="pct"/>
            <w:tcBorders>
              <w:top w:val="single" w:color="auto" w:sz="12" w:space="0"/>
            </w:tcBorders>
            <w:vAlign w:val="center"/>
          </w:tcPr>
          <w:p>
            <w:pPr>
              <w:pStyle w:val="32"/>
              <w:widowControl w:val="0"/>
              <w:adjustRightInd w:val="0"/>
              <w:snapToGrid w:val="0"/>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化学需氧量(COD)</w:t>
            </w:r>
          </w:p>
        </w:tc>
        <w:tc>
          <w:tcPr>
            <w:tcW w:w="833" w:type="pct"/>
            <w:tcBorders>
              <w:top w:val="single" w:color="auto" w:sz="12" w:space="0"/>
              <w:right w:val="nil"/>
            </w:tcBorders>
            <w:vAlign w:val="center"/>
          </w:tcPr>
          <w:p>
            <w:pPr>
              <w:pStyle w:val="32"/>
              <w:widowControl w:val="0"/>
              <w:adjustRightInd w:val="0"/>
              <w:snapToGrid w:val="0"/>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氨氮(NH</w:t>
            </w:r>
            <w:r>
              <w:rPr>
                <w:rFonts w:hint="default" w:ascii="Times New Roman Regular" w:hAnsi="Times New Roman Regular" w:cs="Times New Roman Regular"/>
                <w:color w:val="auto"/>
                <w:sz w:val="21"/>
                <w:szCs w:val="21"/>
                <w:vertAlign w:val="subscript"/>
              </w:rPr>
              <w:t>3</w:t>
            </w:r>
            <w:r>
              <w:rPr>
                <w:rFonts w:hint="default" w:ascii="Times New Roman Regular" w:hAnsi="Times New Roman Regular" w:cs="Times New Roman Regular"/>
                <w:color w:val="auto"/>
                <w:sz w:val="21"/>
                <w:szCs w:val="21"/>
              </w:rPr>
              <w:t>-N)</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pct"/>
            <w:tcBorders>
              <w:left w:val="nil"/>
            </w:tcBorders>
            <w:vAlign w:val="center"/>
          </w:tcPr>
          <w:p>
            <w:pPr>
              <w:pStyle w:val="32"/>
              <w:widowControl w:val="0"/>
              <w:adjustRightInd w:val="0"/>
              <w:snapToGrid w:val="0"/>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三级标准</w:t>
            </w:r>
          </w:p>
        </w:tc>
        <w:tc>
          <w:tcPr>
            <w:tcW w:w="892" w:type="pct"/>
            <w:vAlign w:val="center"/>
          </w:tcPr>
          <w:p>
            <w:pPr>
              <w:pStyle w:val="32"/>
              <w:widowControl w:val="0"/>
              <w:adjustRightInd w:val="0"/>
              <w:snapToGrid w:val="0"/>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6~9</w:t>
            </w:r>
          </w:p>
        </w:tc>
        <w:tc>
          <w:tcPr>
            <w:tcW w:w="794" w:type="pct"/>
            <w:vAlign w:val="center"/>
          </w:tcPr>
          <w:p>
            <w:pPr>
              <w:pStyle w:val="32"/>
              <w:widowControl w:val="0"/>
              <w:adjustRightInd w:val="0"/>
              <w:snapToGrid w:val="0"/>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400</w:t>
            </w:r>
          </w:p>
        </w:tc>
        <w:tc>
          <w:tcPr>
            <w:tcW w:w="933" w:type="pct"/>
            <w:vAlign w:val="center"/>
          </w:tcPr>
          <w:p>
            <w:pPr>
              <w:pStyle w:val="32"/>
              <w:widowControl w:val="0"/>
              <w:adjustRightInd w:val="0"/>
              <w:snapToGrid w:val="0"/>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300</w:t>
            </w:r>
          </w:p>
        </w:tc>
        <w:tc>
          <w:tcPr>
            <w:tcW w:w="806" w:type="pct"/>
            <w:vAlign w:val="center"/>
          </w:tcPr>
          <w:p>
            <w:pPr>
              <w:pStyle w:val="32"/>
              <w:widowControl w:val="0"/>
              <w:adjustRightInd w:val="0"/>
              <w:snapToGrid w:val="0"/>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500</w:t>
            </w:r>
          </w:p>
        </w:tc>
        <w:tc>
          <w:tcPr>
            <w:tcW w:w="833" w:type="pct"/>
            <w:tcBorders>
              <w:right w:val="nil"/>
            </w:tcBorders>
            <w:vAlign w:val="center"/>
          </w:tcPr>
          <w:p>
            <w:pPr>
              <w:pStyle w:val="32"/>
              <w:widowControl w:val="0"/>
              <w:adjustRightInd w:val="0"/>
              <w:snapToGrid w:val="0"/>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45</w:t>
            </w:r>
            <w:r>
              <w:rPr>
                <w:rFonts w:hint="default" w:ascii="Times New Roman Regular" w:hAnsi="Times New Roman Regular" w:cs="Times New Roman Regular"/>
                <w:color w:val="auto"/>
                <w:sz w:val="21"/>
                <w:szCs w:val="21"/>
                <w:vertAlign w:val="superscript"/>
              </w:rPr>
              <w:fldChar w:fldCharType="begin"/>
            </w:r>
            <w:r>
              <w:rPr>
                <w:rFonts w:hint="default" w:ascii="Times New Roman Regular" w:hAnsi="Times New Roman Regular" w:cs="Times New Roman Regular"/>
                <w:color w:val="auto"/>
                <w:sz w:val="21"/>
                <w:szCs w:val="21"/>
                <w:vertAlign w:val="superscript"/>
              </w:rPr>
              <w:instrText xml:space="preserve"> = 1 \* GB3 \* MERGEFORMAT </w:instrText>
            </w:r>
            <w:r>
              <w:rPr>
                <w:rFonts w:hint="default" w:ascii="Times New Roman Regular" w:hAnsi="Times New Roman Regular" w:cs="Times New Roman Regular"/>
                <w:color w:val="auto"/>
                <w:sz w:val="21"/>
                <w:szCs w:val="21"/>
                <w:vertAlign w:val="superscript"/>
              </w:rPr>
              <w:fldChar w:fldCharType="separate"/>
            </w:r>
            <w:r>
              <w:rPr>
                <w:rFonts w:hint="default" w:ascii="Times New Roman Regular" w:hAnsi="Times New Roman Regular" w:cs="Times New Roman Regular"/>
                <w:color w:val="auto"/>
                <w:sz w:val="21"/>
                <w:szCs w:val="21"/>
                <w:vertAlign w:val="superscript"/>
              </w:rPr>
              <w:t>①</w:t>
            </w:r>
            <w:r>
              <w:rPr>
                <w:rFonts w:hint="default" w:ascii="Times New Roman Regular" w:hAnsi="Times New Roman Regular" w:cs="Times New Roman Regular"/>
                <w:color w:val="auto"/>
                <w:sz w:val="21"/>
                <w:szCs w:val="21"/>
                <w:vertAlign w:val="superscript"/>
              </w:rPr>
              <w:fldChar w:fldCharType="end"/>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left w:val="nil"/>
              <w:right w:val="nil"/>
            </w:tcBorders>
            <w:vAlign w:val="center"/>
          </w:tcPr>
          <w:p>
            <w:pPr>
              <w:pStyle w:val="32"/>
              <w:widowControl w:val="0"/>
              <w:adjustRightInd w:val="0"/>
              <w:snapToGrid w:val="0"/>
              <w:spacing w:line="240" w:lineRule="auto"/>
              <w:jc w:val="both"/>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备注：</w:t>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 1 \* GB3 \* MERGEFORMAT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rPr>
              <w:t>①</w:t>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t>NH</w:t>
            </w:r>
            <w:r>
              <w:rPr>
                <w:rFonts w:hint="default" w:ascii="Times New Roman Regular" w:hAnsi="Times New Roman Regular" w:cs="Times New Roman Regular"/>
                <w:color w:val="auto"/>
                <w:sz w:val="21"/>
                <w:szCs w:val="21"/>
                <w:vertAlign w:val="subscript"/>
              </w:rPr>
              <w:t>3</w:t>
            </w:r>
            <w:r>
              <w:rPr>
                <w:rFonts w:hint="default" w:ascii="Times New Roman Regular" w:hAnsi="Times New Roman Regular" w:cs="Times New Roman Regular"/>
                <w:color w:val="auto"/>
                <w:sz w:val="21"/>
                <w:szCs w:val="21"/>
              </w:rPr>
              <w:t>-N参照执行《污水排入城镇下水道水质标准》（GB/T31962-2015）B等级标准（NH</w:t>
            </w:r>
            <w:r>
              <w:rPr>
                <w:rFonts w:hint="default" w:ascii="Times New Roman Regular" w:hAnsi="Times New Roman Regular" w:cs="Times New Roman Regular"/>
                <w:color w:val="auto"/>
                <w:sz w:val="21"/>
                <w:szCs w:val="21"/>
                <w:vertAlign w:val="subscript"/>
              </w:rPr>
              <w:t>3</w:t>
            </w:r>
            <w:r>
              <w:rPr>
                <w:rFonts w:hint="default" w:ascii="Times New Roman Regular" w:hAnsi="Times New Roman Regular" w:cs="Times New Roman Regular"/>
                <w:color w:val="auto"/>
                <w:sz w:val="21"/>
                <w:szCs w:val="21"/>
              </w:rPr>
              <w:t>-N≤45mg/L）</w:t>
            </w:r>
          </w:p>
        </w:tc>
      </w:tr>
    </w:tbl>
    <w:p>
      <w:pPr>
        <w:pStyle w:val="128"/>
        <w:keepNext/>
        <w:spacing w:before="163" w:beforeLines="50"/>
        <w:outlineLvl w:val="2"/>
        <w:rPr>
          <w:rFonts w:hint="default" w:ascii="Times New Roman Regular" w:hAnsi="Times New Roman Regular" w:cs="Times New Roman Regular"/>
          <w:color w:val="auto"/>
        </w:rPr>
      </w:pPr>
      <w:bookmarkStart w:id="90" w:name="_Toc292519255"/>
      <w:r>
        <w:rPr>
          <w:rFonts w:hint="default" w:ascii="Times New Roman Regular" w:hAnsi="Times New Roman Regular" w:cs="Times New Roman Regular"/>
          <w:color w:val="auto"/>
        </w:rPr>
        <w:t>3.5.2 废气</w:t>
      </w:r>
      <w:bookmarkEnd w:id="85"/>
      <w:bookmarkEnd w:id="86"/>
      <w:bookmarkEnd w:id="87"/>
      <w:bookmarkEnd w:id="88"/>
      <w:bookmarkEnd w:id="89"/>
      <w:bookmarkEnd w:id="90"/>
    </w:p>
    <w:p>
      <w:pPr>
        <w:adjustRightInd w:val="0"/>
        <w:spacing w:line="480" w:lineRule="exact"/>
        <w:ind w:firstLine="480" w:firstLineChars="200"/>
        <w:rPr>
          <w:rFonts w:hint="default" w:ascii="Times New Roman Regular" w:hAnsi="Times New Roman Regular" w:cs="Times New Roman Regular"/>
          <w:color w:val="auto"/>
        </w:rPr>
      </w:pPr>
      <w:bookmarkStart w:id="91" w:name="_Toc46314195"/>
      <w:bookmarkStart w:id="92" w:name="_Toc44275419"/>
      <w:bookmarkStart w:id="93" w:name="_Toc42613025"/>
      <w:bookmarkStart w:id="94" w:name="_Toc44272263"/>
      <w:bookmarkStart w:id="95" w:name="_Toc47618304"/>
      <w:r>
        <w:rPr>
          <w:rFonts w:hint="default" w:ascii="Times New Roman Regular" w:hAnsi="Times New Roman Regular" w:cs="Times New Roman Regular"/>
          <w:color w:val="auto"/>
        </w:rPr>
        <w:t>项目废气主要为</w:t>
      </w:r>
      <w:r>
        <w:rPr>
          <w:rFonts w:hint="eastAsia" w:ascii="Times New Roman Regular" w:hAnsi="Times New Roman Regular" w:cs="Times New Roman Regular"/>
          <w:color w:val="auto"/>
          <w:lang w:val="en-US" w:eastAsia="zh-Hans"/>
        </w:rPr>
        <w:t>无组织排放的颗粒物</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rPr>
        <w:t>执行《大气污染物综合排放标准》（GB16297-1996）表2无组织排放标准，见表3.5-2。</w:t>
      </w:r>
    </w:p>
    <w:p>
      <w:pPr>
        <w:widowControl w:val="0"/>
        <w:spacing w:before="163" w:beforeLines="50" w:line="240" w:lineRule="auto"/>
        <w:jc w:val="center"/>
        <w:rPr>
          <w:rFonts w:hint="default" w:ascii="Times New Roman Regular" w:hAnsi="Times New Roman Regular" w:cs="Times New Roman Regular"/>
          <w:b/>
          <w:bCs/>
          <w:color w:val="auto"/>
        </w:rPr>
      </w:pPr>
      <w:r>
        <w:rPr>
          <w:rFonts w:hint="default" w:ascii="Times New Roman Regular" w:hAnsi="Times New Roman Regular" w:cs="Times New Roman Regular"/>
          <w:b/>
          <w:bCs/>
          <w:color w:val="auto"/>
        </w:rPr>
        <w:t>表3.5-2 《大气污染物综合排放标准》（GB16297-1996）（摘录）</w:t>
      </w:r>
    </w:p>
    <w:tbl>
      <w:tblPr>
        <w:tblStyle w:val="36"/>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3"/>
        <w:gridCol w:w="2262"/>
        <w:gridCol w:w="2339"/>
        <w:gridCol w:w="22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vMerge w:val="restar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污染物</w:t>
            </w:r>
          </w:p>
        </w:tc>
        <w:tc>
          <w:tcPr>
            <w:tcW w:w="1327" w:type="pct"/>
            <w:vMerge w:val="restar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最高允许排放浓度（mg/m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w:t>
            </w:r>
          </w:p>
        </w:tc>
        <w:tc>
          <w:tcPr>
            <w:tcW w:w="2672" w:type="pct"/>
            <w:gridSpan w:val="2"/>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无组织排放监控浓度限值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vMerge w:val="continue"/>
            <w:vAlign w:val="center"/>
          </w:tcPr>
          <w:p>
            <w:pPr>
              <w:pStyle w:val="153"/>
              <w:rPr>
                <w:rFonts w:hint="default" w:ascii="Times New Roman Regular" w:hAnsi="Times New Roman Regular" w:cs="Times New Roman Regular"/>
                <w:color w:val="auto"/>
              </w:rPr>
            </w:pPr>
          </w:p>
        </w:tc>
        <w:tc>
          <w:tcPr>
            <w:tcW w:w="1327" w:type="pct"/>
            <w:vMerge w:val="continue"/>
            <w:vAlign w:val="center"/>
          </w:tcPr>
          <w:p>
            <w:pPr>
              <w:pStyle w:val="153"/>
              <w:rPr>
                <w:rFonts w:hint="default" w:ascii="Times New Roman Regular" w:hAnsi="Times New Roman Regular" w:cs="Times New Roman Regular"/>
                <w:color w:val="auto"/>
              </w:rPr>
            </w:pPr>
          </w:p>
        </w:tc>
        <w:tc>
          <w:tcPr>
            <w:tcW w:w="1372"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监控点</w:t>
            </w:r>
          </w:p>
        </w:tc>
        <w:tc>
          <w:tcPr>
            <w:tcW w:w="1300"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浓度（mg/m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颗粒物</w:t>
            </w:r>
          </w:p>
        </w:tc>
        <w:tc>
          <w:tcPr>
            <w:tcW w:w="1327"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120</w:t>
            </w:r>
          </w:p>
        </w:tc>
        <w:tc>
          <w:tcPr>
            <w:tcW w:w="1372"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周界外浓度最高点</w:t>
            </w:r>
          </w:p>
        </w:tc>
        <w:tc>
          <w:tcPr>
            <w:tcW w:w="1300"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1.0</w:t>
            </w:r>
          </w:p>
        </w:tc>
      </w:tr>
    </w:tbl>
    <w:p>
      <w:pPr>
        <w:pStyle w:val="128"/>
        <w:keepNext/>
        <w:spacing w:before="163" w:beforeLines="50"/>
        <w:outlineLvl w:val="2"/>
        <w:rPr>
          <w:rFonts w:hint="default" w:ascii="Times New Roman Regular" w:hAnsi="Times New Roman Regular" w:cs="Times New Roman Regular"/>
          <w:color w:val="auto"/>
        </w:rPr>
      </w:pPr>
      <w:bookmarkStart w:id="96" w:name="_Toc781050802"/>
      <w:r>
        <w:rPr>
          <w:rFonts w:hint="default" w:ascii="Times New Roman Regular" w:hAnsi="Times New Roman Regular" w:cs="Times New Roman Regular"/>
          <w:color w:val="auto"/>
        </w:rPr>
        <w:t>3.5.3 噪声</w:t>
      </w:r>
      <w:bookmarkEnd w:id="91"/>
      <w:bookmarkEnd w:id="92"/>
      <w:bookmarkEnd w:id="93"/>
      <w:bookmarkEnd w:id="94"/>
      <w:bookmarkEnd w:id="95"/>
      <w:bookmarkEnd w:id="96"/>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本项目厂界噪声执行《</w:t>
      </w:r>
      <w:r>
        <w:rPr>
          <w:rFonts w:hint="default" w:ascii="Times New Roman Regular" w:hAnsi="Times New Roman Regular" w:cs="Times New Roman Regular"/>
          <w:color w:val="auto"/>
          <w:kern w:val="0"/>
        </w:rPr>
        <w:t>工业企业厂界环境噪声排放标准</w:t>
      </w:r>
      <w:r>
        <w:rPr>
          <w:rFonts w:hint="default" w:ascii="Times New Roman Regular" w:hAnsi="Times New Roman Regular" w:cs="Times New Roman Regular"/>
          <w:color w:val="auto"/>
        </w:rPr>
        <w:t>》（GB12348-2008）</w:t>
      </w:r>
      <w:r>
        <w:rPr>
          <w:rFonts w:hint="default" w:ascii="Times New Roman Regular" w:hAnsi="Times New Roman Regular" w:cs="Times New Roman Regular"/>
          <w:color w:val="auto"/>
          <w:kern w:val="0"/>
        </w:rPr>
        <w:t>中的3类标准，</w:t>
      </w:r>
      <w:r>
        <w:rPr>
          <w:rFonts w:hint="default" w:ascii="Times New Roman Regular" w:hAnsi="Times New Roman Regular" w:cs="Times New Roman Regular"/>
          <w:color w:val="auto"/>
          <w:kern w:val="0"/>
          <w:lang w:eastAsia="zh-Hans"/>
        </w:rPr>
        <w:t>其中</w:t>
      </w:r>
      <w:r>
        <w:rPr>
          <w:rFonts w:hint="default" w:ascii="Times New Roman Regular" w:hAnsi="Times New Roman Regular" w:cs="Times New Roman Regular"/>
          <w:color w:val="auto"/>
          <w:kern w:val="0"/>
          <w:lang w:val="en-US" w:eastAsia="zh-Hans"/>
        </w:rPr>
        <w:t>北</w:t>
      </w:r>
      <w:r>
        <w:rPr>
          <w:rFonts w:hint="default" w:ascii="Times New Roman Regular" w:hAnsi="Times New Roman Regular" w:cs="Times New Roman Regular"/>
          <w:color w:val="auto"/>
          <w:szCs w:val="20"/>
        </w:rPr>
        <w:t>厂界噪声排放执行《工业企业厂界环境噪声排放标准》（GB12348-2008）4类标准</w:t>
      </w:r>
      <w:r>
        <w:rPr>
          <w:rFonts w:hint="default" w:ascii="Times New Roman Regular" w:hAnsi="Times New Roman Regular" w:cs="Times New Roman Regular"/>
          <w:color w:val="auto"/>
          <w:kern w:val="0"/>
        </w:rPr>
        <w:t>详见表3.5-3。</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表3.5-3 《工业企业厂界环境噪声排放标准》（GB12348-2008）（摘录）</w:t>
      </w:r>
    </w:p>
    <w:tbl>
      <w:tblPr>
        <w:tblStyle w:val="36"/>
        <w:tblW w:w="85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32"/>
        <w:gridCol w:w="2653"/>
        <w:gridCol w:w="26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厂界外声环境功能区类别</w:t>
            </w:r>
          </w:p>
        </w:tc>
        <w:tc>
          <w:tcPr>
            <w:tcW w:w="265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昼间</w:t>
            </w:r>
          </w:p>
        </w:tc>
        <w:tc>
          <w:tcPr>
            <w:tcW w:w="265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3类</w:t>
            </w:r>
          </w:p>
        </w:tc>
        <w:tc>
          <w:tcPr>
            <w:tcW w:w="265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65</w:t>
            </w:r>
          </w:p>
        </w:tc>
        <w:tc>
          <w:tcPr>
            <w:tcW w:w="265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4类</w:t>
            </w:r>
          </w:p>
        </w:tc>
        <w:tc>
          <w:tcPr>
            <w:tcW w:w="265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70</w:t>
            </w:r>
          </w:p>
        </w:tc>
        <w:tc>
          <w:tcPr>
            <w:tcW w:w="265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55</w:t>
            </w:r>
          </w:p>
        </w:tc>
      </w:tr>
    </w:tbl>
    <w:p>
      <w:pPr>
        <w:pStyle w:val="128"/>
        <w:keepNext/>
        <w:spacing w:before="163" w:beforeLines="50"/>
        <w:outlineLvl w:val="2"/>
        <w:rPr>
          <w:rFonts w:hint="default" w:ascii="Times New Roman Regular" w:hAnsi="Times New Roman Regular" w:cs="Times New Roman Regular"/>
          <w:color w:val="auto"/>
        </w:rPr>
      </w:pPr>
      <w:bookmarkStart w:id="97" w:name="_Toc44275420"/>
      <w:bookmarkStart w:id="98" w:name="_Toc1700778750"/>
      <w:bookmarkStart w:id="99" w:name="_Toc47618305"/>
      <w:bookmarkStart w:id="100" w:name="_Toc44272264"/>
      <w:bookmarkStart w:id="101" w:name="_Toc42613026"/>
      <w:bookmarkStart w:id="102" w:name="_Toc46314196"/>
      <w:r>
        <w:rPr>
          <w:rFonts w:hint="default" w:ascii="Times New Roman Regular" w:hAnsi="Times New Roman Regular" w:cs="Times New Roman Regular"/>
          <w:color w:val="auto"/>
        </w:rPr>
        <w:t>3.5.4 固体废物</w:t>
      </w:r>
      <w:bookmarkEnd w:id="97"/>
      <w:bookmarkEnd w:id="98"/>
      <w:bookmarkEnd w:id="99"/>
      <w:bookmarkEnd w:id="100"/>
      <w:bookmarkEnd w:id="101"/>
      <w:bookmarkEnd w:id="102"/>
    </w:p>
    <w:p>
      <w:pPr>
        <w:pStyle w:val="67"/>
        <w:adjustRightInd/>
        <w:snapToGrid/>
        <w:ind w:firstLine="480"/>
        <w:rPr>
          <w:rFonts w:hint="default" w:ascii="Times New Roman Regular" w:hAnsi="Times New Roman Regular" w:eastAsia="宋体" w:cs="Times New Roman Regular"/>
          <w:color w:val="auto"/>
          <w:kern w:val="0"/>
          <w:sz w:val="24"/>
          <w:szCs w:val="28"/>
        </w:rPr>
      </w:pPr>
      <w:r>
        <w:rPr>
          <w:rFonts w:hint="default" w:ascii="Times New Roman Regular" w:hAnsi="Times New Roman Regular" w:eastAsia="宋体" w:cs="Times New Roman Regular"/>
          <w:color w:val="auto"/>
          <w:kern w:val="0"/>
          <w:sz w:val="24"/>
          <w:szCs w:val="28"/>
        </w:rPr>
        <w:t>本项目产生的生活垃圾，其贮存处理应按照《城市环境卫生设施规划规范》（GB50337-2003）中的要求进行综合利用和处置。</w:t>
      </w:r>
    </w:p>
    <w:p>
      <w:pPr>
        <w:pStyle w:val="67"/>
        <w:adjustRightInd/>
        <w:snapToGrid/>
        <w:ind w:firstLine="480"/>
        <w:rPr>
          <w:rFonts w:hint="default" w:ascii="Times New Roman Regular" w:hAnsi="Times New Roman Regular" w:eastAsia="宋体" w:cs="Times New Roman Regular"/>
          <w:color w:val="auto"/>
          <w:kern w:val="0"/>
          <w:sz w:val="24"/>
          <w:szCs w:val="28"/>
        </w:rPr>
      </w:pPr>
      <w:r>
        <w:rPr>
          <w:rFonts w:hint="default" w:ascii="Times New Roman Regular" w:hAnsi="Times New Roman Regular" w:eastAsia="宋体" w:cs="Times New Roman Regular"/>
          <w:color w:val="auto"/>
          <w:kern w:val="0"/>
          <w:sz w:val="24"/>
          <w:szCs w:val="28"/>
        </w:rPr>
        <w:t>生产过程产生的一般工业固体废物处置执行《一般工业固体废物贮存、处置场污染控制标准》（GB18599-2001）及其修改单（环保部公告2013年第36号）的要求。</w:t>
      </w:r>
    </w:p>
    <w:p>
      <w:pPr>
        <w:pStyle w:val="67"/>
        <w:adjustRightInd/>
        <w:snapToGrid/>
        <w:ind w:firstLine="480"/>
        <w:rPr>
          <w:rFonts w:hint="default" w:ascii="Times New Roman Regular" w:hAnsi="Times New Roman Regular" w:eastAsia="宋体" w:cs="Times New Roman Regular"/>
          <w:color w:val="auto"/>
          <w:kern w:val="0"/>
          <w:sz w:val="24"/>
          <w:szCs w:val="28"/>
        </w:rPr>
      </w:pPr>
      <w:r>
        <w:rPr>
          <w:rFonts w:hint="default" w:ascii="Times New Roman Regular" w:hAnsi="Times New Roman Regular" w:eastAsia="宋体" w:cs="Times New Roman Regular"/>
          <w:color w:val="auto"/>
          <w:kern w:val="0"/>
          <w:sz w:val="24"/>
          <w:szCs w:val="28"/>
        </w:rPr>
        <w:t>危险废物的贮存处理及其暂存场所按照《危险废物贮存污染控制标准》（GB18597-2001）及其修改单（2013年）和《危险废物防治技术政策》中的要求进行处置，定期交由资质处理。</w:t>
      </w:r>
    </w:p>
    <w:p>
      <w:pPr>
        <w:pStyle w:val="4"/>
        <w:keepNext/>
        <w:keepLines/>
        <w:widowControl w:val="0"/>
        <w:spacing w:before="163" w:beforeLines="50" w:after="163" w:afterLines="50"/>
        <w:outlineLvl w:val="1"/>
        <w:rPr>
          <w:rFonts w:hint="default" w:ascii="Times New Roman Regular" w:hAnsi="Times New Roman Regular" w:cs="Times New Roman Regular"/>
          <w:bCs w:val="0"/>
          <w:color w:val="auto"/>
          <w:kern w:val="2"/>
        </w:rPr>
      </w:pPr>
      <w:bookmarkStart w:id="103" w:name="_Toc1981109680"/>
      <w:bookmarkStart w:id="104" w:name="_Toc738077035_WPSOffice_Level2"/>
      <w:bookmarkStart w:id="105" w:name="_Toc47618307"/>
      <w:r>
        <w:rPr>
          <w:rFonts w:hint="default" w:ascii="Times New Roman Regular" w:hAnsi="Times New Roman Regular" w:cs="Times New Roman Regular"/>
          <w:bCs w:val="0"/>
          <w:color w:val="auto"/>
          <w:kern w:val="2"/>
        </w:rPr>
        <w:t>3.6 区域环境质量现状</w:t>
      </w:r>
      <w:bookmarkEnd w:id="103"/>
      <w:bookmarkEnd w:id="104"/>
      <w:bookmarkEnd w:id="105"/>
    </w:p>
    <w:p>
      <w:pPr>
        <w:pStyle w:val="128"/>
        <w:keepNext/>
        <w:spacing w:before="163" w:beforeLines="50"/>
        <w:outlineLvl w:val="2"/>
        <w:rPr>
          <w:rFonts w:hint="default" w:ascii="Times New Roman Regular" w:hAnsi="Times New Roman Regular" w:cs="Times New Roman Regular"/>
          <w:color w:val="auto"/>
        </w:rPr>
      </w:pPr>
      <w:bookmarkStart w:id="106" w:name="_Toc46314199"/>
      <w:bookmarkStart w:id="107" w:name="_Toc44275423"/>
      <w:bookmarkStart w:id="108" w:name="_Toc42613029"/>
      <w:bookmarkStart w:id="109" w:name="_Toc1923928672"/>
      <w:bookmarkStart w:id="110" w:name="_Toc47618308"/>
      <w:bookmarkStart w:id="111" w:name="_Toc44272267"/>
      <w:r>
        <w:rPr>
          <w:rFonts w:hint="default" w:ascii="Times New Roman Regular" w:hAnsi="Times New Roman Regular" w:cs="Times New Roman Regular"/>
          <w:color w:val="auto"/>
        </w:rPr>
        <w:t>3.6.1 地表水环境质量现状</w:t>
      </w:r>
      <w:bookmarkEnd w:id="106"/>
      <w:bookmarkEnd w:id="107"/>
      <w:bookmarkEnd w:id="108"/>
      <w:bookmarkEnd w:id="109"/>
      <w:bookmarkEnd w:id="110"/>
      <w:bookmarkEnd w:id="111"/>
    </w:p>
    <w:p>
      <w:pPr>
        <w:pStyle w:val="67"/>
        <w:adjustRightInd/>
        <w:snapToGrid/>
        <w:ind w:firstLine="480"/>
        <w:rPr>
          <w:rFonts w:hint="default" w:ascii="Times New Roman Regular" w:hAnsi="Times New Roman Regular" w:eastAsia="宋体" w:cs="Times New Roman Regular"/>
          <w:color w:val="auto"/>
          <w:kern w:val="0"/>
          <w:sz w:val="24"/>
          <w:szCs w:val="28"/>
          <w:lang w:eastAsia="zh-Hans"/>
        </w:rPr>
      </w:pPr>
      <w:bookmarkStart w:id="112" w:name="_Toc44275424"/>
      <w:bookmarkStart w:id="113" w:name="_Toc47618309"/>
      <w:bookmarkStart w:id="114" w:name="_Toc42613030"/>
      <w:bookmarkStart w:id="115" w:name="_Toc46314200"/>
      <w:bookmarkStart w:id="116" w:name="_Toc44272268"/>
      <w:r>
        <w:rPr>
          <w:rFonts w:hint="default" w:ascii="Times New Roman Regular" w:hAnsi="Times New Roman Regular" w:eastAsia="宋体" w:cs="Times New Roman Regular"/>
          <w:color w:val="auto"/>
          <w:kern w:val="0"/>
          <w:sz w:val="24"/>
          <w:szCs w:val="28"/>
        </w:rPr>
        <w:t>根据</w:t>
      </w:r>
      <w:r>
        <w:rPr>
          <w:rFonts w:hint="default" w:ascii="Times New Roman Regular" w:hAnsi="Times New Roman Regular" w:eastAsia="宋体" w:cs="Times New Roman Regular"/>
          <w:color w:val="auto"/>
          <w:kern w:val="0"/>
          <w:sz w:val="24"/>
          <w:szCs w:val="28"/>
          <w:lang w:val="en-US" w:eastAsia="zh-Hans"/>
        </w:rPr>
        <w:t>福建省生态环境厅网站数据</w:t>
      </w:r>
      <w:r>
        <w:rPr>
          <w:rFonts w:hint="default" w:ascii="Times New Roman Regular" w:hAnsi="Times New Roman Regular" w:eastAsia="宋体" w:cs="Times New Roman Regular"/>
          <w:color w:val="auto"/>
          <w:kern w:val="0"/>
          <w:sz w:val="24"/>
          <w:szCs w:val="28"/>
          <w:lang w:eastAsia="zh-Hans"/>
        </w:rPr>
        <w:t>，2020</w:t>
      </w:r>
      <w:r>
        <w:rPr>
          <w:rFonts w:hint="default" w:ascii="Times New Roman Regular" w:hAnsi="Times New Roman Regular" w:eastAsia="宋体" w:cs="Times New Roman Regular"/>
          <w:color w:val="auto"/>
          <w:kern w:val="0"/>
          <w:sz w:val="24"/>
          <w:szCs w:val="28"/>
          <w:lang w:val="en-US" w:eastAsia="zh-Hans"/>
        </w:rPr>
        <w:t>年</w:t>
      </w:r>
      <w:r>
        <w:rPr>
          <w:rFonts w:hint="default" w:ascii="Times New Roman Regular" w:hAnsi="Times New Roman Regular" w:eastAsia="宋体" w:cs="Times New Roman Regular"/>
          <w:color w:val="auto"/>
          <w:kern w:val="0"/>
          <w:sz w:val="24"/>
          <w:szCs w:val="28"/>
          <w:lang w:eastAsia="zh-Hans"/>
        </w:rPr>
        <w:t>1～3</w:t>
      </w:r>
      <w:r>
        <w:rPr>
          <w:rFonts w:hint="default" w:ascii="Times New Roman Regular" w:hAnsi="Times New Roman Regular" w:eastAsia="宋体" w:cs="Times New Roman Regular"/>
          <w:color w:val="auto"/>
          <w:kern w:val="0"/>
          <w:sz w:val="24"/>
          <w:szCs w:val="28"/>
          <w:lang w:val="en-US" w:eastAsia="zh-Hans"/>
        </w:rPr>
        <w:t>月</w:t>
      </w:r>
      <w:r>
        <w:rPr>
          <w:rFonts w:hint="default" w:ascii="Times New Roman Regular" w:hAnsi="Times New Roman Regular" w:eastAsia="宋体" w:cs="Times New Roman Regular"/>
          <w:color w:val="auto"/>
          <w:kern w:val="0"/>
          <w:sz w:val="24"/>
          <w:szCs w:val="28"/>
          <w:lang w:eastAsia="zh-Hans"/>
        </w:rPr>
        <w:t>，</w:t>
      </w:r>
      <w:r>
        <w:rPr>
          <w:rFonts w:hint="default" w:ascii="Times New Roman Regular" w:hAnsi="Times New Roman Regular" w:eastAsia="宋体" w:cs="Times New Roman Regular"/>
          <w:color w:val="auto"/>
          <w:kern w:val="0"/>
          <w:sz w:val="24"/>
          <w:szCs w:val="28"/>
          <w:lang w:val="en-US" w:eastAsia="zh-Hans"/>
        </w:rPr>
        <w:t>全省</w:t>
      </w:r>
      <w:r>
        <w:rPr>
          <w:rFonts w:hint="default" w:ascii="Times New Roman Regular" w:hAnsi="Times New Roman Regular" w:eastAsia="宋体" w:cs="Times New Roman Regular"/>
          <w:color w:val="auto"/>
          <w:kern w:val="0"/>
          <w:sz w:val="24"/>
          <w:szCs w:val="28"/>
          <w:lang w:eastAsia="zh-Hans"/>
        </w:rPr>
        <w:t>12</w:t>
      </w:r>
      <w:r>
        <w:rPr>
          <w:rFonts w:hint="default" w:ascii="Times New Roman Regular" w:hAnsi="Times New Roman Regular" w:eastAsia="宋体" w:cs="Times New Roman Regular"/>
          <w:color w:val="auto"/>
          <w:kern w:val="0"/>
          <w:sz w:val="24"/>
          <w:szCs w:val="28"/>
          <w:lang w:val="en-US" w:eastAsia="zh-Hans"/>
        </w:rPr>
        <w:t>条主要河流</w:t>
      </w:r>
      <w:r>
        <w:rPr>
          <w:rFonts w:hint="default" w:ascii="Times New Roman Regular" w:hAnsi="Times New Roman Regular" w:eastAsia="宋体" w:cs="Times New Roman Regular"/>
          <w:color w:val="auto"/>
          <w:kern w:val="0"/>
          <w:sz w:val="24"/>
          <w:szCs w:val="28"/>
          <w:lang w:eastAsia="zh-Hans"/>
        </w:rPr>
        <w:t>143</w:t>
      </w:r>
      <w:r>
        <w:rPr>
          <w:rFonts w:hint="default" w:ascii="Times New Roman Regular" w:hAnsi="Times New Roman Regular" w:eastAsia="宋体" w:cs="Times New Roman Regular"/>
          <w:color w:val="auto"/>
          <w:kern w:val="0"/>
          <w:sz w:val="24"/>
          <w:szCs w:val="28"/>
          <w:lang w:val="en-US" w:eastAsia="zh-Hans"/>
        </w:rPr>
        <w:t>个水质评价断面总体水质为优</w:t>
      </w:r>
      <w:r>
        <w:rPr>
          <w:rFonts w:hint="default" w:ascii="Times New Roman Regular" w:hAnsi="Times New Roman Regular" w:eastAsia="宋体" w:cs="Times New Roman Regular"/>
          <w:color w:val="auto"/>
          <w:kern w:val="0"/>
          <w:sz w:val="24"/>
          <w:szCs w:val="28"/>
          <w:lang w:eastAsia="zh-Hans"/>
        </w:rPr>
        <w:t>。</w:t>
      </w:r>
      <w:r>
        <w:rPr>
          <w:rFonts w:hint="default" w:ascii="Times New Roman Regular" w:hAnsi="Times New Roman Regular" w:eastAsia="宋体" w:cs="Times New Roman Regular"/>
          <w:color w:val="auto"/>
          <w:kern w:val="0"/>
          <w:sz w:val="24"/>
          <w:szCs w:val="28"/>
          <w:lang w:val="en-US" w:eastAsia="zh-Hans"/>
        </w:rPr>
        <w:t>I类</w:t>
      </w:r>
      <w:r>
        <w:rPr>
          <w:rFonts w:hint="default" w:ascii="Times New Roman Regular" w:hAnsi="Times New Roman Regular" w:eastAsia="宋体" w:cs="Times New Roman Regular"/>
          <w:color w:val="auto"/>
          <w:kern w:val="0"/>
          <w:sz w:val="24"/>
          <w:szCs w:val="28"/>
          <w:lang w:eastAsia="zh-Hans"/>
        </w:rPr>
        <w:t>～</w:t>
      </w:r>
      <w:r>
        <w:rPr>
          <w:rFonts w:hint="default" w:ascii="Times New Roman Regular" w:hAnsi="Times New Roman Regular" w:eastAsia="宋体" w:cs="Times New Roman Regular"/>
          <w:color w:val="auto"/>
          <w:kern w:val="0"/>
          <w:sz w:val="24"/>
          <w:szCs w:val="28"/>
          <w:lang w:val="en-US" w:eastAsia="zh-Hans"/>
        </w:rPr>
        <w:t>III类水质比例为</w:t>
      </w:r>
      <w:r>
        <w:rPr>
          <w:rFonts w:hint="default" w:ascii="Times New Roman Regular" w:hAnsi="Times New Roman Regular" w:eastAsia="宋体" w:cs="Times New Roman Regular"/>
          <w:color w:val="auto"/>
          <w:kern w:val="0"/>
          <w:sz w:val="24"/>
          <w:szCs w:val="28"/>
          <w:lang w:eastAsia="zh-Hans"/>
        </w:rPr>
        <w:t>95.8%，</w:t>
      </w:r>
      <w:r>
        <w:rPr>
          <w:rFonts w:hint="default" w:ascii="Times New Roman Regular" w:hAnsi="Times New Roman Regular" w:eastAsia="宋体" w:cs="Times New Roman Regular"/>
          <w:color w:val="auto"/>
          <w:kern w:val="0"/>
          <w:sz w:val="24"/>
          <w:szCs w:val="28"/>
          <w:lang w:val="en-US" w:eastAsia="zh-Hans"/>
        </w:rPr>
        <w:t>同比上升</w:t>
      </w:r>
      <w:r>
        <w:rPr>
          <w:rFonts w:hint="default" w:ascii="Times New Roman Regular" w:hAnsi="Times New Roman Regular" w:eastAsia="宋体" w:cs="Times New Roman Regular"/>
          <w:color w:val="auto"/>
          <w:kern w:val="0"/>
          <w:sz w:val="24"/>
          <w:szCs w:val="28"/>
          <w:lang w:eastAsia="zh-Hans"/>
        </w:rPr>
        <w:t>2</w:t>
      </w:r>
      <w:r>
        <w:rPr>
          <w:rFonts w:hint="default" w:ascii="Times New Roman Regular" w:hAnsi="Times New Roman Regular" w:eastAsia="宋体" w:cs="Times New Roman Regular"/>
          <w:color w:val="auto"/>
          <w:kern w:val="0"/>
          <w:sz w:val="24"/>
          <w:szCs w:val="28"/>
          <w:lang w:val="en-US" w:eastAsia="zh-Hans"/>
        </w:rPr>
        <w:t>.</w:t>
      </w:r>
      <w:r>
        <w:rPr>
          <w:rFonts w:hint="default" w:ascii="Times New Roman Regular" w:hAnsi="Times New Roman Regular" w:eastAsia="宋体" w:cs="Times New Roman Regular"/>
          <w:color w:val="auto"/>
          <w:kern w:val="0"/>
          <w:sz w:val="24"/>
          <w:szCs w:val="28"/>
          <w:lang w:eastAsia="zh-Hans"/>
        </w:rPr>
        <w:t>1</w:t>
      </w:r>
      <w:r>
        <w:rPr>
          <w:rFonts w:hint="default" w:ascii="Times New Roman Regular" w:hAnsi="Times New Roman Regular" w:eastAsia="宋体" w:cs="Times New Roman Regular"/>
          <w:color w:val="auto"/>
          <w:kern w:val="0"/>
          <w:sz w:val="24"/>
          <w:szCs w:val="28"/>
          <w:lang w:val="en-US" w:eastAsia="zh-Hans"/>
        </w:rPr>
        <w:t>个百分点</w:t>
      </w:r>
      <w:r>
        <w:rPr>
          <w:rFonts w:hint="default" w:ascii="Times New Roman Regular" w:hAnsi="Times New Roman Regular" w:eastAsia="宋体" w:cs="Times New Roman Regular"/>
          <w:color w:val="auto"/>
          <w:kern w:val="0"/>
          <w:sz w:val="24"/>
          <w:szCs w:val="28"/>
          <w:lang w:eastAsia="zh-Hans"/>
        </w:rPr>
        <w:t>；</w:t>
      </w:r>
      <w:r>
        <w:rPr>
          <w:rFonts w:hint="default" w:ascii="Times New Roman Regular" w:hAnsi="Times New Roman Regular" w:eastAsia="宋体" w:cs="Times New Roman Regular"/>
          <w:color w:val="auto"/>
          <w:kern w:val="0"/>
          <w:sz w:val="24"/>
          <w:szCs w:val="28"/>
          <w:lang w:val="en-US" w:eastAsia="zh-Hans"/>
        </w:rPr>
        <w:t>I类</w:t>
      </w:r>
      <w:r>
        <w:rPr>
          <w:rFonts w:hint="default" w:ascii="Times New Roman Regular" w:hAnsi="Times New Roman Regular" w:eastAsia="宋体" w:cs="Times New Roman Regular"/>
          <w:color w:val="auto"/>
          <w:kern w:val="0"/>
          <w:sz w:val="24"/>
          <w:szCs w:val="28"/>
          <w:lang w:eastAsia="zh-Hans"/>
        </w:rPr>
        <w:t>～</w:t>
      </w:r>
      <w:r>
        <w:rPr>
          <w:rFonts w:hint="default" w:ascii="Times New Roman Regular" w:hAnsi="Times New Roman Regular" w:eastAsia="宋体" w:cs="Times New Roman Regular"/>
          <w:color w:val="auto"/>
          <w:kern w:val="0"/>
          <w:sz w:val="24"/>
          <w:szCs w:val="28"/>
          <w:lang w:val="en-US" w:eastAsia="zh-Hans"/>
        </w:rPr>
        <w:t>II类水质比例为</w:t>
      </w:r>
      <w:r>
        <w:rPr>
          <w:rFonts w:hint="default" w:ascii="Times New Roman Regular" w:hAnsi="Times New Roman Regular" w:eastAsia="宋体" w:cs="Times New Roman Regular"/>
          <w:color w:val="auto"/>
          <w:kern w:val="0"/>
          <w:sz w:val="24"/>
          <w:szCs w:val="28"/>
          <w:lang w:eastAsia="zh-Hans"/>
        </w:rPr>
        <w:t>57</w:t>
      </w:r>
      <w:r>
        <w:rPr>
          <w:rFonts w:hint="default" w:ascii="Times New Roman Regular" w:hAnsi="Times New Roman Regular" w:eastAsia="宋体" w:cs="Times New Roman Regular"/>
          <w:color w:val="auto"/>
          <w:kern w:val="0"/>
          <w:sz w:val="24"/>
          <w:szCs w:val="28"/>
          <w:lang w:val="en-US" w:eastAsia="zh-Hans"/>
        </w:rPr>
        <w:t>.</w:t>
      </w:r>
      <w:r>
        <w:rPr>
          <w:rFonts w:hint="default" w:ascii="Times New Roman Regular" w:hAnsi="Times New Roman Regular" w:eastAsia="宋体" w:cs="Times New Roman Regular"/>
          <w:color w:val="auto"/>
          <w:kern w:val="0"/>
          <w:sz w:val="24"/>
          <w:szCs w:val="28"/>
          <w:lang w:eastAsia="zh-Hans"/>
        </w:rPr>
        <w:t>3%，</w:t>
      </w:r>
      <w:r>
        <w:rPr>
          <w:rFonts w:hint="default" w:ascii="Times New Roman Regular" w:hAnsi="Times New Roman Regular" w:eastAsia="宋体" w:cs="Times New Roman Regular"/>
          <w:color w:val="auto"/>
          <w:kern w:val="0"/>
          <w:sz w:val="24"/>
          <w:szCs w:val="28"/>
          <w:lang w:val="en-US" w:eastAsia="zh-Hans"/>
        </w:rPr>
        <w:t>同比持平</w:t>
      </w:r>
      <w:r>
        <w:rPr>
          <w:rFonts w:hint="default" w:ascii="Times New Roman Regular" w:hAnsi="Times New Roman Regular" w:eastAsia="宋体" w:cs="Times New Roman Regular"/>
          <w:color w:val="auto"/>
          <w:kern w:val="0"/>
          <w:sz w:val="24"/>
          <w:szCs w:val="28"/>
          <w:lang w:eastAsia="zh-Hans"/>
        </w:rPr>
        <w:t>。</w:t>
      </w:r>
      <w:r>
        <w:rPr>
          <w:rFonts w:hint="default" w:ascii="Times New Roman Regular" w:hAnsi="Times New Roman Regular" w:eastAsia="宋体" w:cs="Times New Roman Regular"/>
          <w:color w:val="auto"/>
          <w:kern w:val="0"/>
          <w:sz w:val="24"/>
          <w:szCs w:val="28"/>
          <w:lang w:val="en-US" w:eastAsia="zh-Hans"/>
        </w:rPr>
        <w:t>各类水质比例如下</w:t>
      </w:r>
      <w:r>
        <w:rPr>
          <w:rFonts w:hint="default" w:ascii="Times New Roman Regular" w:hAnsi="Times New Roman Regular" w:eastAsia="宋体" w:cs="Times New Roman Regular"/>
          <w:color w:val="auto"/>
          <w:kern w:val="0"/>
          <w:sz w:val="24"/>
          <w:szCs w:val="28"/>
          <w:lang w:eastAsia="zh-Hans"/>
        </w:rPr>
        <w:t>：</w:t>
      </w:r>
      <w:r>
        <w:rPr>
          <w:rFonts w:hint="default" w:ascii="Times New Roman Regular" w:hAnsi="Times New Roman Regular" w:eastAsia="宋体" w:cs="Times New Roman Regular"/>
          <w:color w:val="auto"/>
          <w:kern w:val="0"/>
          <w:sz w:val="24"/>
          <w:szCs w:val="28"/>
          <w:lang w:val="en-US" w:eastAsia="zh-Hans"/>
        </w:rPr>
        <w:t>I类占</w:t>
      </w:r>
      <w:r>
        <w:rPr>
          <w:rFonts w:hint="default" w:ascii="Times New Roman Regular" w:hAnsi="Times New Roman Regular" w:eastAsia="宋体" w:cs="Times New Roman Regular"/>
          <w:color w:val="auto"/>
          <w:kern w:val="0"/>
          <w:sz w:val="24"/>
          <w:szCs w:val="28"/>
          <w:lang w:eastAsia="zh-Hans"/>
        </w:rPr>
        <w:t>6</w:t>
      </w:r>
      <w:r>
        <w:rPr>
          <w:rFonts w:hint="default" w:ascii="Times New Roman Regular" w:hAnsi="Times New Roman Regular" w:eastAsia="宋体" w:cs="Times New Roman Regular"/>
          <w:color w:val="auto"/>
          <w:kern w:val="0"/>
          <w:sz w:val="24"/>
          <w:szCs w:val="28"/>
          <w:lang w:val="en-US" w:eastAsia="zh-Hans"/>
        </w:rPr>
        <w:t>.</w:t>
      </w:r>
      <w:r>
        <w:rPr>
          <w:rFonts w:hint="default" w:ascii="Times New Roman Regular" w:hAnsi="Times New Roman Regular" w:eastAsia="宋体" w:cs="Times New Roman Regular"/>
          <w:color w:val="auto"/>
          <w:kern w:val="0"/>
          <w:sz w:val="24"/>
          <w:szCs w:val="28"/>
          <w:lang w:eastAsia="zh-Hans"/>
        </w:rPr>
        <w:t>3%，</w:t>
      </w:r>
      <w:r>
        <w:rPr>
          <w:rFonts w:hint="default" w:ascii="Times New Roman Regular" w:hAnsi="Times New Roman Regular" w:eastAsia="宋体" w:cs="Times New Roman Regular"/>
          <w:color w:val="auto"/>
          <w:kern w:val="0"/>
          <w:sz w:val="24"/>
          <w:szCs w:val="28"/>
          <w:lang w:val="en-US" w:eastAsia="zh-Hans"/>
        </w:rPr>
        <w:t>II类占</w:t>
      </w:r>
      <w:r>
        <w:rPr>
          <w:rFonts w:hint="default" w:ascii="Times New Roman Regular" w:hAnsi="Times New Roman Regular" w:eastAsia="宋体" w:cs="Times New Roman Regular"/>
          <w:color w:val="auto"/>
          <w:kern w:val="0"/>
          <w:sz w:val="24"/>
          <w:szCs w:val="28"/>
          <w:lang w:eastAsia="zh-Hans"/>
        </w:rPr>
        <w:t>51</w:t>
      </w:r>
      <w:r>
        <w:rPr>
          <w:rFonts w:hint="default" w:ascii="Times New Roman Regular" w:hAnsi="Times New Roman Regular" w:eastAsia="宋体" w:cs="Times New Roman Regular"/>
          <w:color w:val="auto"/>
          <w:kern w:val="0"/>
          <w:sz w:val="24"/>
          <w:szCs w:val="28"/>
          <w:lang w:val="en-US" w:eastAsia="zh-Hans"/>
        </w:rPr>
        <w:t>.</w:t>
      </w:r>
      <w:r>
        <w:rPr>
          <w:rFonts w:hint="default" w:ascii="Times New Roman Regular" w:hAnsi="Times New Roman Regular" w:eastAsia="宋体" w:cs="Times New Roman Regular"/>
          <w:color w:val="auto"/>
          <w:kern w:val="0"/>
          <w:sz w:val="24"/>
          <w:szCs w:val="28"/>
          <w:lang w:eastAsia="zh-Hans"/>
        </w:rPr>
        <w:t>0%，</w:t>
      </w:r>
      <w:r>
        <w:rPr>
          <w:rFonts w:hint="default" w:ascii="Times New Roman Regular" w:hAnsi="Times New Roman Regular" w:eastAsia="宋体" w:cs="Times New Roman Regular"/>
          <w:color w:val="auto"/>
          <w:kern w:val="0"/>
          <w:sz w:val="24"/>
          <w:szCs w:val="28"/>
          <w:lang w:val="en-US" w:eastAsia="zh-Hans"/>
        </w:rPr>
        <w:t>III类占</w:t>
      </w:r>
      <w:r>
        <w:rPr>
          <w:rFonts w:hint="default" w:ascii="Times New Roman Regular" w:hAnsi="Times New Roman Regular" w:eastAsia="宋体" w:cs="Times New Roman Regular"/>
          <w:color w:val="auto"/>
          <w:kern w:val="0"/>
          <w:sz w:val="24"/>
          <w:szCs w:val="28"/>
          <w:lang w:eastAsia="zh-Hans"/>
        </w:rPr>
        <w:t>38</w:t>
      </w:r>
      <w:r>
        <w:rPr>
          <w:rFonts w:hint="default" w:ascii="Times New Roman Regular" w:hAnsi="Times New Roman Regular" w:eastAsia="宋体" w:cs="Times New Roman Regular"/>
          <w:color w:val="auto"/>
          <w:kern w:val="0"/>
          <w:sz w:val="24"/>
          <w:szCs w:val="28"/>
          <w:lang w:val="en-US" w:eastAsia="zh-Hans"/>
        </w:rPr>
        <w:t>.</w:t>
      </w:r>
      <w:r>
        <w:rPr>
          <w:rFonts w:hint="default" w:ascii="Times New Roman Regular" w:hAnsi="Times New Roman Regular" w:eastAsia="宋体" w:cs="Times New Roman Regular"/>
          <w:color w:val="auto"/>
          <w:kern w:val="0"/>
          <w:sz w:val="24"/>
          <w:szCs w:val="28"/>
          <w:lang w:eastAsia="zh-Hans"/>
        </w:rPr>
        <w:t>5%，</w:t>
      </w:r>
      <w:r>
        <w:rPr>
          <w:rFonts w:hint="default" w:ascii="Times New Roman Regular" w:hAnsi="Times New Roman Regular" w:eastAsia="宋体" w:cs="Times New Roman Regular"/>
          <w:color w:val="auto"/>
          <w:kern w:val="0"/>
          <w:sz w:val="24"/>
          <w:szCs w:val="28"/>
          <w:lang w:val="en-US" w:eastAsia="zh-Hans"/>
        </w:rPr>
        <w:t>IV类占</w:t>
      </w:r>
      <w:r>
        <w:rPr>
          <w:rFonts w:hint="default" w:ascii="Times New Roman Regular" w:hAnsi="Times New Roman Regular" w:eastAsia="宋体" w:cs="Times New Roman Regular"/>
          <w:color w:val="auto"/>
          <w:kern w:val="0"/>
          <w:sz w:val="24"/>
          <w:szCs w:val="28"/>
          <w:lang w:eastAsia="zh-Hans"/>
        </w:rPr>
        <w:t>3</w:t>
      </w:r>
      <w:r>
        <w:rPr>
          <w:rFonts w:hint="default" w:ascii="Times New Roman Regular" w:hAnsi="Times New Roman Regular" w:eastAsia="宋体" w:cs="Times New Roman Regular"/>
          <w:color w:val="auto"/>
          <w:kern w:val="0"/>
          <w:sz w:val="24"/>
          <w:szCs w:val="28"/>
          <w:lang w:val="en-US" w:eastAsia="zh-Hans"/>
        </w:rPr>
        <w:t>.</w:t>
      </w:r>
      <w:r>
        <w:rPr>
          <w:rFonts w:hint="default" w:ascii="Times New Roman Regular" w:hAnsi="Times New Roman Regular" w:eastAsia="宋体" w:cs="Times New Roman Regular"/>
          <w:color w:val="auto"/>
          <w:kern w:val="0"/>
          <w:sz w:val="24"/>
          <w:szCs w:val="28"/>
          <w:lang w:eastAsia="zh-Hans"/>
        </w:rPr>
        <w:t>5%，</w:t>
      </w:r>
      <w:r>
        <w:rPr>
          <w:rFonts w:hint="default" w:ascii="Times New Roman Regular" w:hAnsi="Times New Roman Regular" w:eastAsia="宋体" w:cs="Times New Roman Regular"/>
          <w:color w:val="auto"/>
          <w:kern w:val="0"/>
          <w:sz w:val="24"/>
          <w:szCs w:val="28"/>
          <w:lang w:val="en-US" w:eastAsia="zh-Hans"/>
        </w:rPr>
        <w:t>V类占</w:t>
      </w:r>
      <w:r>
        <w:rPr>
          <w:rFonts w:hint="default" w:ascii="Times New Roman Regular" w:hAnsi="Times New Roman Regular" w:eastAsia="宋体" w:cs="Times New Roman Regular"/>
          <w:color w:val="auto"/>
          <w:kern w:val="0"/>
          <w:sz w:val="24"/>
          <w:szCs w:val="28"/>
          <w:lang w:eastAsia="zh-Hans"/>
        </w:rPr>
        <w:t>0</w:t>
      </w:r>
      <w:r>
        <w:rPr>
          <w:rFonts w:hint="default" w:ascii="Times New Roman Regular" w:hAnsi="Times New Roman Regular" w:eastAsia="宋体" w:cs="Times New Roman Regular"/>
          <w:color w:val="auto"/>
          <w:kern w:val="0"/>
          <w:sz w:val="24"/>
          <w:szCs w:val="28"/>
          <w:lang w:val="en-US" w:eastAsia="zh-Hans"/>
        </w:rPr>
        <w:t>.</w:t>
      </w:r>
      <w:r>
        <w:rPr>
          <w:rFonts w:hint="default" w:ascii="Times New Roman Regular" w:hAnsi="Times New Roman Regular" w:eastAsia="宋体" w:cs="Times New Roman Regular"/>
          <w:color w:val="auto"/>
          <w:kern w:val="0"/>
          <w:sz w:val="24"/>
          <w:szCs w:val="28"/>
          <w:lang w:eastAsia="zh-Hans"/>
        </w:rPr>
        <w:t>7%，</w:t>
      </w:r>
      <w:r>
        <w:rPr>
          <w:rFonts w:hint="default" w:ascii="Times New Roman Regular" w:hAnsi="Times New Roman Regular" w:eastAsia="宋体" w:cs="Times New Roman Regular"/>
          <w:color w:val="auto"/>
          <w:kern w:val="0"/>
          <w:sz w:val="24"/>
          <w:szCs w:val="28"/>
          <w:lang w:val="en-US" w:eastAsia="zh-Hans"/>
        </w:rPr>
        <w:t>无劣V类水</w:t>
      </w:r>
      <w:r>
        <w:rPr>
          <w:rFonts w:hint="default" w:ascii="Times New Roman Regular" w:hAnsi="Times New Roman Regular" w:eastAsia="宋体" w:cs="Times New Roman Regular"/>
          <w:color w:val="auto"/>
          <w:kern w:val="0"/>
          <w:sz w:val="24"/>
          <w:szCs w:val="28"/>
          <w:lang w:eastAsia="zh-Hans"/>
        </w:rPr>
        <w:t>。</w:t>
      </w:r>
    </w:p>
    <w:p>
      <w:pPr>
        <w:pStyle w:val="67"/>
        <w:adjustRightInd/>
        <w:snapToGrid/>
        <w:ind w:left="0" w:leftChars="0" w:firstLine="0" w:firstLineChars="0"/>
        <w:rPr>
          <w:rFonts w:hint="default" w:ascii="Times New Roman Regular" w:hAnsi="Times New Roman Regular" w:cs="Times New Roman Regular"/>
          <w:color w:val="auto"/>
        </w:rPr>
      </w:pPr>
      <w:r>
        <w:rPr>
          <w:rFonts w:hint="default" w:ascii="Times New Roman Regular" w:hAnsi="Times New Roman Regular" w:cs="Times New Roman Regular"/>
          <w:color w:val="auto"/>
        </w:rPr>
        <w:drawing>
          <wp:inline distT="0" distB="0" distL="114300" distR="114300">
            <wp:extent cx="5268595" cy="3038475"/>
            <wp:effectExtent l="0" t="0" r="14605" b="9525"/>
            <wp:docPr id="1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
                    <pic:cNvPicPr>
                      <a:picLocks noChangeAspect="1"/>
                    </pic:cNvPicPr>
                  </pic:nvPicPr>
                  <pic:blipFill>
                    <a:blip r:embed="rId15"/>
                    <a:stretch>
                      <a:fillRect/>
                    </a:stretch>
                  </pic:blipFill>
                  <pic:spPr>
                    <a:xfrm>
                      <a:off x="0" y="0"/>
                      <a:ext cx="5268595" cy="3038475"/>
                    </a:xfrm>
                    <a:prstGeom prst="rect">
                      <a:avLst/>
                    </a:prstGeom>
                    <a:noFill/>
                    <a:ln w="9525">
                      <a:noFill/>
                    </a:ln>
                  </pic:spPr>
                </pic:pic>
              </a:graphicData>
            </a:graphic>
          </wp:inline>
        </w:drawing>
      </w:r>
    </w:p>
    <w:p>
      <w:pPr>
        <w:pStyle w:val="67"/>
        <w:adjustRightInd/>
        <w:snapToGrid/>
        <w:ind w:left="0" w:leftChars="0" w:firstLine="0" w:firstLineChars="0"/>
        <w:jc w:val="center"/>
        <w:rPr>
          <w:rFonts w:hint="default" w:ascii="Times New Roman Regular" w:hAnsi="Times New Roman Regular" w:eastAsia="宋体" w:cs="Times New Roman Regular"/>
          <w:b/>
          <w:bCs/>
          <w:color w:val="auto"/>
          <w:kern w:val="0"/>
          <w:sz w:val="24"/>
          <w:szCs w:val="28"/>
        </w:rPr>
      </w:pPr>
      <w:r>
        <w:rPr>
          <w:rFonts w:hint="default" w:ascii="Times New Roman Regular" w:hAnsi="Times New Roman Regular" w:eastAsia="宋体" w:cs="Times New Roman Regular"/>
          <w:b/>
          <w:bCs/>
          <w:color w:val="auto"/>
          <w:kern w:val="0"/>
          <w:sz w:val="24"/>
          <w:szCs w:val="28"/>
          <w:lang w:val="en-US" w:eastAsia="zh-Hans"/>
        </w:rPr>
        <w:t>图</w:t>
      </w:r>
      <w:r>
        <w:rPr>
          <w:rFonts w:hint="default" w:ascii="Times New Roman Regular" w:hAnsi="Times New Roman Regular" w:eastAsia="宋体" w:cs="Times New Roman Regular"/>
          <w:b/>
          <w:bCs/>
          <w:color w:val="auto"/>
          <w:kern w:val="0"/>
          <w:sz w:val="24"/>
          <w:szCs w:val="28"/>
          <w:lang w:eastAsia="zh-Hans"/>
        </w:rPr>
        <w:t>3</w:t>
      </w:r>
      <w:r>
        <w:rPr>
          <w:rFonts w:hint="default" w:ascii="Times New Roman Regular" w:hAnsi="Times New Roman Regular" w:eastAsia="宋体" w:cs="Times New Roman Regular"/>
          <w:b/>
          <w:bCs/>
          <w:color w:val="auto"/>
          <w:kern w:val="0"/>
          <w:sz w:val="24"/>
          <w:szCs w:val="28"/>
          <w:lang w:val="en-US" w:eastAsia="zh-Hans"/>
        </w:rPr>
        <w:t>.</w:t>
      </w:r>
      <w:r>
        <w:rPr>
          <w:rFonts w:hint="default" w:ascii="Times New Roman Regular" w:hAnsi="Times New Roman Regular" w:eastAsia="宋体" w:cs="Times New Roman Regular"/>
          <w:b/>
          <w:bCs/>
          <w:color w:val="auto"/>
          <w:kern w:val="0"/>
          <w:sz w:val="24"/>
          <w:szCs w:val="28"/>
          <w:lang w:eastAsia="zh-Hans"/>
        </w:rPr>
        <w:t xml:space="preserve">6-1 </w:t>
      </w:r>
      <w:r>
        <w:rPr>
          <w:rFonts w:hint="default" w:ascii="Times New Roman Regular" w:hAnsi="Times New Roman Regular" w:eastAsia="宋体" w:cs="Times New Roman Regular"/>
          <w:b/>
          <w:bCs/>
          <w:color w:val="auto"/>
          <w:kern w:val="0"/>
          <w:sz w:val="24"/>
          <w:szCs w:val="28"/>
        </w:rPr>
        <w:t>福建省2020年1-3月主要流域水环境质量状况截图</w:t>
      </w:r>
    </w:p>
    <w:p>
      <w:pPr>
        <w:pStyle w:val="110"/>
        <w:spacing w:after="120" w:afterLines="50" w:line="360" w:lineRule="auto"/>
        <w:ind w:left="0" w:leftChars="0" w:firstLine="0" w:firstLineChars="0"/>
        <w:jc w:val="center"/>
        <w:rPr>
          <w:rFonts w:hint="default" w:ascii="Times New Roman Regular" w:hAnsi="Times New Roman Regular" w:eastAsia="黑体" w:cs="Times New Roman Regular"/>
          <w:color w:val="auto"/>
          <w:sz w:val="24"/>
        </w:rPr>
      </w:pPr>
      <w:r>
        <w:rPr>
          <w:rFonts w:hint="default" w:ascii="Times New Roman Regular" w:hAnsi="Times New Roman Regular" w:eastAsia="黑体" w:cs="Times New Roman Regular"/>
          <w:color w:val="auto"/>
          <w:sz w:val="24"/>
        </w:rPr>
        <w:drawing>
          <wp:inline distT="0" distB="0" distL="0" distR="0">
            <wp:extent cx="4939030" cy="3934460"/>
            <wp:effectExtent l="0" t="0" r="13970" b="2540"/>
            <wp:docPr id="119"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8"/>
                    <pic:cNvPicPr>
                      <a:picLocks noChangeAspect="1"/>
                    </pic:cNvPicPr>
                  </pic:nvPicPr>
                  <pic:blipFill>
                    <a:blip r:embed="rId16"/>
                    <a:stretch>
                      <a:fillRect/>
                    </a:stretch>
                  </pic:blipFill>
                  <pic:spPr>
                    <a:xfrm>
                      <a:off x="0" y="0"/>
                      <a:ext cx="4942440" cy="3936907"/>
                    </a:xfrm>
                    <a:prstGeom prst="rect">
                      <a:avLst/>
                    </a:prstGeom>
                  </pic:spPr>
                </pic:pic>
              </a:graphicData>
            </a:graphic>
          </wp:inline>
        </w:drawing>
      </w:r>
    </w:p>
    <w:p>
      <w:pPr>
        <w:pStyle w:val="67"/>
        <w:adjustRightInd/>
        <w:snapToGrid/>
        <w:ind w:left="0" w:leftChars="0" w:firstLine="0" w:firstLineChars="0"/>
        <w:jc w:val="center"/>
        <w:rPr>
          <w:rFonts w:hint="default" w:ascii="Times New Roman Regular" w:hAnsi="Times New Roman Regular" w:eastAsia="宋体" w:cs="Times New Roman Regular"/>
          <w:b/>
          <w:bCs/>
          <w:color w:val="auto"/>
          <w:kern w:val="0"/>
          <w:sz w:val="24"/>
          <w:szCs w:val="28"/>
        </w:rPr>
      </w:pPr>
      <w:r>
        <w:rPr>
          <w:rFonts w:hint="default" w:ascii="Times New Roman Regular" w:hAnsi="Times New Roman Regular" w:eastAsia="宋体" w:cs="Times New Roman Regular"/>
          <w:b/>
          <w:bCs/>
          <w:color w:val="auto"/>
          <w:kern w:val="0"/>
          <w:sz w:val="24"/>
          <w:szCs w:val="28"/>
        </w:rPr>
        <w:t>图3.6-2 2018年4月福州市重点河流断面水质状况数据截图</w:t>
      </w:r>
    </w:p>
    <w:p>
      <w:pPr>
        <w:pStyle w:val="128"/>
        <w:keepNext/>
        <w:spacing w:before="163" w:beforeLines="50"/>
        <w:outlineLvl w:val="2"/>
        <w:rPr>
          <w:rFonts w:hint="default" w:ascii="Times New Roman Regular" w:hAnsi="Times New Roman Regular" w:cs="Times New Roman Regular"/>
          <w:color w:val="auto"/>
        </w:rPr>
      </w:pPr>
      <w:bookmarkStart w:id="117" w:name="_Toc807917425"/>
      <w:r>
        <w:rPr>
          <w:rFonts w:hint="default" w:ascii="Times New Roman Regular" w:hAnsi="Times New Roman Regular" w:cs="Times New Roman Regular"/>
          <w:color w:val="auto"/>
        </w:rPr>
        <w:t>3.6.2 大气环境质量现状</w:t>
      </w:r>
      <w:bookmarkEnd w:id="112"/>
      <w:bookmarkEnd w:id="113"/>
      <w:bookmarkEnd w:id="114"/>
      <w:bookmarkEnd w:id="115"/>
      <w:bookmarkEnd w:id="116"/>
      <w:bookmarkEnd w:id="117"/>
    </w:p>
    <w:p>
      <w:pPr>
        <w:pStyle w:val="67"/>
        <w:adjustRightInd/>
        <w:snapToGrid/>
        <w:ind w:firstLine="480"/>
        <w:rPr>
          <w:rFonts w:hint="default" w:ascii="Times New Roman Regular" w:hAnsi="Times New Roman Regular" w:eastAsia="宋体" w:cs="Times New Roman Regular"/>
          <w:color w:val="auto"/>
          <w:kern w:val="0"/>
          <w:sz w:val="24"/>
          <w:szCs w:val="28"/>
        </w:rPr>
      </w:pPr>
      <w:bookmarkStart w:id="118" w:name="_Toc47618310"/>
      <w:bookmarkStart w:id="119" w:name="_Toc42613031"/>
      <w:bookmarkStart w:id="120" w:name="_Toc44275425"/>
      <w:bookmarkStart w:id="121" w:name="_Toc44272269"/>
      <w:bookmarkStart w:id="122" w:name="_Toc46314201"/>
      <w:r>
        <w:rPr>
          <w:rFonts w:hint="default" w:ascii="Times New Roman Regular" w:hAnsi="Times New Roman Regular" w:eastAsia="宋体" w:cs="Times New Roman Regular"/>
          <w:color w:val="auto"/>
          <w:kern w:val="0"/>
          <w:sz w:val="24"/>
          <w:szCs w:val="28"/>
        </w:rPr>
        <w:t>根据福州市闽侯县人民政府网站公布数据，2020年6月份闽侯县县城环境空气质量继续保持良好，达到规定的相应功能区标准。</w:t>
      </w:r>
    </w:p>
    <w:p>
      <w:pPr>
        <w:pStyle w:val="67"/>
        <w:adjustRightInd/>
        <w:snapToGrid/>
        <w:ind w:firstLine="480"/>
        <w:rPr>
          <w:rFonts w:hint="default" w:ascii="Times New Roman Regular" w:hAnsi="Times New Roman Regular" w:eastAsia="宋体" w:cs="Times New Roman Regular"/>
          <w:color w:val="auto"/>
          <w:kern w:val="0"/>
          <w:sz w:val="24"/>
          <w:szCs w:val="28"/>
        </w:rPr>
      </w:pPr>
      <w:r>
        <w:rPr>
          <w:rFonts w:hint="default" w:ascii="Times New Roman Regular" w:hAnsi="Times New Roman Regular" w:eastAsia="宋体" w:cs="Times New Roman Regular"/>
          <w:color w:val="auto"/>
          <w:kern w:val="0"/>
          <w:sz w:val="24"/>
          <w:szCs w:val="28"/>
        </w:rPr>
        <w:t>闽侯县6月份县城空气质量SO</w:t>
      </w:r>
      <w:r>
        <w:rPr>
          <w:rFonts w:hint="default" w:ascii="Times New Roman Regular" w:hAnsi="Times New Roman Regular" w:eastAsia="宋体" w:cs="Times New Roman Regular"/>
          <w:color w:val="auto"/>
          <w:kern w:val="0"/>
          <w:sz w:val="24"/>
          <w:szCs w:val="28"/>
          <w:vertAlign w:val="subscript"/>
        </w:rPr>
        <w:t>2</w:t>
      </w:r>
      <w:r>
        <w:rPr>
          <w:rFonts w:hint="default" w:ascii="Times New Roman Regular" w:hAnsi="Times New Roman Regular" w:eastAsia="宋体" w:cs="Times New Roman Regular"/>
          <w:color w:val="auto"/>
          <w:kern w:val="0"/>
          <w:sz w:val="24"/>
          <w:szCs w:val="28"/>
        </w:rPr>
        <w:t>、NO</w:t>
      </w:r>
      <w:r>
        <w:rPr>
          <w:rFonts w:hint="default" w:ascii="Times New Roman Regular" w:hAnsi="Times New Roman Regular" w:eastAsia="宋体" w:cs="Times New Roman Regular"/>
          <w:color w:val="auto"/>
          <w:kern w:val="0"/>
          <w:sz w:val="24"/>
          <w:szCs w:val="28"/>
          <w:vertAlign w:val="subscript"/>
        </w:rPr>
        <w:t>2</w:t>
      </w:r>
      <w:r>
        <w:rPr>
          <w:rFonts w:hint="default" w:ascii="Times New Roman Regular" w:hAnsi="Times New Roman Regular" w:eastAsia="宋体" w:cs="Times New Roman Regular"/>
          <w:color w:val="auto"/>
          <w:kern w:val="0"/>
          <w:sz w:val="24"/>
          <w:szCs w:val="28"/>
        </w:rPr>
        <w:t>、PM</w:t>
      </w:r>
      <w:r>
        <w:rPr>
          <w:rFonts w:hint="default" w:ascii="Times New Roman Regular" w:hAnsi="Times New Roman Regular" w:eastAsia="宋体" w:cs="Times New Roman Regular"/>
          <w:color w:val="auto"/>
          <w:kern w:val="0"/>
          <w:sz w:val="24"/>
          <w:szCs w:val="28"/>
          <w:vertAlign w:val="subscript"/>
        </w:rPr>
        <w:t>10</w:t>
      </w:r>
      <w:r>
        <w:rPr>
          <w:rFonts w:hint="default" w:ascii="Times New Roman Regular" w:hAnsi="Times New Roman Regular" w:eastAsia="宋体" w:cs="Times New Roman Regular"/>
          <w:color w:val="auto"/>
          <w:kern w:val="0"/>
          <w:sz w:val="24"/>
          <w:szCs w:val="28"/>
        </w:rPr>
        <w:t>、CO、O</w:t>
      </w:r>
      <w:r>
        <w:rPr>
          <w:rFonts w:hint="default" w:ascii="Times New Roman Regular" w:hAnsi="Times New Roman Regular" w:eastAsia="宋体" w:cs="Times New Roman Regular"/>
          <w:color w:val="auto"/>
          <w:kern w:val="0"/>
          <w:sz w:val="24"/>
          <w:szCs w:val="28"/>
          <w:vertAlign w:val="subscript"/>
        </w:rPr>
        <w:t>3</w:t>
      </w:r>
      <w:r>
        <w:rPr>
          <w:rFonts w:hint="default" w:ascii="Times New Roman Regular" w:hAnsi="Times New Roman Regular" w:eastAsia="宋体" w:cs="Times New Roman Regular"/>
          <w:color w:val="auto"/>
          <w:kern w:val="0"/>
          <w:sz w:val="24"/>
          <w:szCs w:val="28"/>
        </w:rPr>
        <w:t>、PM</w:t>
      </w:r>
      <w:r>
        <w:rPr>
          <w:rFonts w:hint="default" w:ascii="Times New Roman Regular" w:hAnsi="Times New Roman Regular" w:eastAsia="宋体" w:cs="Times New Roman Regular"/>
          <w:color w:val="auto"/>
          <w:kern w:val="0"/>
          <w:sz w:val="24"/>
          <w:szCs w:val="28"/>
          <w:vertAlign w:val="subscript"/>
        </w:rPr>
        <w:t>2.5</w:t>
      </w:r>
      <w:r>
        <w:rPr>
          <w:rFonts w:hint="default" w:ascii="Times New Roman Regular" w:hAnsi="Times New Roman Regular" w:eastAsia="宋体" w:cs="Times New Roman Regular"/>
          <w:color w:val="auto"/>
          <w:kern w:val="0"/>
          <w:sz w:val="24"/>
          <w:szCs w:val="28"/>
        </w:rPr>
        <w:t>等6项污染物浓度指标的24小时均值（其中O3为日最大8小时平均）达到国家环境空气质量标准（GB 3095-2012）二级水平，6月份县城首要污染物为O</w:t>
      </w:r>
      <w:r>
        <w:rPr>
          <w:rFonts w:hint="default" w:ascii="Times New Roman Regular" w:hAnsi="Times New Roman Regular" w:eastAsia="宋体" w:cs="Times New Roman Regular"/>
          <w:color w:val="auto"/>
          <w:kern w:val="0"/>
          <w:sz w:val="24"/>
          <w:szCs w:val="28"/>
          <w:vertAlign w:val="subscript"/>
        </w:rPr>
        <w:t>3</w:t>
      </w:r>
      <w:r>
        <w:rPr>
          <w:rFonts w:hint="default" w:ascii="Times New Roman Regular" w:hAnsi="Times New Roman Regular" w:eastAsia="宋体" w:cs="Times New Roman Regular"/>
          <w:color w:val="auto"/>
          <w:kern w:val="0"/>
          <w:sz w:val="24"/>
          <w:szCs w:val="28"/>
        </w:rPr>
        <w:t>。</w:t>
      </w:r>
    </w:p>
    <w:p>
      <w:pPr>
        <w:pStyle w:val="128"/>
        <w:keepNext/>
        <w:spacing w:before="163" w:beforeLines="50"/>
        <w:outlineLvl w:val="2"/>
        <w:rPr>
          <w:rFonts w:hint="default" w:ascii="Times New Roman Regular" w:hAnsi="Times New Roman Regular" w:cs="Times New Roman Regular"/>
          <w:color w:val="auto"/>
        </w:rPr>
      </w:pPr>
      <w:bookmarkStart w:id="123" w:name="_Toc129061994"/>
      <w:r>
        <w:rPr>
          <w:rFonts w:hint="default" w:ascii="Times New Roman Regular" w:hAnsi="Times New Roman Regular" w:cs="Times New Roman Regular"/>
          <w:color w:val="auto"/>
        </w:rPr>
        <w:t>3.6.3 声环境质量现状</w:t>
      </w:r>
      <w:bookmarkEnd w:id="118"/>
      <w:bookmarkEnd w:id="119"/>
      <w:bookmarkEnd w:id="120"/>
      <w:bookmarkEnd w:id="121"/>
      <w:bookmarkEnd w:id="122"/>
      <w:bookmarkEnd w:id="123"/>
    </w:p>
    <w:p>
      <w:pPr>
        <w:autoSpaceDE w:val="0"/>
        <w:autoSpaceDN w:val="0"/>
        <w:spacing w:line="480" w:lineRule="atLeast"/>
        <w:ind w:firstLine="480" w:firstLineChars="200"/>
        <w:textAlignment w:val="bottom"/>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评价委托福建省格瑞恩检测科技有限公司于2020年11月17日对项目所在地的声环境质量现状进行监测的结果（表3.6-1）表明，目前项目厂界声环境质量现状可达到《声环境质量标准》（GB3096-2008）中3类、4a类标准要求。项目所在区域声环境质量良好（</w:t>
      </w:r>
      <w:r>
        <w:rPr>
          <w:rFonts w:hint="default" w:ascii="Times New Roman Regular" w:hAnsi="Times New Roman Regular" w:cs="Times New Roman Regular"/>
          <w:color w:val="auto"/>
          <w:lang w:val="en-US" w:eastAsia="zh-Hans"/>
        </w:rPr>
        <w:t>详见附件</w:t>
      </w:r>
      <w:r>
        <w:rPr>
          <w:rFonts w:hint="default" w:ascii="Times New Roman Regular" w:hAnsi="Times New Roman Regular" w:cs="Times New Roman Regular"/>
          <w:color w:val="auto"/>
          <w:lang w:eastAsia="zh-Hans"/>
        </w:rPr>
        <w:t>7</w:t>
      </w:r>
      <w:r>
        <w:rPr>
          <w:rFonts w:hint="default" w:ascii="Times New Roman Regular" w:hAnsi="Times New Roman Regular" w:cs="Times New Roman Regular"/>
          <w:color w:val="auto"/>
        </w:rPr>
        <w:t>）。</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表3.6-1  项目声环境质量现状监测值  单位：dB(A)</w:t>
      </w:r>
    </w:p>
    <w:tbl>
      <w:tblPr>
        <w:tblStyle w:val="36"/>
        <w:tblW w:w="852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0"/>
        <w:gridCol w:w="2935"/>
        <w:gridCol w:w="1987"/>
        <w:gridCol w:w="19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0"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测点编号</w:t>
            </w:r>
          </w:p>
        </w:tc>
        <w:tc>
          <w:tcPr>
            <w:tcW w:w="293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测点位置</w:t>
            </w:r>
          </w:p>
        </w:tc>
        <w:tc>
          <w:tcPr>
            <w:tcW w:w="1987" w:type="dxa"/>
            <w:tcBorders>
              <w:bottom w:val="single" w:color="auto" w:sz="4" w:space="0"/>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昼间监测结果</w:t>
            </w:r>
          </w:p>
        </w:tc>
        <w:tc>
          <w:tcPr>
            <w:tcW w:w="1966" w:type="dxa"/>
            <w:tcBorders>
              <w:bottom w:val="single" w:color="auto" w:sz="4" w:space="0"/>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夜间监测结果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0" w:type="dxa"/>
            <w:vAlign w:val="center"/>
          </w:tcPr>
          <w:p>
            <w:pPr>
              <w:pStyle w:val="135"/>
              <w:rPr>
                <w:rFonts w:hint="default" w:ascii="Times New Roman Regular" w:hAnsi="Times New Roman Regular" w:cs="Times New Roman Regular"/>
                <w:color w:val="auto"/>
              </w:rPr>
            </w:pPr>
            <w:bookmarkStart w:id="124" w:name="_Toc7476"/>
            <w:bookmarkStart w:id="125" w:name="_Toc18910"/>
            <w:r>
              <w:rPr>
                <w:rFonts w:hint="default" w:ascii="Times New Roman Regular" w:hAnsi="Times New Roman Regular" w:cs="Times New Roman Regular"/>
                <w:color w:val="auto"/>
              </w:rPr>
              <w:t>N1</w:t>
            </w:r>
            <w:bookmarkEnd w:id="124"/>
            <w:bookmarkEnd w:id="125"/>
          </w:p>
        </w:tc>
        <w:tc>
          <w:tcPr>
            <w:tcW w:w="2935" w:type="dxa"/>
            <w:vAlign w:val="center"/>
          </w:tcPr>
          <w:p>
            <w:pPr>
              <w:pStyle w:val="135"/>
              <w:rPr>
                <w:rFonts w:hint="default" w:ascii="Times New Roman Regular" w:hAnsi="Times New Roman Regular" w:cs="Times New Roman Regular"/>
                <w:color w:val="auto"/>
              </w:rPr>
            </w:pPr>
            <w:bookmarkStart w:id="126" w:name="_Toc3434"/>
            <w:bookmarkStart w:id="127" w:name="_Toc8519"/>
            <w:r>
              <w:rPr>
                <w:rFonts w:hint="default" w:ascii="Times New Roman Regular" w:hAnsi="Times New Roman Regular" w:cs="Times New Roman Regular"/>
                <w:color w:val="auto"/>
              </w:rPr>
              <w:t>项目北厂界</w:t>
            </w:r>
            <w:bookmarkEnd w:id="126"/>
            <w:bookmarkEnd w:id="127"/>
          </w:p>
        </w:tc>
        <w:tc>
          <w:tcPr>
            <w:tcW w:w="1987" w:type="dxa"/>
            <w:tcBorders>
              <w:bottom w:val="single" w:color="auto" w:sz="4" w:space="0"/>
            </w:tcBorders>
            <w:vAlign w:val="center"/>
          </w:tcPr>
          <w:p>
            <w:pPr>
              <w:pStyle w:val="135"/>
              <w:rPr>
                <w:rFonts w:hint="default" w:ascii="Times New Roman Regular" w:hAnsi="Times New Roman Regular" w:eastAsia="宋体" w:cs="Times New Roman Regular"/>
                <w:color w:val="auto"/>
              </w:rPr>
            </w:pPr>
            <w:r>
              <w:rPr>
                <w:rFonts w:hint="default" w:ascii="Times New Roman Regular" w:hAnsi="Times New Roman Regular" w:eastAsia="宋体" w:cs="Times New Roman Regular"/>
                <w:color w:val="auto"/>
              </w:rPr>
              <w:t>5</w:t>
            </w:r>
            <w:r>
              <w:rPr>
                <w:rFonts w:hint="default" w:ascii="Times New Roman Regular" w:hAnsi="Times New Roman Regular" w:cs="Times New Roman Regular"/>
                <w:color w:val="auto"/>
              </w:rPr>
              <w:t>4</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3</w:t>
            </w:r>
          </w:p>
        </w:tc>
        <w:tc>
          <w:tcPr>
            <w:tcW w:w="1966" w:type="dxa"/>
            <w:tcBorders>
              <w:bottom w:val="single" w:color="auto" w:sz="4" w:space="0"/>
            </w:tcBorders>
            <w:vAlign w:val="center"/>
          </w:tcPr>
          <w:p>
            <w:pPr>
              <w:pStyle w:val="135"/>
              <w:rPr>
                <w:rFonts w:hint="default" w:ascii="Times New Roman Regular" w:hAnsi="Times New Roman Regular" w:eastAsia="宋体" w:cs="Times New Roman Regular"/>
                <w:color w:val="auto"/>
              </w:rPr>
            </w:pPr>
            <w:r>
              <w:rPr>
                <w:rFonts w:hint="default" w:ascii="Times New Roman Regular" w:hAnsi="Times New Roman Regular" w:eastAsia="宋体" w:cs="Times New Roman Regular"/>
                <w:color w:val="auto"/>
              </w:rPr>
              <w:t>4</w:t>
            </w:r>
            <w:r>
              <w:rPr>
                <w:rFonts w:hint="default" w:ascii="Times New Roman Regular" w:hAnsi="Times New Roman Regular" w:cs="Times New Roman Regular"/>
                <w:color w:val="auto"/>
              </w:rPr>
              <w:t>5</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0" w:type="dxa"/>
            <w:vAlign w:val="center"/>
          </w:tcPr>
          <w:p>
            <w:pPr>
              <w:pStyle w:val="135"/>
              <w:rPr>
                <w:rFonts w:hint="default" w:ascii="Times New Roman Regular" w:hAnsi="Times New Roman Regular" w:cs="Times New Roman Regular"/>
                <w:color w:val="auto"/>
              </w:rPr>
            </w:pPr>
            <w:bookmarkStart w:id="128" w:name="_Toc17951"/>
            <w:bookmarkStart w:id="129" w:name="_Toc11365"/>
            <w:r>
              <w:rPr>
                <w:rFonts w:hint="default" w:ascii="Times New Roman Regular" w:hAnsi="Times New Roman Regular" w:cs="Times New Roman Regular"/>
                <w:color w:val="auto"/>
              </w:rPr>
              <w:t>N2</w:t>
            </w:r>
            <w:bookmarkEnd w:id="128"/>
            <w:bookmarkEnd w:id="129"/>
          </w:p>
        </w:tc>
        <w:tc>
          <w:tcPr>
            <w:tcW w:w="2935" w:type="dxa"/>
            <w:vAlign w:val="center"/>
          </w:tcPr>
          <w:p>
            <w:pPr>
              <w:pStyle w:val="135"/>
              <w:rPr>
                <w:rFonts w:hint="default" w:ascii="Times New Roman Regular" w:hAnsi="Times New Roman Regular" w:cs="Times New Roman Regular"/>
                <w:color w:val="auto"/>
              </w:rPr>
            </w:pPr>
            <w:bookmarkStart w:id="130" w:name="_Toc25168"/>
            <w:bookmarkStart w:id="131" w:name="_Toc31485"/>
            <w:r>
              <w:rPr>
                <w:rFonts w:hint="default" w:ascii="Times New Roman Regular" w:hAnsi="Times New Roman Regular" w:cs="Times New Roman Regular"/>
                <w:color w:val="auto"/>
              </w:rPr>
              <w:t>项目西厂界</w:t>
            </w:r>
            <w:bookmarkEnd w:id="130"/>
            <w:bookmarkEnd w:id="131"/>
          </w:p>
        </w:tc>
        <w:tc>
          <w:tcPr>
            <w:tcW w:w="1987" w:type="dxa"/>
            <w:vAlign w:val="center"/>
          </w:tcPr>
          <w:p>
            <w:pPr>
              <w:pStyle w:val="135"/>
              <w:rPr>
                <w:rFonts w:hint="default" w:ascii="Times New Roman Regular" w:hAnsi="Times New Roman Regular" w:eastAsia="宋体" w:cs="Times New Roman Regular"/>
                <w:color w:val="auto"/>
              </w:rPr>
            </w:pPr>
            <w:r>
              <w:rPr>
                <w:rFonts w:hint="default" w:ascii="Times New Roman Regular" w:hAnsi="Times New Roman Regular" w:eastAsia="宋体" w:cs="Times New Roman Regular"/>
                <w:color w:val="auto"/>
              </w:rPr>
              <w:t>5</w:t>
            </w:r>
            <w:r>
              <w:rPr>
                <w:rFonts w:hint="default" w:ascii="Times New Roman Regular" w:hAnsi="Times New Roman Regular" w:cs="Times New Roman Regular"/>
                <w:color w:val="auto"/>
              </w:rPr>
              <w:t>4</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6</w:t>
            </w:r>
          </w:p>
        </w:tc>
        <w:tc>
          <w:tcPr>
            <w:tcW w:w="1966" w:type="dxa"/>
            <w:vAlign w:val="center"/>
          </w:tcPr>
          <w:p>
            <w:pPr>
              <w:pStyle w:val="135"/>
              <w:rPr>
                <w:rFonts w:hint="default" w:ascii="Times New Roman Regular" w:hAnsi="Times New Roman Regular" w:eastAsia="宋体" w:cs="Times New Roman Regular"/>
                <w:color w:val="auto"/>
              </w:rPr>
            </w:pPr>
            <w:r>
              <w:rPr>
                <w:rFonts w:hint="default" w:ascii="Times New Roman Regular" w:hAnsi="Times New Roman Regular" w:eastAsia="宋体" w:cs="Times New Roman Regular"/>
                <w:color w:val="auto"/>
              </w:rPr>
              <w:t>46</w:t>
            </w:r>
            <w:r>
              <w:rPr>
                <w:rFonts w:hint="default" w:ascii="Times New Roman Regular" w:hAnsi="Times New Roman Regular" w:eastAsia="宋体" w:cs="Times New Roman Regular"/>
                <w:color w:val="auto"/>
                <w:lang w:val="en-US" w:eastAsia="zh-Hans"/>
              </w:rPr>
              <w:t>.</w:t>
            </w:r>
            <w:r>
              <w:rPr>
                <w:rFonts w:hint="default" w:ascii="Times New Roman Regular" w:hAnsi="Times New Roman Regular" w:cs="Times New Roman Regular"/>
                <w:color w:val="auto"/>
                <w:lang w:eastAsia="zh-Hans"/>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0" w:type="dxa"/>
            <w:vAlign w:val="center"/>
          </w:tcPr>
          <w:p>
            <w:pPr>
              <w:pStyle w:val="135"/>
              <w:rPr>
                <w:rFonts w:hint="default" w:ascii="Times New Roman Regular" w:hAnsi="Times New Roman Regular" w:cs="Times New Roman Regular"/>
                <w:color w:val="auto"/>
              </w:rPr>
            </w:pPr>
            <w:bookmarkStart w:id="132" w:name="_Toc2496"/>
            <w:bookmarkStart w:id="133" w:name="_Toc12727"/>
            <w:r>
              <w:rPr>
                <w:rFonts w:hint="default" w:ascii="Times New Roman Regular" w:hAnsi="Times New Roman Regular" w:cs="Times New Roman Regular"/>
                <w:color w:val="auto"/>
              </w:rPr>
              <w:t>N3</w:t>
            </w:r>
            <w:bookmarkEnd w:id="132"/>
            <w:bookmarkEnd w:id="133"/>
          </w:p>
        </w:tc>
        <w:tc>
          <w:tcPr>
            <w:tcW w:w="2935" w:type="dxa"/>
            <w:vAlign w:val="center"/>
          </w:tcPr>
          <w:p>
            <w:pPr>
              <w:pStyle w:val="135"/>
              <w:rPr>
                <w:rFonts w:hint="default" w:ascii="Times New Roman Regular" w:hAnsi="Times New Roman Regular" w:cs="Times New Roman Regular"/>
                <w:color w:val="auto"/>
              </w:rPr>
            </w:pPr>
            <w:bookmarkStart w:id="134" w:name="_Toc17977"/>
            <w:bookmarkStart w:id="135" w:name="_Toc2773"/>
            <w:r>
              <w:rPr>
                <w:rFonts w:hint="default" w:ascii="Times New Roman Regular" w:hAnsi="Times New Roman Regular" w:cs="Times New Roman Regular"/>
                <w:color w:val="auto"/>
              </w:rPr>
              <w:t>项目南厂界</w:t>
            </w:r>
            <w:bookmarkEnd w:id="134"/>
            <w:bookmarkEnd w:id="135"/>
          </w:p>
        </w:tc>
        <w:tc>
          <w:tcPr>
            <w:tcW w:w="1987" w:type="dxa"/>
            <w:vAlign w:val="center"/>
          </w:tcPr>
          <w:p>
            <w:pPr>
              <w:pStyle w:val="135"/>
              <w:rPr>
                <w:rFonts w:hint="default" w:ascii="Times New Roman Regular" w:hAnsi="Times New Roman Regular" w:eastAsia="宋体" w:cs="Times New Roman Regular"/>
                <w:color w:val="auto"/>
              </w:rPr>
            </w:pPr>
            <w:r>
              <w:rPr>
                <w:rFonts w:hint="default" w:ascii="Times New Roman Regular" w:hAnsi="Times New Roman Regular" w:eastAsia="宋体" w:cs="Times New Roman Regular"/>
                <w:color w:val="auto"/>
              </w:rPr>
              <w:t>5</w:t>
            </w:r>
            <w:r>
              <w:rPr>
                <w:rFonts w:hint="default" w:ascii="Times New Roman Regular" w:hAnsi="Times New Roman Regular" w:cs="Times New Roman Regular"/>
                <w:color w:val="auto"/>
              </w:rPr>
              <w:t>4</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9</w:t>
            </w:r>
          </w:p>
        </w:tc>
        <w:tc>
          <w:tcPr>
            <w:tcW w:w="1966" w:type="dxa"/>
            <w:vAlign w:val="center"/>
          </w:tcPr>
          <w:p>
            <w:pPr>
              <w:pStyle w:val="135"/>
              <w:rPr>
                <w:rFonts w:hint="default" w:ascii="Times New Roman Regular" w:hAnsi="Times New Roman Regular" w:eastAsia="宋体" w:cs="Times New Roman Regular"/>
                <w:color w:val="auto"/>
              </w:rPr>
            </w:pPr>
            <w:r>
              <w:rPr>
                <w:rFonts w:hint="default" w:ascii="Times New Roman Regular" w:hAnsi="Times New Roman Regular" w:eastAsia="宋体" w:cs="Times New Roman Regular"/>
                <w:color w:val="auto"/>
              </w:rPr>
              <w:t>4</w:t>
            </w:r>
            <w:r>
              <w:rPr>
                <w:rFonts w:hint="default" w:ascii="Times New Roman Regular" w:hAnsi="Times New Roman Regular" w:cs="Times New Roman Regular"/>
                <w:color w:val="auto"/>
              </w:rPr>
              <w:t>4</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0" w:type="dxa"/>
            <w:vAlign w:val="center"/>
          </w:tcPr>
          <w:p>
            <w:pPr>
              <w:pStyle w:val="135"/>
              <w:rPr>
                <w:rFonts w:hint="default" w:ascii="Times New Roman Regular" w:hAnsi="Times New Roman Regular" w:cs="Times New Roman Regular"/>
                <w:color w:val="auto"/>
              </w:rPr>
            </w:pPr>
            <w:bookmarkStart w:id="136" w:name="_Toc30683"/>
            <w:bookmarkStart w:id="137" w:name="_Toc7961"/>
            <w:r>
              <w:rPr>
                <w:rFonts w:hint="default" w:ascii="Times New Roman Regular" w:hAnsi="Times New Roman Regular" w:cs="Times New Roman Regular"/>
                <w:color w:val="auto"/>
              </w:rPr>
              <w:t>N4</w:t>
            </w:r>
            <w:bookmarkEnd w:id="136"/>
            <w:bookmarkEnd w:id="137"/>
          </w:p>
        </w:tc>
        <w:tc>
          <w:tcPr>
            <w:tcW w:w="2935" w:type="dxa"/>
            <w:vAlign w:val="center"/>
          </w:tcPr>
          <w:p>
            <w:pPr>
              <w:pStyle w:val="135"/>
              <w:rPr>
                <w:rFonts w:hint="default" w:ascii="Times New Roman Regular" w:hAnsi="Times New Roman Regular" w:cs="Times New Roman Regular"/>
                <w:color w:val="auto"/>
              </w:rPr>
            </w:pPr>
            <w:bookmarkStart w:id="138" w:name="_Toc25263"/>
            <w:bookmarkStart w:id="139" w:name="_Toc12067"/>
            <w:r>
              <w:rPr>
                <w:rFonts w:hint="default" w:ascii="Times New Roman Regular" w:hAnsi="Times New Roman Regular" w:cs="Times New Roman Regular"/>
                <w:color w:val="auto"/>
              </w:rPr>
              <w:t>项目东厂界</w:t>
            </w:r>
            <w:bookmarkEnd w:id="138"/>
            <w:bookmarkEnd w:id="139"/>
          </w:p>
        </w:tc>
        <w:tc>
          <w:tcPr>
            <w:tcW w:w="1987" w:type="dxa"/>
            <w:vAlign w:val="center"/>
          </w:tcPr>
          <w:p>
            <w:pPr>
              <w:pStyle w:val="135"/>
              <w:rPr>
                <w:rFonts w:hint="default" w:ascii="Times New Roman Regular" w:hAnsi="Times New Roman Regular" w:eastAsia="宋体" w:cs="Times New Roman Regular"/>
                <w:color w:val="auto"/>
              </w:rPr>
            </w:pPr>
            <w:r>
              <w:rPr>
                <w:rFonts w:hint="default" w:ascii="Times New Roman Regular" w:hAnsi="Times New Roman Regular" w:eastAsia="宋体" w:cs="Times New Roman Regular"/>
                <w:color w:val="auto"/>
              </w:rPr>
              <w:t>5</w:t>
            </w:r>
            <w:r>
              <w:rPr>
                <w:rFonts w:hint="default" w:ascii="Times New Roman Regular" w:hAnsi="Times New Roman Regular" w:cs="Times New Roman Regular"/>
                <w:color w:val="auto"/>
              </w:rPr>
              <w:t>5</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5</w:t>
            </w:r>
          </w:p>
        </w:tc>
        <w:tc>
          <w:tcPr>
            <w:tcW w:w="1966" w:type="dxa"/>
            <w:vAlign w:val="center"/>
          </w:tcPr>
          <w:p>
            <w:pPr>
              <w:pStyle w:val="135"/>
              <w:rPr>
                <w:rFonts w:hint="default" w:ascii="Times New Roman Regular" w:hAnsi="Times New Roman Regular" w:eastAsia="宋体" w:cs="Times New Roman Regular"/>
                <w:color w:val="auto"/>
              </w:rPr>
            </w:pPr>
            <w:r>
              <w:rPr>
                <w:rFonts w:hint="default" w:ascii="Times New Roman Regular" w:hAnsi="Times New Roman Regular" w:eastAsia="宋体" w:cs="Times New Roman Regular"/>
                <w:color w:val="auto"/>
              </w:rPr>
              <w:t>4</w:t>
            </w:r>
            <w:r>
              <w:rPr>
                <w:rFonts w:hint="default" w:ascii="Times New Roman Regular" w:hAnsi="Times New Roman Regular" w:cs="Times New Roman Regular"/>
                <w:color w:val="auto"/>
              </w:rPr>
              <w:t>4</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2</w:t>
            </w:r>
          </w:p>
        </w:tc>
      </w:tr>
    </w:tbl>
    <w:p>
      <w:pPr>
        <w:pStyle w:val="3"/>
        <w:bidi w:val="0"/>
        <w:outlineLvl w:val="0"/>
        <w:rPr>
          <w:rFonts w:hint="default"/>
        </w:rPr>
      </w:pPr>
      <w:bookmarkStart w:id="140" w:name="_Toc186449688"/>
      <w:bookmarkStart w:id="141" w:name="_Toc47618311"/>
      <w:bookmarkStart w:id="142" w:name="_Toc45828046_WPSOffice_Level1"/>
      <w:r>
        <w:rPr>
          <w:rFonts w:hint="default"/>
        </w:rPr>
        <w:t>主要环境影响和环境保护目标</w:t>
      </w:r>
      <w:bookmarkEnd w:id="140"/>
      <w:bookmarkEnd w:id="141"/>
      <w:bookmarkEnd w:id="142"/>
    </w:p>
    <w:p>
      <w:pPr>
        <w:pStyle w:val="4"/>
        <w:keepNext/>
        <w:keepLines/>
        <w:widowControl w:val="0"/>
        <w:spacing w:before="163" w:beforeLines="50" w:after="163" w:afterLines="50"/>
        <w:outlineLvl w:val="1"/>
        <w:rPr>
          <w:rFonts w:hint="default" w:ascii="Times New Roman Regular" w:hAnsi="Times New Roman Regular" w:cs="Times New Roman Regular"/>
          <w:bCs w:val="0"/>
          <w:color w:val="auto"/>
          <w:kern w:val="2"/>
        </w:rPr>
      </w:pPr>
      <w:bookmarkStart w:id="143" w:name="_Toc47618312"/>
      <w:bookmarkStart w:id="144" w:name="_Toc995182173_WPSOffice_Level2"/>
      <w:bookmarkStart w:id="145" w:name="_Toc481265243"/>
      <w:r>
        <w:rPr>
          <w:rFonts w:hint="default" w:ascii="Times New Roman Regular" w:hAnsi="Times New Roman Regular" w:cs="Times New Roman Regular"/>
          <w:bCs w:val="0"/>
          <w:color w:val="auto"/>
          <w:kern w:val="2"/>
        </w:rPr>
        <w:t>4.1 主要环境</w:t>
      </w:r>
      <w:bookmarkEnd w:id="143"/>
      <w:r>
        <w:rPr>
          <w:rFonts w:hint="default" w:ascii="Times New Roman Regular" w:hAnsi="Times New Roman Regular" w:cs="Times New Roman Regular"/>
          <w:bCs w:val="0"/>
          <w:color w:val="auto"/>
          <w:kern w:val="2"/>
        </w:rPr>
        <w:t>影响</w:t>
      </w:r>
      <w:bookmarkEnd w:id="144"/>
      <w:bookmarkEnd w:id="145"/>
    </w:p>
    <w:p>
      <w:pPr>
        <w:tabs>
          <w:tab w:val="left" w:pos="6120"/>
        </w:tabs>
        <w:snapToGrid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（1）项目运营期员工</w:t>
      </w:r>
      <w:r>
        <w:rPr>
          <w:rFonts w:hint="default" w:ascii="Times New Roman Regular" w:hAnsi="Times New Roman Regular" w:cs="Times New Roman Regular"/>
          <w:color w:val="auto"/>
          <w:lang w:val="en-US" w:eastAsia="zh-Hans"/>
        </w:rPr>
        <w:t>生</w:t>
      </w:r>
      <w:r>
        <w:rPr>
          <w:rFonts w:hint="default" w:ascii="Times New Roman Regular" w:hAnsi="Times New Roman Regular" w:cs="Times New Roman Regular"/>
          <w:color w:val="auto"/>
        </w:rPr>
        <w:t>活污水对周边</w:t>
      </w:r>
      <w:r>
        <w:rPr>
          <w:rFonts w:hint="default" w:ascii="Times New Roman Regular" w:hAnsi="Times New Roman Regular" w:cs="Times New Roman Regular"/>
          <w:color w:val="auto"/>
          <w:lang w:val="en-US" w:eastAsia="zh-Hans"/>
        </w:rPr>
        <w:t>水体</w:t>
      </w:r>
      <w:r>
        <w:rPr>
          <w:rFonts w:hint="default" w:ascii="Times New Roman Regular" w:hAnsi="Times New Roman Regular" w:cs="Times New Roman Regular"/>
          <w:color w:val="auto"/>
        </w:rPr>
        <w:t>环境的影响。</w:t>
      </w:r>
    </w:p>
    <w:p>
      <w:pPr>
        <w:tabs>
          <w:tab w:val="left" w:pos="6120"/>
        </w:tabs>
        <w:snapToGrid w:val="0"/>
        <w:ind w:firstLine="480" w:firstLineChars="200"/>
        <w:rPr>
          <w:rFonts w:hint="default"/>
        </w:rPr>
      </w:pPr>
      <w:r>
        <w:rPr>
          <w:rFonts w:hint="default" w:ascii="Times New Roman Regular" w:hAnsi="Times New Roman Regular" w:cs="Times New Roman Regular"/>
          <w:color w:val="auto"/>
        </w:rPr>
        <w:t>（2）项目运营期</w:t>
      </w:r>
      <w:r>
        <w:rPr>
          <w:rFonts w:hint="eastAsia" w:ascii="Times New Roman Regular" w:hAnsi="Times New Roman Regular" w:cs="Times New Roman Regular"/>
          <w:color w:val="auto"/>
          <w:lang w:val="en-US" w:eastAsia="zh-Hans"/>
        </w:rPr>
        <w:t>废气</w:t>
      </w:r>
      <w:r>
        <w:rPr>
          <w:rFonts w:hint="default" w:ascii="Times New Roman Regular" w:hAnsi="Times New Roman Regular" w:cs="Times New Roman Regular"/>
          <w:color w:val="auto"/>
        </w:rPr>
        <w:t>对周边声环境敏感目标的影响。</w:t>
      </w:r>
    </w:p>
    <w:p>
      <w:pPr>
        <w:tabs>
          <w:tab w:val="left" w:pos="6120"/>
        </w:tabs>
        <w:snapToGrid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（3）项目运营期</w:t>
      </w:r>
      <w:r>
        <w:rPr>
          <w:rFonts w:hint="default" w:ascii="Times New Roman Regular" w:hAnsi="Times New Roman Regular" w:cs="Times New Roman Regular"/>
          <w:color w:val="auto"/>
          <w:lang w:val="en-US" w:eastAsia="zh-Hans"/>
        </w:rPr>
        <w:t>设备运行</w:t>
      </w:r>
      <w:r>
        <w:rPr>
          <w:rFonts w:hint="default" w:ascii="Times New Roman Regular" w:hAnsi="Times New Roman Regular" w:cs="Times New Roman Regular"/>
          <w:color w:val="auto"/>
        </w:rPr>
        <w:t>产生的噪声对周边声环境敏感目标的影响。</w:t>
      </w:r>
    </w:p>
    <w:p>
      <w:pPr>
        <w:tabs>
          <w:tab w:val="left" w:pos="6120"/>
        </w:tabs>
        <w:snapToGrid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（4）项目运营期产生的</w:t>
      </w:r>
      <w:r>
        <w:rPr>
          <w:rFonts w:hint="default" w:ascii="Times New Roman Regular" w:hAnsi="Times New Roman Regular" w:cs="Times New Roman Regular"/>
          <w:color w:val="auto"/>
          <w:lang w:val="en-US" w:eastAsia="zh-Hans"/>
        </w:rPr>
        <w:t>生活垃圾</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rPr>
        <w:t>固体废物对周围环境的影响。</w:t>
      </w:r>
    </w:p>
    <w:p>
      <w:pPr>
        <w:pStyle w:val="4"/>
        <w:keepNext/>
        <w:keepLines/>
        <w:widowControl w:val="0"/>
        <w:spacing w:before="163" w:beforeLines="50" w:after="163" w:afterLines="50"/>
        <w:outlineLvl w:val="1"/>
        <w:rPr>
          <w:rFonts w:hint="default" w:ascii="Times New Roman Regular" w:hAnsi="Times New Roman Regular" w:cs="Times New Roman Regular"/>
          <w:bCs w:val="0"/>
          <w:color w:val="auto"/>
          <w:kern w:val="2"/>
        </w:rPr>
      </w:pPr>
      <w:bookmarkStart w:id="146" w:name="_Toc1201524499"/>
      <w:bookmarkStart w:id="147" w:name="_Toc47618313"/>
      <w:bookmarkStart w:id="148" w:name="_Toc1424138775_WPSOffice_Level2"/>
      <w:r>
        <w:rPr>
          <w:rFonts w:hint="default" w:ascii="Times New Roman Regular" w:hAnsi="Times New Roman Regular" w:cs="Times New Roman Regular"/>
          <w:bCs w:val="0"/>
          <w:color w:val="auto"/>
          <w:kern w:val="2"/>
        </w:rPr>
        <w:t>4.2 主要环境保护目标</w:t>
      </w:r>
      <w:bookmarkEnd w:id="146"/>
      <w:bookmarkEnd w:id="147"/>
      <w:bookmarkEnd w:id="148"/>
    </w:p>
    <w:p>
      <w:pPr>
        <w:spacing w:line="480" w:lineRule="exact"/>
        <w:ind w:firstLine="480" w:firstLineChars="200"/>
        <w:rPr>
          <w:rFonts w:hint="default" w:ascii="Times New Roman Regular" w:hAnsi="Times New Roman Regular" w:cs="Times New Roman Regular"/>
          <w:color w:val="auto"/>
        </w:rPr>
      </w:pPr>
      <w:bookmarkStart w:id="149" w:name="_Toc47618314"/>
      <w:r>
        <w:rPr>
          <w:rFonts w:hint="default" w:ascii="Times New Roman Regular" w:hAnsi="Times New Roman Regular" w:cs="Times New Roman Regular"/>
          <w:color w:val="auto"/>
        </w:rPr>
        <w:t>项目位于</w:t>
      </w:r>
      <w:r>
        <w:rPr>
          <w:rFonts w:hint="default" w:ascii="Times New Roman Regular" w:hAnsi="Times New Roman Regular" w:cs="Times New Roman Regular"/>
          <w:color w:val="auto"/>
          <w:lang w:val="en-US" w:eastAsia="zh-Hans"/>
        </w:rPr>
        <w:t>青口投资</w:t>
      </w:r>
      <w:r>
        <w:rPr>
          <w:rFonts w:hint="default" w:ascii="Times New Roman Regular" w:hAnsi="Times New Roman Regular" w:cs="Times New Roman Regular"/>
          <w:color w:val="auto"/>
        </w:rPr>
        <w:t>区。项目周边主要环境保护对象和保护目标见表4.2-1。</w:t>
      </w:r>
    </w:p>
    <w:p>
      <w:pPr>
        <w:jc w:val="center"/>
        <w:rPr>
          <w:rFonts w:hint="default" w:ascii="Times New Roman Regular" w:hAnsi="Times New Roman Regular" w:cs="Times New Roman Regular"/>
          <w:color w:val="auto"/>
        </w:rPr>
      </w:pPr>
      <w:r>
        <w:rPr>
          <w:rFonts w:hint="default" w:ascii="Times New Roman Regular" w:hAnsi="Times New Roman Regular" w:cs="Times New Roman Regular"/>
          <w:b/>
          <w:color w:val="auto"/>
        </w:rPr>
        <w:t>表4.2-1  项目周边环境保护目标与项目所在地方位关系一览表</w:t>
      </w:r>
    </w:p>
    <w:tbl>
      <w:tblPr>
        <w:tblStyle w:val="36"/>
        <w:tblW w:w="4997" w:type="pct"/>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957"/>
        <w:gridCol w:w="1615"/>
        <w:gridCol w:w="997"/>
        <w:gridCol w:w="799"/>
        <w:gridCol w:w="1014"/>
        <w:gridCol w:w="883"/>
        <w:gridCol w:w="2240"/>
        <w:gridCol w:w="12"/>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gridAfter w:val="1"/>
          <w:wAfter w:w="7" w:type="pct"/>
          <w:cantSplit/>
          <w:trHeight w:val="340" w:hRule="atLeast"/>
        </w:trPr>
        <w:tc>
          <w:tcPr>
            <w:tcW w:w="562"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环境</w:t>
            </w:r>
          </w:p>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因素</w:t>
            </w:r>
          </w:p>
        </w:tc>
        <w:tc>
          <w:tcPr>
            <w:tcW w:w="948" w:type="pct"/>
            <w:tcBorders>
              <w:right w:val="single" w:color="auto" w:sz="4" w:space="0"/>
            </w:tcBorders>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主要环境保护目标</w:t>
            </w:r>
          </w:p>
        </w:tc>
        <w:tc>
          <w:tcPr>
            <w:tcW w:w="585" w:type="pct"/>
            <w:tcBorders>
              <w:left w:val="single" w:color="auto" w:sz="4" w:space="0"/>
            </w:tcBorders>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与项目相对位置</w:t>
            </w:r>
          </w:p>
        </w:tc>
        <w:tc>
          <w:tcPr>
            <w:tcW w:w="469"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距离</w:t>
            </w:r>
          </w:p>
        </w:tc>
        <w:tc>
          <w:tcPr>
            <w:tcW w:w="595"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规模</w:t>
            </w:r>
          </w:p>
        </w:tc>
        <w:tc>
          <w:tcPr>
            <w:tcW w:w="517"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性质</w:t>
            </w:r>
          </w:p>
        </w:tc>
        <w:tc>
          <w:tcPr>
            <w:tcW w:w="1315"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环境保护要求</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gridAfter w:val="1"/>
          <w:wAfter w:w="7" w:type="pct"/>
          <w:cantSplit/>
          <w:trHeight w:val="340" w:hRule="atLeast"/>
        </w:trPr>
        <w:tc>
          <w:tcPr>
            <w:tcW w:w="562"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水环境</w:t>
            </w:r>
          </w:p>
        </w:tc>
        <w:tc>
          <w:tcPr>
            <w:tcW w:w="948" w:type="pct"/>
            <w:tcBorders>
              <w:right w:val="single" w:color="auto" w:sz="4" w:space="0"/>
            </w:tcBorders>
            <w:vAlign w:val="center"/>
          </w:tcPr>
          <w:p>
            <w:pPr>
              <w:pStyle w:val="153"/>
              <w:rPr>
                <w:rFonts w:hint="default" w:ascii="Times New Roman Regular" w:hAnsi="Times New Roman Regular" w:eastAsia="宋体" w:cs="Times New Roman Regular"/>
                <w:color w:val="auto"/>
                <w:lang w:val="en-US" w:eastAsia="zh-Hans"/>
              </w:rPr>
            </w:pPr>
            <w:r>
              <w:rPr>
                <w:rFonts w:hint="default" w:ascii="Times New Roman Regular" w:hAnsi="Times New Roman Regular" w:cs="Times New Roman Regular"/>
                <w:color w:val="auto"/>
                <w:lang w:val="en-US" w:eastAsia="zh-Hans"/>
              </w:rPr>
              <w:t>淘江</w:t>
            </w:r>
          </w:p>
        </w:tc>
        <w:tc>
          <w:tcPr>
            <w:tcW w:w="585" w:type="pct"/>
            <w:tcBorders>
              <w:left w:val="single" w:color="auto" w:sz="4" w:space="0"/>
            </w:tcBorders>
            <w:vAlign w:val="center"/>
          </w:tcPr>
          <w:p>
            <w:pPr>
              <w:pStyle w:val="153"/>
              <w:rPr>
                <w:rFonts w:hint="default" w:ascii="Times New Roman Regular" w:hAnsi="Times New Roman Regular" w:cs="Times New Roman Regular"/>
                <w:color w:val="auto"/>
                <w:lang w:val="en-US"/>
              </w:rPr>
            </w:pPr>
            <w:r>
              <w:rPr>
                <w:rFonts w:hint="default" w:ascii="Times New Roman Regular" w:hAnsi="Times New Roman Regular" w:cs="Times New Roman Regular"/>
                <w:color w:val="auto"/>
                <w:lang w:val="en-US" w:eastAsia="zh-Hans"/>
              </w:rPr>
              <w:t>西</w:t>
            </w:r>
            <w:r>
              <w:rPr>
                <w:rFonts w:hint="default" w:ascii="Times New Roman Regular" w:hAnsi="Times New Roman Regular" w:cs="Times New Roman Regular"/>
                <w:color w:val="auto"/>
                <w:lang w:val="en-US"/>
              </w:rPr>
              <w:t>侧</w:t>
            </w:r>
          </w:p>
        </w:tc>
        <w:tc>
          <w:tcPr>
            <w:tcW w:w="469" w:type="pct"/>
            <w:vAlign w:val="center"/>
          </w:tcPr>
          <w:p>
            <w:pPr>
              <w:pStyle w:val="153"/>
              <w:rPr>
                <w:rFonts w:hint="default" w:ascii="Times New Roman Regular" w:hAnsi="Times New Roman Regular" w:cs="Times New Roman Regular"/>
                <w:color w:val="auto"/>
                <w:lang w:val="en-US"/>
              </w:rPr>
            </w:pPr>
            <w:r>
              <w:rPr>
                <w:rFonts w:hint="default" w:ascii="Times New Roman Regular" w:hAnsi="Times New Roman Regular" w:cs="Times New Roman Regular"/>
                <w:color w:val="auto"/>
              </w:rPr>
              <w:t>454</w:t>
            </w:r>
            <w:r>
              <w:rPr>
                <w:rFonts w:hint="default" w:ascii="Times New Roman Regular" w:hAnsi="Times New Roman Regular" w:cs="Times New Roman Regular"/>
                <w:color w:val="auto"/>
                <w:lang w:val="en-US"/>
              </w:rPr>
              <w:t>m</w:t>
            </w:r>
          </w:p>
        </w:tc>
        <w:tc>
          <w:tcPr>
            <w:tcW w:w="595"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w:t>
            </w:r>
          </w:p>
        </w:tc>
        <w:tc>
          <w:tcPr>
            <w:tcW w:w="517" w:type="pct"/>
            <w:vAlign w:val="center"/>
          </w:tcPr>
          <w:p>
            <w:pPr>
              <w:pStyle w:val="153"/>
              <w:rPr>
                <w:rFonts w:hint="default" w:ascii="Times New Roman Regular" w:hAnsi="Times New Roman Regular" w:eastAsia="宋体" w:cs="Times New Roman Regular"/>
                <w:color w:val="auto"/>
                <w:lang w:val="en-US" w:eastAsia="zh-Hans"/>
              </w:rPr>
            </w:pPr>
            <w:r>
              <w:rPr>
                <w:rFonts w:hint="default" w:ascii="Times New Roman Regular" w:hAnsi="Times New Roman Regular" w:cs="Times New Roman Regular"/>
                <w:color w:val="auto"/>
                <w:lang w:val="en-US" w:eastAsia="zh-Hans"/>
              </w:rPr>
              <w:t>河流</w:t>
            </w:r>
          </w:p>
        </w:tc>
        <w:tc>
          <w:tcPr>
            <w:tcW w:w="1315"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《地表水环境质量标准》（GB3838-2002）V类水质标准</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gridAfter w:val="1"/>
          <w:wAfter w:w="7" w:type="pct"/>
          <w:cantSplit/>
          <w:trHeight w:val="340" w:hRule="atLeast"/>
        </w:trPr>
        <w:tc>
          <w:tcPr>
            <w:tcW w:w="562" w:type="pct"/>
            <w:vMerge w:val="restar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大气</w:t>
            </w:r>
          </w:p>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环境</w:t>
            </w:r>
          </w:p>
        </w:tc>
        <w:tc>
          <w:tcPr>
            <w:tcW w:w="948" w:type="pct"/>
            <w:tcBorders>
              <w:right w:val="single" w:color="auto" w:sz="4" w:space="0"/>
            </w:tcBorders>
            <w:vAlign w:val="center"/>
          </w:tcPr>
          <w:p>
            <w:pPr>
              <w:pStyle w:val="153"/>
              <w:rPr>
                <w:rFonts w:hint="default" w:ascii="Times New Roman Regular" w:hAnsi="Times New Roman Regular" w:eastAsia="宋体" w:cs="Times New Roman Regular"/>
                <w:color w:val="auto"/>
                <w:lang w:val="en-US" w:eastAsia="zh-Hans"/>
              </w:rPr>
            </w:pPr>
            <w:r>
              <w:rPr>
                <w:rFonts w:hint="default" w:ascii="Times New Roman Regular" w:hAnsi="Times New Roman Regular" w:cs="Times New Roman Regular"/>
                <w:color w:val="auto"/>
                <w:lang w:val="en-US" w:eastAsia="zh-Hans"/>
              </w:rPr>
              <w:t>长楼村</w:t>
            </w:r>
          </w:p>
        </w:tc>
        <w:tc>
          <w:tcPr>
            <w:tcW w:w="585" w:type="pct"/>
            <w:tcBorders>
              <w:left w:val="single" w:color="auto" w:sz="4" w:space="0"/>
            </w:tcBorders>
            <w:vAlign w:val="center"/>
          </w:tcPr>
          <w:p>
            <w:pPr>
              <w:pStyle w:val="153"/>
              <w:rPr>
                <w:rFonts w:hint="default" w:ascii="Times New Roman Regular" w:hAnsi="Times New Roman Regular" w:cs="Times New Roman Regular"/>
                <w:color w:val="auto"/>
                <w:lang w:val="en-US"/>
              </w:rPr>
            </w:pPr>
            <w:r>
              <w:rPr>
                <w:rFonts w:hint="default" w:ascii="Times New Roman Regular" w:hAnsi="Times New Roman Regular" w:cs="Times New Roman Regular"/>
                <w:color w:val="auto"/>
                <w:lang w:val="en-US"/>
              </w:rPr>
              <w:t>西</w:t>
            </w:r>
            <w:r>
              <w:rPr>
                <w:rFonts w:hint="default" w:ascii="Times New Roman Regular" w:hAnsi="Times New Roman Regular" w:cs="Times New Roman Regular"/>
                <w:color w:val="auto"/>
                <w:lang w:val="en-US" w:eastAsia="zh-Hans"/>
              </w:rPr>
              <w:t>南</w:t>
            </w:r>
            <w:r>
              <w:rPr>
                <w:rFonts w:hint="default" w:ascii="Times New Roman Regular" w:hAnsi="Times New Roman Regular" w:cs="Times New Roman Regular"/>
                <w:color w:val="auto"/>
                <w:lang w:val="en-US"/>
              </w:rPr>
              <w:t>侧</w:t>
            </w:r>
          </w:p>
        </w:tc>
        <w:tc>
          <w:tcPr>
            <w:tcW w:w="469" w:type="pct"/>
            <w:vAlign w:val="center"/>
          </w:tcPr>
          <w:p>
            <w:pPr>
              <w:pStyle w:val="153"/>
              <w:rPr>
                <w:rFonts w:hint="default" w:ascii="Times New Roman Regular" w:hAnsi="Times New Roman Regular" w:cs="Times New Roman Regular"/>
                <w:color w:val="auto"/>
                <w:lang w:val="en-US"/>
              </w:rPr>
            </w:pPr>
            <w:r>
              <w:rPr>
                <w:rFonts w:hint="default" w:ascii="Times New Roman Regular" w:hAnsi="Times New Roman Regular" w:cs="Times New Roman Regular"/>
                <w:color w:val="auto"/>
              </w:rPr>
              <w:t>270</w:t>
            </w:r>
            <w:r>
              <w:rPr>
                <w:rFonts w:hint="default" w:ascii="Times New Roman Regular" w:hAnsi="Times New Roman Regular" w:cs="Times New Roman Regular"/>
                <w:color w:val="auto"/>
                <w:lang w:val="en-US"/>
              </w:rPr>
              <w:t>m</w:t>
            </w:r>
          </w:p>
        </w:tc>
        <w:tc>
          <w:tcPr>
            <w:tcW w:w="595"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752</w:t>
            </w:r>
            <w:r>
              <w:rPr>
                <w:rFonts w:hint="default" w:ascii="Times New Roman Regular" w:hAnsi="Times New Roman Regular" w:cs="Times New Roman Regular"/>
                <w:color w:val="auto"/>
                <w:lang w:val="en-US" w:eastAsia="zh-Hans"/>
              </w:rPr>
              <w:t>户</w:t>
            </w:r>
          </w:p>
        </w:tc>
        <w:tc>
          <w:tcPr>
            <w:tcW w:w="517" w:type="pct"/>
            <w:vMerge w:val="restar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居住区</w:t>
            </w:r>
          </w:p>
        </w:tc>
        <w:tc>
          <w:tcPr>
            <w:tcW w:w="1315" w:type="pct"/>
            <w:vMerge w:val="restar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《环境空气质量标准》(GB3095-2012)二级标准要求</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gridAfter w:val="1"/>
          <w:wAfter w:w="7" w:type="pct"/>
          <w:cantSplit/>
          <w:trHeight w:val="340" w:hRule="atLeast"/>
        </w:trPr>
        <w:tc>
          <w:tcPr>
            <w:tcW w:w="562" w:type="pct"/>
            <w:vMerge w:val="continue"/>
            <w:vAlign w:val="center"/>
          </w:tcPr>
          <w:p>
            <w:pPr>
              <w:pStyle w:val="153"/>
              <w:rPr>
                <w:rFonts w:hint="default" w:ascii="Times New Roman Regular" w:hAnsi="Times New Roman Regular" w:cs="Times New Roman Regular"/>
                <w:color w:val="auto"/>
              </w:rPr>
            </w:pPr>
          </w:p>
        </w:tc>
        <w:tc>
          <w:tcPr>
            <w:tcW w:w="948" w:type="pct"/>
            <w:tcBorders>
              <w:right w:val="single" w:color="auto" w:sz="4" w:space="0"/>
            </w:tcBorders>
            <w:vAlign w:val="center"/>
          </w:tcPr>
          <w:p>
            <w:pPr>
              <w:pStyle w:val="153"/>
              <w:rPr>
                <w:rFonts w:hint="default" w:ascii="Times New Roman Regular" w:hAnsi="Times New Roman Regular" w:eastAsia="宋体" w:cs="Times New Roman Regular"/>
                <w:color w:val="auto"/>
                <w:lang w:val="en-US" w:eastAsia="zh-Hans"/>
              </w:rPr>
            </w:pPr>
            <w:r>
              <w:rPr>
                <w:rFonts w:hint="default" w:ascii="Times New Roman Regular" w:hAnsi="Times New Roman Regular" w:cs="Times New Roman Regular"/>
                <w:color w:val="auto"/>
                <w:lang w:val="en-US" w:eastAsia="zh-Hans"/>
              </w:rPr>
              <w:t>溪东村</w:t>
            </w:r>
          </w:p>
        </w:tc>
        <w:tc>
          <w:tcPr>
            <w:tcW w:w="585" w:type="pct"/>
            <w:tcBorders>
              <w:left w:val="single" w:color="auto" w:sz="4" w:space="0"/>
            </w:tcBorders>
            <w:vAlign w:val="center"/>
          </w:tcPr>
          <w:p>
            <w:pPr>
              <w:pStyle w:val="153"/>
              <w:rPr>
                <w:rFonts w:hint="default" w:ascii="Times New Roman Regular" w:hAnsi="Times New Roman Regular" w:cs="Times New Roman Regular"/>
                <w:color w:val="auto"/>
                <w:lang w:val="en-US"/>
              </w:rPr>
            </w:pPr>
            <w:r>
              <w:rPr>
                <w:rFonts w:hint="default" w:ascii="Times New Roman Regular" w:hAnsi="Times New Roman Regular" w:cs="Times New Roman Regular"/>
                <w:color w:val="auto"/>
                <w:lang w:val="en-US" w:eastAsia="zh-Hans"/>
              </w:rPr>
              <w:t>东南</w:t>
            </w:r>
            <w:r>
              <w:rPr>
                <w:rFonts w:hint="default" w:ascii="Times New Roman Regular" w:hAnsi="Times New Roman Regular" w:cs="Times New Roman Regular"/>
                <w:color w:val="auto"/>
                <w:lang w:val="en-US"/>
              </w:rPr>
              <w:t>侧</w:t>
            </w:r>
          </w:p>
        </w:tc>
        <w:tc>
          <w:tcPr>
            <w:tcW w:w="469" w:type="pct"/>
            <w:vAlign w:val="center"/>
          </w:tcPr>
          <w:p>
            <w:pPr>
              <w:pStyle w:val="153"/>
              <w:rPr>
                <w:rFonts w:hint="default" w:ascii="Times New Roman Regular" w:hAnsi="Times New Roman Regular" w:cs="Times New Roman Regular"/>
                <w:color w:val="auto"/>
                <w:lang w:val="en-US"/>
              </w:rPr>
            </w:pPr>
            <w:r>
              <w:rPr>
                <w:rFonts w:hint="default" w:ascii="Times New Roman Regular" w:hAnsi="Times New Roman Regular" w:cs="Times New Roman Regular"/>
                <w:color w:val="auto"/>
              </w:rPr>
              <w:t>300</w:t>
            </w:r>
            <w:r>
              <w:rPr>
                <w:rFonts w:hint="default" w:ascii="Times New Roman Regular" w:hAnsi="Times New Roman Regular" w:cs="Times New Roman Regular"/>
                <w:color w:val="auto"/>
                <w:lang w:val="en-US"/>
              </w:rPr>
              <w:t>m</w:t>
            </w:r>
          </w:p>
        </w:tc>
        <w:tc>
          <w:tcPr>
            <w:tcW w:w="595" w:type="pct"/>
            <w:vAlign w:val="center"/>
          </w:tcPr>
          <w:p>
            <w:pPr>
              <w:pStyle w:val="153"/>
              <w:rPr>
                <w:rFonts w:hint="default" w:ascii="Times New Roman Regular" w:hAnsi="Times New Roman Regular" w:cs="Times New Roman Regular"/>
                <w:color w:val="auto"/>
                <w:lang w:val="en-US"/>
              </w:rPr>
            </w:pPr>
            <w:r>
              <w:rPr>
                <w:rFonts w:hint="default" w:ascii="Times New Roman Regular" w:hAnsi="Times New Roman Regular" w:cs="Times New Roman Regular"/>
                <w:color w:val="auto"/>
              </w:rPr>
              <w:t>635</w:t>
            </w:r>
            <w:r>
              <w:rPr>
                <w:rFonts w:hint="default" w:ascii="Times New Roman Regular" w:hAnsi="Times New Roman Regular" w:cs="Times New Roman Regular"/>
                <w:color w:val="auto"/>
                <w:lang w:val="en-US"/>
              </w:rPr>
              <w:t>户</w:t>
            </w:r>
          </w:p>
        </w:tc>
        <w:tc>
          <w:tcPr>
            <w:tcW w:w="517" w:type="pct"/>
            <w:vMerge w:val="continue"/>
            <w:vAlign w:val="center"/>
          </w:tcPr>
          <w:p>
            <w:pPr>
              <w:pStyle w:val="153"/>
              <w:rPr>
                <w:rFonts w:hint="default" w:ascii="Times New Roman Regular" w:hAnsi="Times New Roman Regular" w:cs="Times New Roman Regular"/>
                <w:color w:val="auto"/>
              </w:rPr>
            </w:pPr>
          </w:p>
        </w:tc>
        <w:tc>
          <w:tcPr>
            <w:tcW w:w="1315" w:type="pct"/>
            <w:vMerge w:val="continue"/>
            <w:vAlign w:val="center"/>
          </w:tcPr>
          <w:p>
            <w:pPr>
              <w:pStyle w:val="153"/>
              <w:rPr>
                <w:rFonts w:hint="default" w:ascii="Times New Roman Regular" w:hAnsi="Times New Roman Regular" w:cs="Times New Roman Regular"/>
                <w:color w:val="auto"/>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trPr>
        <w:tc>
          <w:tcPr>
            <w:tcW w:w="562" w:type="pct"/>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声环境</w:t>
            </w:r>
          </w:p>
        </w:tc>
        <w:tc>
          <w:tcPr>
            <w:tcW w:w="3115" w:type="pct"/>
            <w:gridSpan w:val="5"/>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周边</w:t>
            </w:r>
            <w:r>
              <w:rPr>
                <w:rFonts w:hint="default" w:ascii="Times New Roman Regular" w:hAnsi="Times New Roman Regular" w:cs="Times New Roman Regular"/>
                <w:color w:val="auto"/>
                <w:lang w:val="en-US"/>
              </w:rPr>
              <w:t>200</w:t>
            </w:r>
            <w:r>
              <w:rPr>
                <w:rFonts w:hint="default" w:ascii="Times New Roman Regular" w:hAnsi="Times New Roman Regular" w:cs="Times New Roman Regular"/>
                <w:color w:val="auto"/>
              </w:rPr>
              <w:t>米半径区域范围内</w:t>
            </w:r>
          </w:p>
        </w:tc>
        <w:tc>
          <w:tcPr>
            <w:tcW w:w="1322" w:type="pct"/>
            <w:gridSpan w:val="2"/>
            <w:vAlign w:val="center"/>
          </w:tcPr>
          <w:p>
            <w:pPr>
              <w:pStyle w:val="153"/>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《声环境质量标准》（GB3096-2008）</w:t>
            </w:r>
            <w:r>
              <w:rPr>
                <w:rFonts w:hint="default" w:ascii="Times New Roman Regular" w:hAnsi="Times New Roman Regular" w:cs="Times New Roman Regular"/>
                <w:color w:val="auto"/>
                <w:lang w:val="en-US"/>
              </w:rPr>
              <w:t>3类标准</w:t>
            </w:r>
          </w:p>
        </w:tc>
      </w:tr>
    </w:tbl>
    <w:p>
      <w:pPr>
        <w:pStyle w:val="3"/>
        <w:bidi w:val="0"/>
        <w:outlineLvl w:val="0"/>
        <w:rPr>
          <w:rFonts w:hint="default"/>
        </w:rPr>
      </w:pPr>
      <w:bookmarkStart w:id="150" w:name="_Toc1233521952"/>
      <w:bookmarkStart w:id="151" w:name="_Toc1432823496_WPSOffice_Level1"/>
      <w:r>
        <w:rPr>
          <w:rFonts w:hint="default"/>
        </w:rPr>
        <w:t>工程分析</w:t>
      </w:r>
      <w:bookmarkEnd w:id="149"/>
      <w:bookmarkEnd w:id="150"/>
      <w:bookmarkEnd w:id="151"/>
    </w:p>
    <w:p>
      <w:pPr>
        <w:pStyle w:val="4"/>
        <w:keepNext/>
        <w:keepLines/>
        <w:widowControl w:val="0"/>
        <w:spacing w:before="163" w:beforeLines="50" w:after="163" w:afterLines="50"/>
        <w:outlineLvl w:val="1"/>
        <w:rPr>
          <w:rFonts w:hint="default" w:ascii="Times New Roman Regular" w:hAnsi="Times New Roman Regular" w:cs="Times New Roman Regular"/>
          <w:bCs w:val="0"/>
          <w:color w:val="auto"/>
          <w:kern w:val="2"/>
        </w:rPr>
      </w:pPr>
      <w:bookmarkStart w:id="152" w:name="_Toc47618315"/>
      <w:bookmarkStart w:id="153" w:name="_Toc1795145610_WPSOffice_Level2"/>
      <w:bookmarkStart w:id="154" w:name="_Toc2143802773"/>
      <w:r>
        <w:rPr>
          <w:rFonts w:hint="default" w:ascii="Times New Roman Regular" w:hAnsi="Times New Roman Regular" w:cs="Times New Roman Regular"/>
          <w:bCs w:val="0"/>
          <w:color w:val="auto"/>
          <w:kern w:val="2"/>
        </w:rPr>
        <w:t>5.1 项目概况</w:t>
      </w:r>
      <w:bookmarkEnd w:id="152"/>
      <w:bookmarkEnd w:id="153"/>
      <w:bookmarkEnd w:id="154"/>
    </w:p>
    <w:p>
      <w:pPr>
        <w:pStyle w:val="110"/>
        <w:spacing w:line="360" w:lineRule="auto"/>
        <w:ind w:firstLine="482" w:firstLineChars="200"/>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b/>
          <w:color w:val="auto"/>
          <w:sz w:val="24"/>
          <w:szCs w:val="24"/>
        </w:rPr>
        <w:t>项目名称</w:t>
      </w:r>
      <w:r>
        <w:rPr>
          <w:rFonts w:hint="default" w:ascii="Times New Roman Regular" w:hAnsi="Times New Roman Regular" w:eastAsia="宋体" w:cs="Times New Roman Regular"/>
          <w:color w:val="auto"/>
          <w:sz w:val="24"/>
          <w:szCs w:val="24"/>
        </w:rPr>
        <w:t>：福建欧玛克智能科技有限公司</w:t>
      </w:r>
      <w:r>
        <w:rPr>
          <w:rFonts w:hint="eastAsia" w:ascii="Times New Roman Regular" w:hAnsi="Times New Roman Regular" w:eastAsia="宋体" w:cs="Times New Roman Regular"/>
          <w:color w:val="auto"/>
          <w:sz w:val="24"/>
          <w:szCs w:val="24"/>
          <w:lang w:val="en-US" w:eastAsia="zh-Hans"/>
        </w:rPr>
        <w:t>机电设备制造项目</w:t>
      </w:r>
    </w:p>
    <w:p>
      <w:pPr>
        <w:pStyle w:val="110"/>
        <w:spacing w:line="360" w:lineRule="auto"/>
        <w:ind w:firstLine="482" w:firstLineChars="200"/>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b/>
          <w:color w:val="auto"/>
          <w:sz w:val="24"/>
          <w:szCs w:val="24"/>
        </w:rPr>
        <w:t>建设单位</w:t>
      </w:r>
      <w:r>
        <w:rPr>
          <w:rFonts w:hint="default" w:ascii="Times New Roman Regular" w:hAnsi="Times New Roman Regular" w:eastAsia="宋体" w:cs="Times New Roman Regular"/>
          <w:b w:val="0"/>
          <w:bCs w:val="0"/>
          <w:color w:val="auto"/>
          <w:sz w:val="24"/>
          <w:szCs w:val="24"/>
        </w:rPr>
        <w:t>：</w:t>
      </w:r>
      <w:r>
        <w:rPr>
          <w:rFonts w:hint="default" w:ascii="Times New Roman Regular" w:hAnsi="Times New Roman Regular" w:eastAsia="宋体" w:cs="Times New Roman Regular"/>
          <w:color w:val="auto"/>
          <w:sz w:val="24"/>
          <w:szCs w:val="24"/>
        </w:rPr>
        <w:t>福建欧玛克智能科技有限公司</w:t>
      </w:r>
    </w:p>
    <w:p>
      <w:pPr>
        <w:pStyle w:val="110"/>
        <w:spacing w:line="360" w:lineRule="auto"/>
        <w:ind w:firstLine="482" w:firstLineChars="200"/>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b/>
          <w:color w:val="auto"/>
          <w:sz w:val="24"/>
          <w:szCs w:val="24"/>
        </w:rPr>
        <w:t>建设地点</w:t>
      </w:r>
      <w:r>
        <w:rPr>
          <w:rFonts w:hint="default" w:ascii="Times New Roman Regular" w:hAnsi="Times New Roman Regular" w:eastAsia="宋体" w:cs="Times New Roman Regular"/>
          <w:color w:val="auto"/>
          <w:sz w:val="24"/>
          <w:szCs w:val="24"/>
        </w:rPr>
        <w:t>：</w:t>
      </w:r>
      <w:r>
        <w:rPr>
          <w:rFonts w:hint="default" w:ascii="Times New Roman Regular" w:hAnsi="Times New Roman Regular" w:eastAsia="宋体" w:cs="Times New Roman Regular"/>
          <w:color w:val="auto"/>
          <w:sz w:val="24"/>
          <w:szCs w:val="24"/>
          <w:lang w:val="en-US" w:eastAsia="zh-Hans"/>
        </w:rPr>
        <w:t>闽侯县青口镇东长路</w:t>
      </w:r>
      <w:r>
        <w:rPr>
          <w:rFonts w:hint="default" w:ascii="Times New Roman Regular" w:hAnsi="Times New Roman Regular" w:eastAsia="宋体" w:cs="Times New Roman Regular"/>
          <w:color w:val="auto"/>
          <w:sz w:val="24"/>
          <w:szCs w:val="24"/>
          <w:lang w:eastAsia="zh-Hans"/>
        </w:rPr>
        <w:t>8-7</w:t>
      </w:r>
      <w:r>
        <w:rPr>
          <w:rFonts w:hint="default" w:ascii="Times New Roman Regular" w:hAnsi="Times New Roman Regular" w:eastAsia="宋体" w:cs="Times New Roman Regular"/>
          <w:color w:val="auto"/>
          <w:sz w:val="24"/>
          <w:szCs w:val="24"/>
          <w:lang w:val="en-US" w:eastAsia="zh-Hans"/>
        </w:rPr>
        <w:t>号</w:t>
      </w:r>
      <w:r>
        <w:rPr>
          <w:rFonts w:hint="default" w:ascii="Times New Roman Regular" w:hAnsi="Times New Roman Regular" w:eastAsia="宋体" w:cs="Times New Roman Regular"/>
          <w:color w:val="auto"/>
          <w:sz w:val="24"/>
          <w:szCs w:val="24"/>
          <w:lang w:eastAsia="zh-Hans"/>
        </w:rPr>
        <w:t>6#</w:t>
      </w:r>
      <w:r>
        <w:rPr>
          <w:rFonts w:hint="default" w:ascii="Times New Roman Regular" w:hAnsi="Times New Roman Regular" w:eastAsia="宋体" w:cs="Times New Roman Regular"/>
          <w:color w:val="auto"/>
          <w:sz w:val="24"/>
          <w:szCs w:val="24"/>
          <w:lang w:val="en-US" w:eastAsia="zh-Hans"/>
        </w:rPr>
        <w:t>厂房</w:t>
      </w:r>
    </w:p>
    <w:p>
      <w:pPr>
        <w:pStyle w:val="110"/>
        <w:spacing w:line="360" w:lineRule="auto"/>
        <w:ind w:firstLine="482" w:firstLineChars="200"/>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b/>
          <w:color w:val="auto"/>
          <w:sz w:val="24"/>
          <w:szCs w:val="24"/>
        </w:rPr>
        <w:t>建设性质</w:t>
      </w:r>
      <w:r>
        <w:rPr>
          <w:rFonts w:hint="default" w:ascii="Times New Roman Regular" w:hAnsi="Times New Roman Regular" w:eastAsia="宋体" w:cs="Times New Roman Regular"/>
          <w:color w:val="auto"/>
          <w:sz w:val="24"/>
          <w:szCs w:val="24"/>
        </w:rPr>
        <w:t>：</w:t>
      </w:r>
      <w:r>
        <w:rPr>
          <w:rFonts w:hint="eastAsia" w:ascii="Times New Roman Regular" w:hAnsi="Times New Roman Regular" w:eastAsia="宋体" w:cs="Times New Roman Regular"/>
          <w:color w:val="auto"/>
          <w:sz w:val="24"/>
          <w:szCs w:val="24"/>
          <w:lang w:val="en-US" w:eastAsia="zh-Hans"/>
        </w:rPr>
        <w:t>新</w:t>
      </w:r>
      <w:r>
        <w:rPr>
          <w:rFonts w:hint="default" w:ascii="Times New Roman Regular" w:hAnsi="Times New Roman Regular" w:eastAsia="宋体" w:cs="Times New Roman Regular"/>
          <w:color w:val="auto"/>
          <w:sz w:val="24"/>
          <w:szCs w:val="24"/>
          <w:lang w:val="en-US" w:eastAsia="zh-Hans"/>
        </w:rPr>
        <w:t>建</w:t>
      </w:r>
    </w:p>
    <w:p>
      <w:pPr>
        <w:pStyle w:val="110"/>
        <w:spacing w:line="360" w:lineRule="auto"/>
        <w:ind w:firstLine="482" w:firstLineChars="200"/>
        <w:rPr>
          <w:rFonts w:hint="default" w:ascii="Times New Roman Regular" w:hAnsi="Times New Roman Regular" w:eastAsia="宋体" w:cs="Times New Roman Regular"/>
          <w:color w:val="auto"/>
          <w:sz w:val="24"/>
          <w:szCs w:val="24"/>
          <w:vertAlign w:val="superscript"/>
        </w:rPr>
      </w:pPr>
      <w:r>
        <w:rPr>
          <w:rFonts w:hint="default" w:ascii="Times New Roman Regular" w:hAnsi="Times New Roman Regular" w:eastAsia="宋体" w:cs="Times New Roman Regular"/>
          <w:b/>
          <w:color w:val="auto"/>
          <w:sz w:val="24"/>
          <w:szCs w:val="24"/>
        </w:rPr>
        <w:t>建设规模</w:t>
      </w:r>
      <w:r>
        <w:rPr>
          <w:rFonts w:hint="default" w:ascii="Times New Roman Regular" w:hAnsi="Times New Roman Regular" w:eastAsia="宋体" w:cs="Times New Roman Regular"/>
          <w:color w:val="auto"/>
          <w:sz w:val="24"/>
          <w:szCs w:val="24"/>
        </w:rPr>
        <w:t>：</w:t>
      </w:r>
      <w:r>
        <w:rPr>
          <w:rFonts w:hint="default" w:ascii="Times New Roman Regular" w:hAnsi="Times New Roman Regular" w:eastAsia="宋体" w:cs="Times New Roman Regular"/>
          <w:color w:val="auto"/>
          <w:sz w:val="24"/>
          <w:szCs w:val="24"/>
          <w:lang w:val="en-US" w:eastAsia="zh-Hans"/>
        </w:rPr>
        <w:t>建筑</w:t>
      </w:r>
      <w:r>
        <w:rPr>
          <w:rFonts w:hint="default" w:ascii="Times New Roman Regular" w:hAnsi="Times New Roman Regular" w:eastAsia="宋体" w:cs="Times New Roman Regular"/>
          <w:color w:val="auto"/>
          <w:sz w:val="24"/>
          <w:szCs w:val="24"/>
        </w:rPr>
        <w:t>面积2900m</w:t>
      </w:r>
      <w:r>
        <w:rPr>
          <w:rFonts w:hint="default" w:ascii="Times New Roman Regular" w:hAnsi="Times New Roman Regular" w:eastAsia="宋体" w:cs="Times New Roman Regular"/>
          <w:color w:val="auto"/>
          <w:sz w:val="24"/>
          <w:szCs w:val="24"/>
          <w:vertAlign w:val="superscript"/>
        </w:rPr>
        <w:t>2</w:t>
      </w:r>
    </w:p>
    <w:p>
      <w:pPr>
        <w:pStyle w:val="110"/>
        <w:spacing w:line="360" w:lineRule="auto"/>
        <w:ind w:firstLine="482" w:firstLineChars="200"/>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b/>
          <w:color w:val="auto"/>
          <w:sz w:val="24"/>
          <w:szCs w:val="24"/>
        </w:rPr>
        <w:t>总投资</w:t>
      </w:r>
      <w:r>
        <w:rPr>
          <w:rFonts w:hint="default" w:ascii="Times New Roman Regular" w:hAnsi="Times New Roman Regular" w:eastAsia="宋体" w:cs="Times New Roman Regular"/>
          <w:color w:val="auto"/>
          <w:sz w:val="24"/>
          <w:szCs w:val="24"/>
        </w:rPr>
        <w:t>：120万元</w:t>
      </w:r>
    </w:p>
    <w:p>
      <w:pPr>
        <w:pStyle w:val="110"/>
        <w:spacing w:line="360" w:lineRule="auto"/>
        <w:ind w:firstLine="482" w:firstLineChars="200"/>
        <w:rPr>
          <w:rFonts w:hint="default" w:ascii="Times New Roman Regular" w:hAnsi="Times New Roman Regular" w:eastAsia="宋体" w:cs="Times New Roman Regular"/>
          <w:b/>
          <w:color w:val="auto"/>
          <w:sz w:val="24"/>
          <w:szCs w:val="24"/>
        </w:rPr>
      </w:pPr>
      <w:r>
        <w:rPr>
          <w:rFonts w:hint="default" w:ascii="Times New Roman Regular" w:hAnsi="Times New Roman Regular" w:eastAsia="宋体" w:cs="Times New Roman Regular"/>
          <w:b/>
          <w:color w:val="auto"/>
          <w:sz w:val="24"/>
          <w:szCs w:val="24"/>
        </w:rPr>
        <w:t>生产规模</w:t>
      </w:r>
      <w:r>
        <w:rPr>
          <w:rFonts w:hint="default" w:ascii="Times New Roman Regular" w:hAnsi="Times New Roman Regular" w:eastAsia="宋体" w:cs="Times New Roman Regular"/>
          <w:b w:val="0"/>
          <w:bCs/>
          <w:color w:val="auto"/>
          <w:sz w:val="24"/>
          <w:szCs w:val="24"/>
        </w:rPr>
        <w:t>：</w:t>
      </w:r>
      <w:r>
        <w:rPr>
          <w:rFonts w:hint="default" w:ascii="Times New Roman Regular" w:hAnsi="Times New Roman Regular" w:eastAsia="宋体" w:cs="Times New Roman Regular"/>
          <w:b w:val="0"/>
          <w:bCs/>
          <w:color w:val="auto"/>
          <w:sz w:val="24"/>
          <w:szCs w:val="24"/>
          <w:lang w:val="en-US" w:eastAsia="zh-Hans"/>
        </w:rPr>
        <w:t>年生产平开门机</w:t>
      </w:r>
      <w:r>
        <w:rPr>
          <w:rFonts w:hint="default" w:ascii="Times New Roman Regular" w:hAnsi="Times New Roman Regular" w:eastAsia="宋体" w:cs="Times New Roman Regular"/>
          <w:b w:val="0"/>
          <w:bCs/>
          <w:color w:val="auto"/>
          <w:sz w:val="24"/>
          <w:szCs w:val="24"/>
          <w:lang w:eastAsia="zh-Hans"/>
        </w:rPr>
        <w:t>3.5</w:t>
      </w:r>
      <w:r>
        <w:rPr>
          <w:rFonts w:hint="default" w:ascii="Times New Roman Regular" w:hAnsi="Times New Roman Regular" w:eastAsia="宋体" w:cs="Times New Roman Regular"/>
          <w:b w:val="0"/>
          <w:bCs/>
          <w:color w:val="auto"/>
          <w:sz w:val="24"/>
          <w:szCs w:val="24"/>
          <w:lang w:val="en-US" w:eastAsia="zh-Hans"/>
        </w:rPr>
        <w:t>万套</w:t>
      </w:r>
      <w:r>
        <w:rPr>
          <w:rFonts w:hint="default" w:ascii="Times New Roman Regular" w:hAnsi="Times New Roman Regular" w:eastAsia="宋体" w:cs="Times New Roman Regular"/>
          <w:b w:val="0"/>
          <w:bCs/>
          <w:color w:val="auto"/>
          <w:sz w:val="24"/>
          <w:szCs w:val="24"/>
          <w:lang w:eastAsia="zh-Hans"/>
        </w:rPr>
        <w:t>，</w:t>
      </w:r>
      <w:r>
        <w:rPr>
          <w:rFonts w:hint="default" w:ascii="Times New Roman Regular" w:hAnsi="Times New Roman Regular" w:eastAsia="宋体" w:cs="Times New Roman Regular"/>
          <w:b w:val="0"/>
          <w:bCs/>
          <w:color w:val="auto"/>
          <w:sz w:val="24"/>
          <w:szCs w:val="24"/>
          <w:lang w:val="en-US" w:eastAsia="zh-Hans"/>
        </w:rPr>
        <w:t>平移门机</w:t>
      </w:r>
      <w:r>
        <w:rPr>
          <w:rFonts w:hint="default" w:ascii="Times New Roman Regular" w:hAnsi="Times New Roman Regular" w:eastAsia="宋体" w:cs="Times New Roman Regular"/>
          <w:b w:val="0"/>
          <w:bCs/>
          <w:color w:val="auto"/>
          <w:sz w:val="24"/>
          <w:szCs w:val="24"/>
          <w:lang w:eastAsia="zh-Hans"/>
        </w:rPr>
        <w:t>2</w:t>
      </w:r>
      <w:r>
        <w:rPr>
          <w:rFonts w:hint="default" w:ascii="Times New Roman Regular" w:hAnsi="Times New Roman Regular" w:eastAsia="宋体" w:cs="Times New Roman Regular"/>
          <w:b w:val="0"/>
          <w:bCs/>
          <w:color w:val="auto"/>
          <w:sz w:val="24"/>
          <w:szCs w:val="24"/>
          <w:lang w:val="en-US" w:eastAsia="zh-Hans"/>
        </w:rPr>
        <w:t>万套</w:t>
      </w:r>
      <w:r>
        <w:rPr>
          <w:rFonts w:hint="default" w:ascii="Times New Roman Regular" w:hAnsi="Times New Roman Regular" w:eastAsia="宋体" w:cs="Times New Roman Regular"/>
          <w:b w:val="0"/>
          <w:bCs/>
          <w:color w:val="auto"/>
          <w:sz w:val="24"/>
          <w:szCs w:val="24"/>
          <w:lang w:eastAsia="zh-Hans"/>
        </w:rPr>
        <w:t>、</w:t>
      </w:r>
      <w:r>
        <w:rPr>
          <w:rFonts w:hint="default" w:ascii="Times New Roman Regular" w:hAnsi="Times New Roman Regular" w:eastAsia="宋体" w:cs="Times New Roman Regular"/>
          <w:b w:val="0"/>
          <w:bCs/>
          <w:color w:val="auto"/>
          <w:sz w:val="24"/>
          <w:szCs w:val="24"/>
          <w:lang w:val="en-US" w:eastAsia="zh-Hans"/>
        </w:rPr>
        <w:t>重型双轮机</w:t>
      </w:r>
      <w:r>
        <w:rPr>
          <w:rFonts w:hint="default" w:ascii="Times New Roman Regular" w:hAnsi="Times New Roman Regular" w:eastAsia="宋体" w:cs="Times New Roman Regular"/>
          <w:b w:val="0"/>
          <w:bCs/>
          <w:color w:val="auto"/>
          <w:sz w:val="24"/>
          <w:szCs w:val="24"/>
          <w:lang w:eastAsia="zh-Hans"/>
        </w:rPr>
        <w:t>1000</w:t>
      </w:r>
      <w:r>
        <w:rPr>
          <w:rFonts w:hint="default" w:ascii="Times New Roman Regular" w:hAnsi="Times New Roman Regular" w:eastAsia="宋体" w:cs="Times New Roman Regular"/>
          <w:b w:val="0"/>
          <w:bCs/>
          <w:color w:val="auto"/>
          <w:sz w:val="24"/>
          <w:szCs w:val="24"/>
          <w:lang w:val="en-US" w:eastAsia="zh-Hans"/>
        </w:rPr>
        <w:t>套</w:t>
      </w:r>
      <w:r>
        <w:rPr>
          <w:rFonts w:hint="default" w:ascii="Times New Roman Regular" w:hAnsi="Times New Roman Regular" w:eastAsia="宋体" w:cs="Times New Roman Regular"/>
          <w:b w:val="0"/>
          <w:bCs/>
          <w:color w:val="auto"/>
          <w:sz w:val="24"/>
          <w:szCs w:val="24"/>
          <w:lang w:eastAsia="zh-Hans"/>
        </w:rPr>
        <w:t>、</w:t>
      </w:r>
      <w:r>
        <w:rPr>
          <w:rFonts w:hint="default" w:ascii="Times New Roman Regular" w:hAnsi="Times New Roman Regular" w:eastAsia="宋体" w:cs="Times New Roman Regular"/>
          <w:b w:val="0"/>
          <w:bCs/>
          <w:color w:val="auto"/>
          <w:sz w:val="24"/>
          <w:szCs w:val="24"/>
          <w:lang w:val="en-US" w:eastAsia="zh-Hans"/>
        </w:rPr>
        <w:t>曲臂机</w:t>
      </w:r>
      <w:r>
        <w:rPr>
          <w:rFonts w:hint="default" w:ascii="Times New Roman Regular" w:hAnsi="Times New Roman Regular" w:eastAsia="宋体" w:cs="Times New Roman Regular"/>
          <w:b w:val="0"/>
          <w:bCs/>
          <w:color w:val="auto"/>
          <w:sz w:val="24"/>
          <w:szCs w:val="24"/>
          <w:lang w:eastAsia="zh-Hans"/>
        </w:rPr>
        <w:t>3000</w:t>
      </w:r>
      <w:r>
        <w:rPr>
          <w:rFonts w:hint="default" w:ascii="Times New Roman Regular" w:hAnsi="Times New Roman Regular" w:eastAsia="宋体" w:cs="Times New Roman Regular"/>
          <w:b w:val="0"/>
          <w:bCs/>
          <w:color w:val="auto"/>
          <w:sz w:val="24"/>
          <w:szCs w:val="24"/>
          <w:lang w:val="en-US" w:eastAsia="zh-Hans"/>
        </w:rPr>
        <w:t>套</w:t>
      </w:r>
    </w:p>
    <w:p>
      <w:pPr>
        <w:pStyle w:val="110"/>
        <w:spacing w:line="360" w:lineRule="auto"/>
        <w:ind w:firstLine="482" w:firstLineChars="200"/>
        <w:rPr>
          <w:rFonts w:hint="default" w:ascii="Times New Roman Regular" w:hAnsi="Times New Roman Regular" w:eastAsia="宋体" w:cs="Times New Roman Regular"/>
          <w:b/>
          <w:color w:val="auto"/>
          <w:sz w:val="24"/>
          <w:szCs w:val="24"/>
        </w:rPr>
      </w:pPr>
      <w:r>
        <w:rPr>
          <w:rFonts w:hint="default" w:ascii="Times New Roman Regular" w:hAnsi="Times New Roman Regular" w:eastAsia="宋体" w:cs="Times New Roman Regular"/>
          <w:b/>
          <w:color w:val="auto"/>
          <w:sz w:val="24"/>
          <w:szCs w:val="24"/>
        </w:rPr>
        <w:t>生产定员</w:t>
      </w:r>
      <w:r>
        <w:rPr>
          <w:rFonts w:hint="default" w:ascii="Times New Roman Regular" w:hAnsi="Times New Roman Regular" w:eastAsia="宋体" w:cs="Times New Roman Regular"/>
          <w:b w:val="0"/>
          <w:bCs/>
          <w:color w:val="auto"/>
          <w:sz w:val="24"/>
          <w:szCs w:val="24"/>
        </w:rPr>
        <w:t>：</w:t>
      </w:r>
      <w:r>
        <w:rPr>
          <w:rFonts w:hint="default" w:ascii="Times New Roman Regular" w:hAnsi="Times New Roman Regular" w:eastAsia="宋体" w:cs="Times New Roman Regular"/>
          <w:color w:val="auto"/>
          <w:sz w:val="24"/>
          <w:szCs w:val="24"/>
        </w:rPr>
        <w:t>全厂劳动定员25人，不设员工宿舍楼和食堂</w:t>
      </w:r>
    </w:p>
    <w:p>
      <w:pPr>
        <w:pStyle w:val="110"/>
        <w:spacing w:line="360" w:lineRule="auto"/>
        <w:ind w:firstLine="482" w:firstLineChars="200"/>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b/>
          <w:color w:val="auto"/>
          <w:sz w:val="24"/>
          <w:szCs w:val="24"/>
        </w:rPr>
        <w:t>工作制度</w:t>
      </w:r>
      <w:r>
        <w:rPr>
          <w:rFonts w:hint="default" w:ascii="Times New Roman Regular" w:hAnsi="Times New Roman Regular" w:eastAsia="宋体" w:cs="Times New Roman Regular"/>
          <w:b w:val="0"/>
          <w:bCs/>
          <w:color w:val="auto"/>
          <w:sz w:val="24"/>
          <w:szCs w:val="24"/>
        </w:rPr>
        <w:t>：</w:t>
      </w:r>
      <w:r>
        <w:rPr>
          <w:rFonts w:hint="default" w:ascii="Times New Roman Regular" w:hAnsi="Times New Roman Regular" w:eastAsia="宋体" w:cs="Times New Roman Regular"/>
          <w:color w:val="auto"/>
          <w:sz w:val="24"/>
          <w:szCs w:val="24"/>
        </w:rPr>
        <w:t>每日单班，每班7小时工作制，年生产天数约为300天</w:t>
      </w:r>
    </w:p>
    <w:p>
      <w:pPr>
        <w:pStyle w:val="4"/>
        <w:keepNext/>
        <w:keepLines/>
        <w:widowControl w:val="0"/>
        <w:spacing w:before="163" w:beforeLines="50" w:after="163" w:afterLines="50"/>
        <w:outlineLvl w:val="1"/>
        <w:rPr>
          <w:rFonts w:hint="default" w:ascii="Times New Roman Regular" w:hAnsi="Times New Roman Regular" w:cs="Times New Roman Regular"/>
          <w:bCs w:val="0"/>
          <w:color w:val="auto"/>
          <w:kern w:val="2"/>
        </w:rPr>
      </w:pPr>
      <w:bookmarkStart w:id="155" w:name="_Toc47618316"/>
      <w:bookmarkStart w:id="156" w:name="_Toc412576445"/>
      <w:bookmarkStart w:id="157" w:name="_Toc1014510567_WPSOffice_Level2"/>
      <w:r>
        <w:rPr>
          <w:rFonts w:hint="default" w:ascii="Times New Roman Regular" w:hAnsi="Times New Roman Regular" w:cs="Times New Roman Regular"/>
          <w:bCs w:val="0"/>
          <w:color w:val="auto"/>
          <w:kern w:val="2"/>
        </w:rPr>
        <w:t>5.2 项目组成</w:t>
      </w:r>
      <w:bookmarkEnd w:id="155"/>
      <w:bookmarkEnd w:id="156"/>
      <w:bookmarkEnd w:id="157"/>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本项目主要组成见表5.2-1。</w:t>
      </w:r>
    </w:p>
    <w:p>
      <w:pPr>
        <w:jc w:val="center"/>
        <w:rPr>
          <w:rFonts w:hint="default" w:ascii="Times New Roman Regular" w:hAnsi="Times New Roman Regular" w:cs="Times New Roman Regular"/>
          <w:color w:val="auto"/>
        </w:rPr>
      </w:pPr>
      <w:r>
        <w:rPr>
          <w:rFonts w:hint="default" w:ascii="Times New Roman Regular" w:hAnsi="Times New Roman Regular" w:cs="Times New Roman Regular"/>
          <w:b/>
          <w:color w:val="auto"/>
        </w:rPr>
        <w:t>表5.2-1 项目组成一览表</w:t>
      </w:r>
    </w:p>
    <w:tbl>
      <w:tblPr>
        <w:tblStyle w:val="36"/>
        <w:tblW w:w="892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1"/>
        <w:gridCol w:w="708"/>
        <w:gridCol w:w="1134"/>
        <w:gridCol w:w="4253"/>
        <w:gridCol w:w="16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1"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bookmarkStart w:id="158" w:name="_Toc47618317"/>
            <w:r>
              <w:rPr>
                <w:rFonts w:hint="default" w:ascii="Times New Roman Regular" w:hAnsi="Times New Roman Regular" w:cs="Times New Roman Regular"/>
                <w:color w:val="auto"/>
                <w:kern w:val="2"/>
                <w:sz w:val="21"/>
                <w:szCs w:val="21"/>
              </w:rPr>
              <w:t>分类</w:t>
            </w:r>
          </w:p>
        </w:tc>
        <w:tc>
          <w:tcPr>
            <w:tcW w:w="1842" w:type="dxa"/>
            <w:gridSpan w:val="2"/>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项目组成</w:t>
            </w:r>
          </w:p>
        </w:tc>
        <w:tc>
          <w:tcPr>
            <w:tcW w:w="4253"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工程内容及规模</w:t>
            </w:r>
          </w:p>
        </w:tc>
        <w:tc>
          <w:tcPr>
            <w:tcW w:w="1698"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1"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主体工程</w:t>
            </w:r>
          </w:p>
        </w:tc>
        <w:tc>
          <w:tcPr>
            <w:tcW w:w="1842" w:type="dxa"/>
            <w:gridSpan w:val="2"/>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生产车间</w:t>
            </w:r>
          </w:p>
        </w:tc>
        <w:tc>
          <w:tcPr>
            <w:tcW w:w="4253"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3层，建筑面积约2900m</w:t>
            </w:r>
            <w:r>
              <w:rPr>
                <w:rFonts w:hint="default" w:ascii="Times New Roman Regular" w:hAnsi="Times New Roman Regular" w:cs="Times New Roman Regular"/>
                <w:color w:val="auto"/>
                <w:kern w:val="2"/>
                <w:sz w:val="21"/>
                <w:szCs w:val="21"/>
                <w:vertAlign w:val="superscript"/>
              </w:rPr>
              <w:t>2</w:t>
            </w:r>
          </w:p>
        </w:tc>
        <w:tc>
          <w:tcPr>
            <w:tcW w:w="1698" w:type="dxa"/>
            <w:vAlign w:val="center"/>
          </w:tcPr>
          <w:p>
            <w:pPr>
              <w:pStyle w:val="32"/>
              <w:widowControl w:val="0"/>
              <w:spacing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依托出租方已建，钢混结构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1" w:type="dxa"/>
            <w:vMerge w:val="restart"/>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公用工程</w:t>
            </w:r>
          </w:p>
        </w:tc>
        <w:tc>
          <w:tcPr>
            <w:tcW w:w="708" w:type="dxa"/>
            <w:vMerge w:val="restart"/>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给排水</w:t>
            </w:r>
          </w:p>
        </w:tc>
        <w:tc>
          <w:tcPr>
            <w:tcW w:w="1134" w:type="dxa"/>
            <w:vAlign w:val="center"/>
          </w:tcPr>
          <w:p>
            <w:pPr>
              <w:pStyle w:val="32"/>
              <w:widowControl w:val="0"/>
              <w:spacing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供水</w:t>
            </w:r>
          </w:p>
        </w:tc>
        <w:tc>
          <w:tcPr>
            <w:tcW w:w="4253"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由市政给水管网统一供给</w:t>
            </w:r>
          </w:p>
        </w:tc>
        <w:tc>
          <w:tcPr>
            <w:tcW w:w="1698"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依托出租方已建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1" w:type="dxa"/>
            <w:vMerge w:val="continue"/>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p>
        </w:tc>
        <w:tc>
          <w:tcPr>
            <w:tcW w:w="708" w:type="dxa"/>
            <w:vMerge w:val="continue"/>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p>
        </w:tc>
        <w:tc>
          <w:tcPr>
            <w:tcW w:w="1134" w:type="dxa"/>
            <w:vAlign w:val="center"/>
          </w:tcPr>
          <w:p>
            <w:pPr>
              <w:pStyle w:val="32"/>
              <w:widowControl w:val="0"/>
              <w:spacing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排水</w:t>
            </w:r>
          </w:p>
        </w:tc>
        <w:tc>
          <w:tcPr>
            <w:tcW w:w="4253"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厂区实行雨污分流制：</w:t>
            </w:r>
          </w:p>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生活污水经化粪池处理后排入</w:t>
            </w:r>
            <w:r>
              <w:rPr>
                <w:rFonts w:hint="default" w:ascii="Times New Roman Regular" w:hAnsi="Times New Roman Regular" w:cs="Times New Roman Regular"/>
                <w:color w:val="auto"/>
                <w:kern w:val="2"/>
                <w:sz w:val="21"/>
                <w:szCs w:val="21"/>
                <w:lang w:val="en-US" w:eastAsia="zh-Hans"/>
              </w:rPr>
              <w:t>福州青口新区</w:t>
            </w:r>
            <w:r>
              <w:rPr>
                <w:rFonts w:hint="default" w:ascii="Times New Roman Regular" w:hAnsi="Times New Roman Regular" w:cs="Times New Roman Regular"/>
                <w:color w:val="auto"/>
                <w:kern w:val="2"/>
                <w:sz w:val="21"/>
                <w:szCs w:val="21"/>
              </w:rPr>
              <w:t>污水处理厂；</w:t>
            </w:r>
          </w:p>
        </w:tc>
        <w:tc>
          <w:tcPr>
            <w:tcW w:w="1698"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依托出租方已建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1" w:type="dxa"/>
            <w:vMerge w:val="continue"/>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p>
        </w:tc>
        <w:tc>
          <w:tcPr>
            <w:tcW w:w="1842" w:type="dxa"/>
            <w:gridSpan w:val="2"/>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供电</w:t>
            </w:r>
          </w:p>
        </w:tc>
        <w:tc>
          <w:tcPr>
            <w:tcW w:w="4253"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接市政供电系统</w:t>
            </w:r>
          </w:p>
        </w:tc>
        <w:tc>
          <w:tcPr>
            <w:tcW w:w="1698"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依托出租方已建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1131" w:type="dxa"/>
            <w:vMerge w:val="restart"/>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环保工程</w:t>
            </w:r>
          </w:p>
        </w:tc>
        <w:tc>
          <w:tcPr>
            <w:tcW w:w="1842" w:type="dxa"/>
            <w:gridSpan w:val="2"/>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废水处理</w:t>
            </w:r>
          </w:p>
        </w:tc>
        <w:tc>
          <w:tcPr>
            <w:tcW w:w="4253" w:type="dxa"/>
            <w:vAlign w:val="center"/>
          </w:tcPr>
          <w:p>
            <w:pPr>
              <w:pStyle w:val="32"/>
              <w:widowControl w:val="0"/>
              <w:spacing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生活污水经化粪池处理后通过市政污水管网排放至</w:t>
            </w:r>
            <w:r>
              <w:rPr>
                <w:rFonts w:hint="default" w:ascii="Times New Roman Regular" w:hAnsi="Times New Roman Regular" w:cs="Times New Roman Regular"/>
                <w:color w:val="auto"/>
                <w:kern w:val="2"/>
                <w:sz w:val="21"/>
                <w:szCs w:val="21"/>
                <w:lang w:val="en-US" w:eastAsia="zh-Hans"/>
              </w:rPr>
              <w:t>福州市青口</w:t>
            </w:r>
            <w:r>
              <w:rPr>
                <w:rFonts w:hint="default" w:ascii="Times New Roman Regular" w:hAnsi="Times New Roman Regular" w:cs="Times New Roman Regular"/>
                <w:color w:val="auto"/>
                <w:kern w:val="2"/>
                <w:sz w:val="21"/>
                <w:szCs w:val="21"/>
              </w:rPr>
              <w:t>污水处理厂处理</w:t>
            </w:r>
          </w:p>
        </w:tc>
        <w:tc>
          <w:tcPr>
            <w:tcW w:w="1698" w:type="dxa"/>
            <w:vAlign w:val="center"/>
          </w:tcPr>
          <w:p>
            <w:pPr>
              <w:pStyle w:val="32"/>
              <w:widowControl w:val="0"/>
              <w:spacing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依托出租方已建，化粪池，一座，6m</w:t>
            </w:r>
            <w:r>
              <w:rPr>
                <w:rFonts w:hint="default" w:ascii="Times New Roman Regular" w:hAnsi="Times New Roman Regular" w:cs="Times New Roman Regular"/>
                <w:color w:val="auto"/>
                <w:kern w:val="2"/>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1" w:type="dxa"/>
            <w:vMerge w:val="continue"/>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FF0000"/>
                <w:kern w:val="2"/>
                <w:sz w:val="21"/>
                <w:szCs w:val="21"/>
              </w:rPr>
            </w:pPr>
          </w:p>
        </w:tc>
        <w:tc>
          <w:tcPr>
            <w:tcW w:w="1842" w:type="dxa"/>
            <w:gridSpan w:val="2"/>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废气处理</w:t>
            </w:r>
          </w:p>
        </w:tc>
        <w:tc>
          <w:tcPr>
            <w:tcW w:w="4253" w:type="dxa"/>
            <w:vAlign w:val="center"/>
          </w:tcPr>
          <w:p>
            <w:pPr>
              <w:pStyle w:val="32"/>
              <w:widowControl w:val="0"/>
              <w:spacing w:before="0" w:beforeAutospacing="0" w:after="0" w:afterAutospacing="0" w:line="340" w:lineRule="exact"/>
              <w:jc w:val="center"/>
              <w:rPr>
                <w:rFonts w:hint="eastAsia" w:ascii="Times New Roman Regular" w:hAnsi="Times New Roman Regular" w:eastAsia="宋体" w:cs="Times New Roman Regular"/>
                <w:color w:val="auto"/>
                <w:kern w:val="2"/>
                <w:sz w:val="21"/>
                <w:szCs w:val="21"/>
                <w:lang w:val="en-US" w:eastAsia="zh-Hans"/>
              </w:rPr>
            </w:pPr>
            <w:r>
              <w:rPr>
                <w:rFonts w:hint="eastAsia" w:ascii="Times New Roman Regular" w:hAnsi="Times New Roman Regular" w:cs="Times New Roman Regular"/>
                <w:color w:val="auto"/>
                <w:kern w:val="2"/>
                <w:sz w:val="21"/>
                <w:szCs w:val="21"/>
                <w:lang w:val="en-US" w:eastAsia="zh-Hans"/>
              </w:rPr>
              <w:t>车间通风换气</w:t>
            </w:r>
          </w:p>
        </w:tc>
        <w:tc>
          <w:tcPr>
            <w:tcW w:w="1698" w:type="dxa"/>
            <w:vAlign w:val="center"/>
          </w:tcPr>
          <w:p>
            <w:pPr>
              <w:widowControl/>
              <w:ind w:firstLine="0"/>
              <w:jc w:val="center"/>
              <w:rPr>
                <w:rFonts w:hint="eastAsia" w:ascii="Times New Roman Regular" w:hAnsi="Times New Roman Regular" w:eastAsia="宋体" w:cs="Times New Roman Regular"/>
                <w:color w:val="auto"/>
                <w:sz w:val="21"/>
                <w:szCs w:val="21"/>
                <w:lang w:val="en-US" w:eastAsia="zh-Hans"/>
              </w:rPr>
            </w:pPr>
            <w:r>
              <w:rPr>
                <w:rFonts w:hint="eastAsia" w:ascii="Times New Roman Regular" w:hAnsi="Times New Roman Regular" w:cs="Times New Roman Regular"/>
                <w:color w:val="auto"/>
                <w:sz w:val="21"/>
                <w:szCs w:val="21"/>
                <w:lang w:val="en-US" w:eastAsia="zh-Hans"/>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1" w:type="dxa"/>
            <w:vMerge w:val="continue"/>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FF0000"/>
                <w:kern w:val="2"/>
                <w:sz w:val="21"/>
                <w:szCs w:val="21"/>
              </w:rPr>
            </w:pPr>
          </w:p>
        </w:tc>
        <w:tc>
          <w:tcPr>
            <w:tcW w:w="1842" w:type="dxa"/>
            <w:gridSpan w:val="2"/>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噪声处理</w:t>
            </w:r>
          </w:p>
        </w:tc>
        <w:tc>
          <w:tcPr>
            <w:tcW w:w="4253"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选取高效能、低能耗、低噪声的生产设备、设空压机房、设备维护、合理布局、距离衰减等措施</w:t>
            </w:r>
          </w:p>
        </w:tc>
        <w:tc>
          <w:tcPr>
            <w:tcW w:w="1698"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sz w:val="21"/>
                <w:szCs w:val="21"/>
                <w:lang w:val="en-US" w:eastAsia="zh-Hans"/>
              </w:rPr>
              <w:t>已</w:t>
            </w:r>
            <w:r>
              <w:rPr>
                <w:rFonts w:hint="default" w:ascii="Times New Roman Regular" w:hAnsi="Times New Roman Regular" w:eastAsia="宋体" w:cs="Times New Roman Regular"/>
                <w:color w:val="auto"/>
                <w:sz w:val="21"/>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1" w:type="dxa"/>
            <w:vMerge w:val="continue"/>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FF0000"/>
                <w:kern w:val="2"/>
                <w:sz w:val="21"/>
                <w:szCs w:val="21"/>
              </w:rPr>
            </w:pPr>
          </w:p>
        </w:tc>
        <w:tc>
          <w:tcPr>
            <w:tcW w:w="708" w:type="dxa"/>
            <w:vMerge w:val="restart"/>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固废处理</w:t>
            </w:r>
          </w:p>
        </w:tc>
        <w:tc>
          <w:tcPr>
            <w:tcW w:w="1134"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生活垃圾</w:t>
            </w:r>
          </w:p>
        </w:tc>
        <w:tc>
          <w:tcPr>
            <w:tcW w:w="4253" w:type="dxa"/>
            <w:vAlign w:val="center"/>
          </w:tcPr>
          <w:p>
            <w:pPr>
              <w:pStyle w:val="32"/>
              <w:widowControl w:val="0"/>
              <w:spacing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设置生活垃圾收集箱</w:t>
            </w:r>
          </w:p>
        </w:tc>
        <w:tc>
          <w:tcPr>
            <w:tcW w:w="1698" w:type="dxa"/>
            <w:vAlign w:val="center"/>
          </w:tcPr>
          <w:p>
            <w:pPr>
              <w:widowControl w:val="0"/>
              <w:spacing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sz w:val="21"/>
                <w:szCs w:val="21"/>
                <w:lang w:val="en-US" w:eastAsia="zh-Hans"/>
              </w:rPr>
              <w:t>已</w:t>
            </w:r>
            <w:r>
              <w:rPr>
                <w:rFonts w:hint="default" w:ascii="Times New Roman Regular" w:hAnsi="Times New Roman Regular" w:eastAsia="宋体" w:cs="Times New Roman Regular"/>
                <w:color w:val="auto"/>
                <w:sz w:val="21"/>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1" w:type="dxa"/>
            <w:vMerge w:val="continue"/>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FF0000"/>
                <w:kern w:val="2"/>
                <w:sz w:val="21"/>
                <w:szCs w:val="21"/>
              </w:rPr>
            </w:pPr>
          </w:p>
        </w:tc>
        <w:tc>
          <w:tcPr>
            <w:tcW w:w="708" w:type="dxa"/>
            <w:vMerge w:val="continue"/>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p>
        </w:tc>
        <w:tc>
          <w:tcPr>
            <w:tcW w:w="1134"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一般固废</w:t>
            </w:r>
          </w:p>
        </w:tc>
        <w:tc>
          <w:tcPr>
            <w:tcW w:w="4253" w:type="dxa"/>
            <w:vAlign w:val="center"/>
          </w:tcPr>
          <w:p>
            <w:pPr>
              <w:pStyle w:val="32"/>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kern w:val="2"/>
                <w:sz w:val="21"/>
                <w:szCs w:val="21"/>
              </w:rPr>
              <w:t>设立普通固废贮存处5m</w:t>
            </w:r>
            <w:r>
              <w:rPr>
                <w:rFonts w:hint="default" w:ascii="Times New Roman Regular" w:hAnsi="Times New Roman Regular" w:cs="Times New Roman Regular"/>
                <w:color w:val="auto"/>
                <w:kern w:val="2"/>
                <w:sz w:val="21"/>
                <w:szCs w:val="21"/>
                <w:vertAlign w:val="superscript"/>
              </w:rPr>
              <w:t>2</w:t>
            </w:r>
          </w:p>
        </w:tc>
        <w:tc>
          <w:tcPr>
            <w:tcW w:w="1698" w:type="dxa"/>
            <w:vAlign w:val="center"/>
          </w:tcPr>
          <w:p>
            <w:pPr>
              <w:widowControl w:val="0"/>
              <w:spacing w:before="0" w:beforeAutospacing="0" w:after="0" w:afterAutospacing="0" w:line="340" w:lineRule="exact"/>
              <w:jc w:val="center"/>
              <w:rPr>
                <w:rFonts w:hint="default" w:ascii="Times New Roman Regular" w:hAnsi="Times New Roman Regular" w:cs="Times New Roman Regular"/>
                <w:color w:val="auto"/>
                <w:kern w:val="2"/>
                <w:sz w:val="21"/>
                <w:szCs w:val="21"/>
              </w:rPr>
            </w:pPr>
            <w:r>
              <w:rPr>
                <w:rFonts w:hint="default" w:ascii="Times New Roman Regular" w:hAnsi="Times New Roman Regular" w:cs="Times New Roman Regular"/>
                <w:color w:val="auto"/>
                <w:sz w:val="21"/>
                <w:szCs w:val="21"/>
                <w:lang w:val="en-US" w:eastAsia="zh-Hans"/>
              </w:rPr>
              <w:t>已</w:t>
            </w:r>
            <w:r>
              <w:rPr>
                <w:rFonts w:hint="default" w:ascii="Times New Roman Regular" w:hAnsi="Times New Roman Regular" w:eastAsia="宋体" w:cs="Times New Roman Regular"/>
                <w:color w:val="auto"/>
                <w:sz w:val="21"/>
                <w:szCs w:val="21"/>
              </w:rPr>
              <w:t>建</w:t>
            </w:r>
          </w:p>
        </w:tc>
      </w:tr>
      <w:bookmarkEnd w:id="158"/>
    </w:tbl>
    <w:p>
      <w:pPr>
        <w:pStyle w:val="4"/>
        <w:keepNext/>
        <w:keepLines/>
        <w:widowControl w:val="0"/>
        <w:spacing w:before="163" w:beforeLines="50" w:after="163" w:afterLines="50"/>
        <w:outlineLvl w:val="1"/>
        <w:rPr>
          <w:rFonts w:hint="default" w:ascii="Times New Roman Regular" w:hAnsi="Times New Roman Regular" w:cs="Times New Roman Regular"/>
          <w:bCs w:val="0"/>
          <w:color w:val="auto"/>
          <w:kern w:val="2"/>
        </w:rPr>
      </w:pPr>
      <w:bookmarkStart w:id="159" w:name="_Toc2006426036_WPSOffice_Level2"/>
      <w:bookmarkStart w:id="160" w:name="_Toc2095098599"/>
      <w:bookmarkStart w:id="161" w:name="_Toc47618319"/>
      <w:bookmarkStart w:id="162" w:name="_Toc47618318"/>
      <w:r>
        <w:rPr>
          <w:rFonts w:hint="default" w:ascii="Times New Roman Regular" w:hAnsi="Times New Roman Regular" w:cs="Times New Roman Regular"/>
          <w:bCs w:val="0"/>
          <w:color w:val="auto"/>
          <w:kern w:val="2"/>
        </w:rPr>
        <w:t>5.3 总平面布置和给排水</w:t>
      </w:r>
      <w:bookmarkEnd w:id="159"/>
      <w:bookmarkEnd w:id="160"/>
    </w:p>
    <w:p>
      <w:pPr>
        <w:autoSpaceDE w:val="0"/>
        <w:autoSpaceDN w:val="0"/>
        <w:spacing w:line="420" w:lineRule="auto"/>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lang w:val="en-US" w:eastAsia="zh-Hans"/>
        </w:rPr>
        <w:t>本</w:t>
      </w:r>
      <w:r>
        <w:rPr>
          <w:rFonts w:hint="default" w:ascii="Times New Roman Regular" w:hAnsi="Times New Roman Regular" w:cs="Times New Roman Regular"/>
          <w:color w:val="auto"/>
        </w:rPr>
        <w:t>项目</w:t>
      </w:r>
      <w:r>
        <w:rPr>
          <w:rFonts w:hint="default" w:ascii="Times New Roman Regular" w:hAnsi="Times New Roman Regular" w:cs="Times New Roman Regular"/>
          <w:color w:val="auto"/>
          <w:lang w:val="en-US" w:eastAsia="zh-Hans"/>
        </w:rPr>
        <w:t>租赁</w:t>
      </w:r>
      <w:r>
        <w:rPr>
          <w:rFonts w:hint="default" w:ascii="Times New Roman Regular" w:hAnsi="Times New Roman Regular" w:cs="Times New Roman Regular"/>
          <w:color w:val="auto"/>
          <w:lang w:eastAsia="zh-Hans"/>
        </w:rPr>
        <w:t>福州东郁机械包装有限公司</w:t>
      </w:r>
      <w:r>
        <w:rPr>
          <w:rFonts w:hint="default" w:ascii="Times New Roman Regular" w:hAnsi="Times New Roman Regular" w:cs="Times New Roman Regular"/>
          <w:color w:val="auto"/>
          <w:lang w:val="en-US" w:eastAsia="zh-Hans"/>
        </w:rPr>
        <w:t>已建厂房</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rPr>
        <w:t>厂区主入口</w:t>
      </w:r>
      <w:r>
        <w:rPr>
          <w:rFonts w:hint="default" w:ascii="Times New Roman Regular" w:hAnsi="Times New Roman Regular" w:cs="Times New Roman Regular"/>
          <w:color w:val="auto"/>
          <w:lang w:val="en-US" w:eastAsia="zh-Hans"/>
        </w:rPr>
        <w:t>位于</w:t>
      </w:r>
      <w:r>
        <w:rPr>
          <w:rFonts w:hint="default" w:ascii="Times New Roman Regular" w:hAnsi="Times New Roman Regular" w:cs="Times New Roman Regular"/>
          <w:color w:val="auto"/>
        </w:rPr>
        <w:t>在厂区的</w:t>
      </w:r>
      <w:r>
        <w:rPr>
          <w:rFonts w:hint="default" w:ascii="Times New Roman Regular" w:hAnsi="Times New Roman Regular" w:cs="Times New Roman Regular"/>
          <w:color w:val="auto"/>
          <w:lang w:val="en-US" w:eastAsia="zh-Hans"/>
        </w:rPr>
        <w:t>南</w:t>
      </w:r>
      <w:r>
        <w:rPr>
          <w:rFonts w:hint="default" w:ascii="Times New Roman Regular" w:hAnsi="Times New Roman Regular" w:cs="Times New Roman Regular"/>
          <w:color w:val="auto"/>
        </w:rPr>
        <w:t>侧，厂区内道路呈环状，满足消防要求；与临近周边项目车间之间的距离符合《建筑设计防火规范》（GB50016-2006）的要求；车间内各设备按照工艺流程进行布置，使生产过程更加顺畅，节约时间，提高效率；</w:t>
      </w:r>
      <w:r>
        <w:rPr>
          <w:rFonts w:hint="default" w:ascii="Times New Roman Regular" w:hAnsi="Times New Roman Regular" w:cs="Times New Roman Regular"/>
          <w:color w:val="auto"/>
          <w:lang w:val="en-US" w:eastAsia="zh-Hans"/>
        </w:rPr>
        <w:t>车间内设有办公区</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仓库</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生产区</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原料区</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废料放置区</w:t>
      </w:r>
      <w:r>
        <w:rPr>
          <w:rFonts w:hint="default" w:ascii="Times New Roman Regular" w:hAnsi="Times New Roman Regular" w:cs="Times New Roman Regular"/>
          <w:color w:val="auto"/>
          <w:lang w:eastAsia="zh-Hans"/>
        </w:rPr>
        <w:t>、</w:t>
      </w:r>
      <w:r>
        <w:rPr>
          <w:rFonts w:hint="eastAsia" w:ascii="Times New Roman Regular" w:hAnsi="Times New Roman Regular" w:cs="Times New Roman Regular"/>
          <w:color w:val="auto"/>
          <w:lang w:val="en-US" w:eastAsia="zh-Hans"/>
        </w:rPr>
        <w:t>产品待转</w:t>
      </w:r>
      <w:r>
        <w:rPr>
          <w:rFonts w:hint="default" w:ascii="Times New Roman Regular" w:hAnsi="Times New Roman Regular" w:cs="Times New Roman Regular"/>
          <w:color w:val="auto"/>
          <w:lang w:val="en-US" w:eastAsia="zh-Hans"/>
        </w:rPr>
        <w:t>区</w:t>
      </w:r>
      <w:r>
        <w:rPr>
          <w:rFonts w:hint="eastAsia" w:ascii="Times New Roman Regular" w:hAnsi="Times New Roman Regular" w:cs="Times New Roman Regular"/>
          <w:color w:val="auto"/>
          <w:lang w:val="en-US" w:eastAsia="zh-Hans"/>
        </w:rPr>
        <w:t>等</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车间平面布置图见附图</w:t>
      </w:r>
      <w:r>
        <w:rPr>
          <w:rFonts w:hint="default" w:ascii="Times New Roman Regular" w:hAnsi="Times New Roman Regular" w:cs="Times New Roman Regular"/>
          <w:color w:val="auto"/>
          <w:lang w:eastAsia="zh-Hans"/>
        </w:rPr>
        <w:t>2-</w:t>
      </w:r>
      <w:r>
        <w:rPr>
          <w:rFonts w:hint="eastAsia" w:ascii="Times New Roman Regular" w:hAnsi="Times New Roman Regular" w:cs="Times New Roman Regular"/>
          <w:color w:val="auto"/>
          <w:lang w:val="en-US" w:eastAsia="zh-Hans"/>
        </w:rPr>
        <w:t>附图</w:t>
      </w:r>
      <w:r>
        <w:rPr>
          <w:rFonts w:hint="default" w:ascii="Times New Roman Regular" w:hAnsi="Times New Roman Regular" w:cs="Times New Roman Regular"/>
          <w:color w:val="auto"/>
          <w:lang w:eastAsia="zh-Hans"/>
        </w:rPr>
        <w:t>4）；</w:t>
      </w:r>
      <w:r>
        <w:rPr>
          <w:rFonts w:hint="default" w:ascii="Times New Roman Regular" w:hAnsi="Times New Roman Regular" w:cs="Times New Roman Regular"/>
          <w:color w:val="auto"/>
        </w:rPr>
        <w:t>厂区供水、排水及处理设施、消防、供电管道及线路均采用埋地敷设形式，并结合项目生产、生活需要沿厂区道路展布，在厂区四周设置绿化带。</w:t>
      </w:r>
    </w:p>
    <w:p>
      <w:pPr>
        <w:autoSpaceDE w:val="0"/>
        <w:autoSpaceDN w:val="0"/>
        <w:spacing w:line="420" w:lineRule="auto"/>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因此，在建设单位通过落实本评价提出各项环保措施，确保达标排放前提下，从环境保护角度分析，本项目厂区总平面布置是比较合理的。</w:t>
      </w:r>
    </w:p>
    <w:p>
      <w:pPr>
        <w:pStyle w:val="4"/>
        <w:keepNext/>
        <w:keepLines/>
        <w:widowControl w:val="0"/>
        <w:spacing w:before="163" w:beforeLines="50" w:after="163" w:afterLines="50"/>
        <w:outlineLvl w:val="1"/>
        <w:rPr>
          <w:rFonts w:hint="default" w:ascii="Times New Roman Regular" w:hAnsi="Times New Roman Regular" w:cs="Times New Roman Regular"/>
          <w:bCs w:val="0"/>
          <w:color w:val="auto"/>
          <w:kern w:val="2"/>
        </w:rPr>
      </w:pPr>
      <w:bookmarkStart w:id="163" w:name="_Toc66678211_WPSOffice_Level2"/>
      <w:bookmarkStart w:id="164" w:name="_Toc32793534"/>
      <w:r>
        <w:rPr>
          <w:rFonts w:hint="default" w:ascii="Times New Roman Regular" w:hAnsi="Times New Roman Regular" w:cs="Times New Roman Regular"/>
          <w:bCs w:val="0"/>
          <w:color w:val="auto"/>
          <w:kern w:val="2"/>
        </w:rPr>
        <w:t>5.4 主要生产设备</w:t>
      </w:r>
      <w:bookmarkEnd w:id="161"/>
      <w:bookmarkEnd w:id="163"/>
      <w:bookmarkEnd w:id="164"/>
    </w:p>
    <w:p>
      <w:pPr>
        <w:autoSpaceDE w:val="0"/>
        <w:autoSpaceDN w:val="0"/>
        <w:spacing w:line="420" w:lineRule="auto"/>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本项目的主要生产设备详见表5.4-1。</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表5.4-1 主要设备一览表</w:t>
      </w:r>
    </w:p>
    <w:tbl>
      <w:tblPr>
        <w:tblStyle w:val="36"/>
        <w:tblW w:w="845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51"/>
        <w:gridCol w:w="2434"/>
        <w:gridCol w:w="1967"/>
        <w:gridCol w:w="1619"/>
        <w:gridCol w:w="158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89" w:hRule="atLeast"/>
          <w:jc w:val="center"/>
        </w:trPr>
        <w:tc>
          <w:tcPr>
            <w:tcW w:w="851" w:type="dxa"/>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序号</w:t>
            </w:r>
          </w:p>
        </w:tc>
        <w:tc>
          <w:tcPr>
            <w:tcW w:w="2434" w:type="dxa"/>
            <w:tcBorders>
              <w:top w:val="single" w:color="auto" w:sz="12" w:space="0"/>
              <w:bottom w:val="single" w:color="auto" w:sz="6" w:space="0"/>
              <w:righ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设 备 名 称</w:t>
            </w:r>
          </w:p>
        </w:tc>
        <w:tc>
          <w:tcPr>
            <w:tcW w:w="1967" w:type="dxa"/>
            <w:tcBorders>
              <w:lef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型号</w:t>
            </w:r>
          </w:p>
        </w:tc>
        <w:tc>
          <w:tcPr>
            <w:tcW w:w="1619" w:type="dxa"/>
            <w:tcBorders>
              <w:righ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设备数量</w:t>
            </w:r>
          </w:p>
        </w:tc>
        <w:tc>
          <w:tcPr>
            <w:tcW w:w="1580" w:type="dxa"/>
            <w:tcBorders>
              <w:left w:val="single" w:color="auto" w:sz="4" w:space="0"/>
            </w:tcBorders>
            <w:vAlign w:val="center"/>
          </w:tcPr>
          <w:p>
            <w:pPr>
              <w:spacing w:line="276" w:lineRule="auto"/>
              <w:jc w:val="center"/>
              <w:rPr>
                <w:rFonts w:hint="default" w:ascii="Times New Roman Regular" w:hAnsi="Times New Roman Regular" w:eastAsia="宋体"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0" w:hRule="atLeast"/>
          <w:jc w:val="center"/>
        </w:trPr>
        <w:tc>
          <w:tcPr>
            <w:tcW w:w="851" w:type="dxa"/>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1</w:t>
            </w:r>
          </w:p>
        </w:tc>
        <w:tc>
          <w:tcPr>
            <w:tcW w:w="2434" w:type="dxa"/>
            <w:tcBorders>
              <w:top w:val="single" w:color="auto" w:sz="6" w:space="0"/>
              <w:bottom w:val="single" w:color="auto" w:sz="6" w:space="0"/>
              <w:right w:val="single" w:color="auto" w:sz="4" w:space="0"/>
            </w:tcBorders>
            <w:vAlign w:val="center"/>
          </w:tcPr>
          <w:p>
            <w:pPr>
              <w:spacing w:line="276" w:lineRule="auto"/>
              <w:jc w:val="center"/>
              <w:rPr>
                <w:rFonts w:hint="default" w:ascii="Times New Roman Regular" w:hAnsi="Times New Roman Regular" w:eastAsia="宋体"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立式镗铣加工中心</w:t>
            </w:r>
          </w:p>
        </w:tc>
        <w:tc>
          <w:tcPr>
            <w:tcW w:w="1967" w:type="dxa"/>
            <w:tcBorders>
              <w:left w:val="single" w:color="auto" w:sz="4" w:space="0"/>
            </w:tcBorders>
            <w:vAlign w:val="center"/>
          </w:tcPr>
          <w:p>
            <w:pPr>
              <w:spacing w:line="276" w:lineRule="auto"/>
              <w:jc w:val="center"/>
              <w:rPr>
                <w:rFonts w:hint="default" w:ascii="Times New Roman Regular" w:hAnsi="Times New Roman Regular" w:cs="Times New Roman Regular"/>
                <w:color w:val="auto"/>
                <w:lang w:val="en-US" w:eastAsia="zh-Hans"/>
              </w:rPr>
            </w:pPr>
            <w:r>
              <w:rPr>
                <w:rFonts w:hint="default" w:ascii="Times New Roman Regular" w:hAnsi="Times New Roman Regular" w:cs="Times New Roman Regular"/>
                <w:color w:val="auto"/>
                <w:sz w:val="21"/>
                <w:szCs w:val="21"/>
                <w:lang w:val="en-US" w:eastAsia="zh-Hans"/>
              </w:rPr>
              <w:t>VF</w:t>
            </w:r>
            <w:r>
              <w:rPr>
                <w:rFonts w:hint="default" w:ascii="Times New Roman Regular" w:hAnsi="Times New Roman Regular" w:cs="Times New Roman Regular"/>
                <w:color w:val="auto"/>
                <w:sz w:val="21"/>
                <w:szCs w:val="21"/>
                <w:lang w:eastAsia="zh-Hans"/>
              </w:rPr>
              <w:t>-3</w:t>
            </w:r>
            <w:r>
              <w:rPr>
                <w:rFonts w:hint="default" w:ascii="Times New Roman Regular" w:hAnsi="Times New Roman Regular" w:cs="Times New Roman Regular"/>
                <w:color w:val="auto"/>
                <w:sz w:val="21"/>
                <w:szCs w:val="21"/>
                <w:lang w:val="en-US" w:eastAsia="zh-Hans"/>
              </w:rPr>
              <w:t>SS</w:t>
            </w:r>
            <w:r>
              <w:rPr>
                <w:rFonts w:hint="default" w:ascii="Times New Roman Regular" w:hAnsi="Times New Roman Regular" w:cs="Times New Roman Regular"/>
                <w:color w:val="auto"/>
                <w:sz w:val="21"/>
                <w:szCs w:val="21"/>
                <w:lang w:eastAsia="zh-Hans"/>
              </w:rPr>
              <w:t>-</w:t>
            </w:r>
            <w:r>
              <w:rPr>
                <w:rFonts w:hint="default" w:ascii="Times New Roman Regular" w:hAnsi="Times New Roman Regular" w:cs="Times New Roman Regular"/>
                <w:color w:val="auto"/>
                <w:sz w:val="21"/>
                <w:szCs w:val="21"/>
                <w:lang w:val="en-US" w:eastAsia="zh-Hans"/>
              </w:rPr>
              <w:t>V</w:t>
            </w:r>
          </w:p>
        </w:tc>
        <w:tc>
          <w:tcPr>
            <w:tcW w:w="1619" w:type="dxa"/>
            <w:tcBorders>
              <w:righ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1</w:t>
            </w:r>
          </w:p>
        </w:tc>
        <w:tc>
          <w:tcPr>
            <w:tcW w:w="1580" w:type="dxa"/>
            <w:tcBorders>
              <w:left w:val="single" w:color="auto" w:sz="4" w:space="0"/>
            </w:tcBorders>
            <w:vAlign w:val="center"/>
          </w:tcPr>
          <w:p>
            <w:pPr>
              <w:spacing w:line="276" w:lineRule="auto"/>
              <w:jc w:val="center"/>
              <w:rPr>
                <w:rFonts w:hint="default" w:ascii="Times New Roman Regular" w:hAnsi="Times New Roman Regular" w:eastAsia="宋体"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一楼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8" w:hRule="atLeast"/>
          <w:jc w:val="center"/>
        </w:trPr>
        <w:tc>
          <w:tcPr>
            <w:tcW w:w="851" w:type="dxa"/>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2</w:t>
            </w:r>
          </w:p>
        </w:tc>
        <w:tc>
          <w:tcPr>
            <w:tcW w:w="2434" w:type="dxa"/>
            <w:tcBorders>
              <w:top w:val="single" w:color="auto" w:sz="6" w:space="0"/>
              <w:bottom w:val="single" w:color="auto" w:sz="6" w:space="0"/>
              <w:right w:val="single" w:color="auto" w:sz="4" w:space="0"/>
            </w:tcBorders>
            <w:vAlign w:val="center"/>
          </w:tcPr>
          <w:p>
            <w:pPr>
              <w:spacing w:line="276" w:lineRule="auto"/>
              <w:jc w:val="center"/>
              <w:rPr>
                <w:rFonts w:hint="default" w:ascii="Times New Roman Regular" w:hAnsi="Times New Roman Regular" w:eastAsia="宋体"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立式镗铣加工中心</w:t>
            </w:r>
          </w:p>
        </w:tc>
        <w:tc>
          <w:tcPr>
            <w:tcW w:w="1967" w:type="dxa"/>
            <w:tcBorders>
              <w:left w:val="single" w:color="auto" w:sz="4" w:space="0"/>
            </w:tcBorders>
          </w:tcPr>
          <w:p>
            <w:pPr>
              <w:spacing w:line="276" w:lineRule="auto"/>
              <w:jc w:val="center"/>
              <w:rPr>
                <w:rFonts w:hint="default" w:ascii="Times New Roman Regular" w:hAnsi="Times New Roman Regular" w:eastAsia="宋体"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VF</w:t>
            </w:r>
            <w:r>
              <w:rPr>
                <w:rFonts w:hint="default" w:ascii="Times New Roman Regular" w:hAnsi="Times New Roman Regular" w:cs="Times New Roman Regular"/>
                <w:color w:val="auto"/>
                <w:sz w:val="21"/>
                <w:szCs w:val="21"/>
                <w:lang w:eastAsia="zh-Hans"/>
              </w:rPr>
              <w:t>-2</w:t>
            </w:r>
            <w:r>
              <w:rPr>
                <w:rFonts w:hint="default" w:ascii="Times New Roman Regular" w:hAnsi="Times New Roman Regular" w:cs="Times New Roman Regular"/>
                <w:color w:val="auto"/>
                <w:sz w:val="21"/>
                <w:szCs w:val="21"/>
                <w:lang w:val="en-US" w:eastAsia="zh-Hans"/>
              </w:rPr>
              <w:t>SS</w:t>
            </w:r>
            <w:r>
              <w:rPr>
                <w:rFonts w:hint="default" w:ascii="Times New Roman Regular" w:hAnsi="Times New Roman Regular" w:cs="Times New Roman Regular"/>
                <w:color w:val="auto"/>
                <w:sz w:val="21"/>
                <w:szCs w:val="21"/>
                <w:lang w:eastAsia="zh-Hans"/>
              </w:rPr>
              <w:t>-</w:t>
            </w:r>
            <w:r>
              <w:rPr>
                <w:rFonts w:hint="default" w:ascii="Times New Roman Regular" w:hAnsi="Times New Roman Regular" w:cs="Times New Roman Regular"/>
                <w:color w:val="auto"/>
                <w:sz w:val="21"/>
                <w:szCs w:val="21"/>
                <w:lang w:val="en-US" w:eastAsia="zh-Hans"/>
              </w:rPr>
              <w:t>V</w:t>
            </w:r>
          </w:p>
        </w:tc>
        <w:tc>
          <w:tcPr>
            <w:tcW w:w="1619" w:type="dxa"/>
            <w:tcBorders>
              <w:righ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1</w:t>
            </w:r>
          </w:p>
        </w:tc>
        <w:tc>
          <w:tcPr>
            <w:tcW w:w="1580" w:type="dxa"/>
            <w:tcBorders>
              <w:left w:val="single" w:color="auto" w:sz="4" w:space="0"/>
            </w:tcBorders>
            <w:vAlign w:val="center"/>
          </w:tcPr>
          <w:p>
            <w:pPr>
              <w:spacing w:line="276" w:lineRule="auto"/>
              <w:jc w:val="center"/>
              <w:rPr>
                <w:rFonts w:hint="default" w:ascii="Times New Roman Regular" w:hAnsi="Times New Roman Regular" w:eastAsia="宋体"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一楼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8" w:hRule="atLeast"/>
          <w:jc w:val="center"/>
        </w:trPr>
        <w:tc>
          <w:tcPr>
            <w:tcW w:w="851" w:type="dxa"/>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3</w:t>
            </w:r>
          </w:p>
        </w:tc>
        <w:tc>
          <w:tcPr>
            <w:tcW w:w="2434" w:type="dxa"/>
            <w:tcBorders>
              <w:top w:val="single" w:color="auto" w:sz="6" w:space="0"/>
              <w:bottom w:val="single" w:color="auto" w:sz="6" w:space="0"/>
              <w:righ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数控车床</w:t>
            </w:r>
          </w:p>
        </w:tc>
        <w:tc>
          <w:tcPr>
            <w:tcW w:w="1967" w:type="dxa"/>
            <w:tcBorders>
              <w:left w:val="single" w:color="auto" w:sz="4" w:space="0"/>
            </w:tcBorders>
          </w:tcPr>
          <w:p>
            <w:pPr>
              <w:spacing w:line="276"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C</w:t>
            </w:r>
            <w:r>
              <w:rPr>
                <w:rFonts w:hint="default" w:ascii="Times New Roman Regular" w:hAnsi="Times New Roman Regular" w:cs="Times New Roman Regular"/>
                <w:color w:val="auto"/>
                <w:sz w:val="21"/>
                <w:szCs w:val="21"/>
                <w:lang w:eastAsia="zh-Hans"/>
              </w:rPr>
              <w:t>400</w:t>
            </w:r>
            <w:r>
              <w:rPr>
                <w:rFonts w:hint="default" w:ascii="Times New Roman Regular" w:hAnsi="Times New Roman Regular" w:cs="Times New Roman Regular"/>
                <w:color w:val="auto"/>
                <w:sz w:val="21"/>
                <w:szCs w:val="21"/>
                <w:lang w:val="en-US" w:eastAsia="zh-Hans"/>
              </w:rPr>
              <w:t>K</w:t>
            </w:r>
          </w:p>
        </w:tc>
        <w:tc>
          <w:tcPr>
            <w:tcW w:w="1619" w:type="dxa"/>
            <w:tcBorders>
              <w:righ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2</w:t>
            </w:r>
          </w:p>
        </w:tc>
        <w:tc>
          <w:tcPr>
            <w:tcW w:w="1580" w:type="dxa"/>
            <w:tcBorders>
              <w:lef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一楼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8" w:hRule="atLeast"/>
          <w:jc w:val="center"/>
        </w:trPr>
        <w:tc>
          <w:tcPr>
            <w:tcW w:w="851" w:type="dxa"/>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4</w:t>
            </w:r>
          </w:p>
        </w:tc>
        <w:tc>
          <w:tcPr>
            <w:tcW w:w="2434" w:type="dxa"/>
            <w:tcBorders>
              <w:top w:val="single" w:color="auto" w:sz="6" w:space="0"/>
              <w:bottom w:val="single" w:color="auto" w:sz="6" w:space="0"/>
              <w:righ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台式钻床</w:t>
            </w:r>
          </w:p>
        </w:tc>
        <w:tc>
          <w:tcPr>
            <w:tcW w:w="1967" w:type="dxa"/>
            <w:tcBorders>
              <w:left w:val="single" w:color="auto" w:sz="4" w:space="0"/>
            </w:tcBorders>
          </w:tcPr>
          <w:p>
            <w:pPr>
              <w:spacing w:line="276" w:lineRule="auto"/>
              <w:jc w:val="center"/>
              <w:rPr>
                <w:rFonts w:hint="default" w:ascii="Times New Roman Regular" w:hAnsi="Times New Roman Regular" w:cs="Times New Roman Regular"/>
                <w:color w:val="auto"/>
                <w:sz w:val="21"/>
                <w:szCs w:val="21"/>
                <w:lang w:eastAsia="zh-Hans"/>
              </w:rPr>
            </w:pPr>
            <w:r>
              <w:rPr>
                <w:rFonts w:hint="default" w:ascii="Times New Roman Regular" w:hAnsi="Times New Roman Regular" w:cs="Times New Roman Regular"/>
                <w:color w:val="auto"/>
                <w:sz w:val="21"/>
                <w:szCs w:val="21"/>
                <w:lang w:eastAsia="zh-Hans"/>
              </w:rPr>
              <w:t>-</w:t>
            </w:r>
          </w:p>
        </w:tc>
        <w:tc>
          <w:tcPr>
            <w:tcW w:w="1619" w:type="dxa"/>
            <w:tcBorders>
              <w:righ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1</w:t>
            </w:r>
          </w:p>
        </w:tc>
        <w:tc>
          <w:tcPr>
            <w:tcW w:w="1580" w:type="dxa"/>
            <w:tcBorders>
              <w:lef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一楼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8" w:hRule="atLeast"/>
          <w:jc w:val="center"/>
        </w:trPr>
        <w:tc>
          <w:tcPr>
            <w:tcW w:w="851" w:type="dxa"/>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5</w:t>
            </w:r>
          </w:p>
        </w:tc>
        <w:tc>
          <w:tcPr>
            <w:tcW w:w="2434" w:type="dxa"/>
            <w:tcBorders>
              <w:top w:val="single" w:color="auto" w:sz="6" w:space="0"/>
              <w:bottom w:val="single" w:color="auto" w:sz="6" w:space="0"/>
              <w:righ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流水线</w:t>
            </w:r>
          </w:p>
        </w:tc>
        <w:tc>
          <w:tcPr>
            <w:tcW w:w="1967" w:type="dxa"/>
            <w:tcBorders>
              <w:left w:val="single" w:color="auto" w:sz="4" w:space="0"/>
            </w:tcBorders>
          </w:tcPr>
          <w:p>
            <w:pPr>
              <w:spacing w:line="276" w:lineRule="auto"/>
              <w:jc w:val="center"/>
              <w:rPr>
                <w:rFonts w:hint="default" w:ascii="Times New Roman Regular" w:hAnsi="Times New Roman Regular" w:cs="Times New Roman Regular"/>
                <w:color w:val="auto"/>
                <w:sz w:val="21"/>
                <w:szCs w:val="21"/>
                <w:lang w:eastAsia="zh-Hans"/>
              </w:rPr>
            </w:pPr>
            <w:r>
              <w:rPr>
                <w:rFonts w:hint="default" w:ascii="Times New Roman Regular" w:hAnsi="Times New Roman Regular" w:cs="Times New Roman Regular"/>
                <w:color w:val="auto"/>
                <w:sz w:val="21"/>
                <w:szCs w:val="21"/>
                <w:lang w:eastAsia="zh-Hans"/>
              </w:rPr>
              <w:t>-</w:t>
            </w:r>
          </w:p>
        </w:tc>
        <w:tc>
          <w:tcPr>
            <w:tcW w:w="1619" w:type="dxa"/>
            <w:tcBorders>
              <w:righ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2</w:t>
            </w:r>
          </w:p>
        </w:tc>
        <w:tc>
          <w:tcPr>
            <w:tcW w:w="1580" w:type="dxa"/>
            <w:tcBorders>
              <w:lef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二楼</w:t>
            </w:r>
            <w:r>
              <w:rPr>
                <w:rFonts w:hint="default" w:ascii="Times New Roman Regular" w:hAnsi="Times New Roman Regular" w:cs="Times New Roman Regular"/>
                <w:color w:val="auto"/>
                <w:sz w:val="21"/>
                <w:szCs w:val="21"/>
                <w:lang w:eastAsia="zh-Hans"/>
              </w:rPr>
              <w:t>、</w:t>
            </w:r>
            <w:r>
              <w:rPr>
                <w:rFonts w:hint="default" w:ascii="Times New Roman Regular" w:hAnsi="Times New Roman Regular" w:cs="Times New Roman Regular"/>
                <w:color w:val="auto"/>
                <w:sz w:val="21"/>
                <w:szCs w:val="21"/>
                <w:lang w:val="en-US" w:eastAsia="zh-Hans"/>
              </w:rPr>
              <w:t>三楼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8" w:hRule="atLeast"/>
          <w:jc w:val="center"/>
        </w:trPr>
        <w:tc>
          <w:tcPr>
            <w:tcW w:w="851" w:type="dxa"/>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6</w:t>
            </w:r>
          </w:p>
        </w:tc>
        <w:tc>
          <w:tcPr>
            <w:tcW w:w="2434" w:type="dxa"/>
            <w:tcBorders>
              <w:top w:val="single" w:color="auto" w:sz="6" w:space="0"/>
              <w:bottom w:val="single" w:color="auto" w:sz="6" w:space="0"/>
              <w:righ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装配线</w:t>
            </w:r>
          </w:p>
        </w:tc>
        <w:tc>
          <w:tcPr>
            <w:tcW w:w="1967" w:type="dxa"/>
            <w:tcBorders>
              <w:left w:val="single" w:color="auto" w:sz="4" w:space="0"/>
            </w:tcBorders>
          </w:tcPr>
          <w:p>
            <w:pPr>
              <w:spacing w:line="276" w:lineRule="auto"/>
              <w:jc w:val="center"/>
              <w:rPr>
                <w:rFonts w:hint="default" w:ascii="Times New Roman Regular" w:hAnsi="Times New Roman Regular" w:cs="Times New Roman Regular"/>
                <w:color w:val="auto"/>
                <w:sz w:val="21"/>
                <w:szCs w:val="21"/>
                <w:lang w:eastAsia="zh-Hans"/>
              </w:rPr>
            </w:pPr>
            <w:r>
              <w:rPr>
                <w:rFonts w:hint="default" w:ascii="Times New Roman Regular" w:hAnsi="Times New Roman Regular" w:cs="Times New Roman Regular"/>
                <w:color w:val="auto"/>
                <w:sz w:val="21"/>
                <w:szCs w:val="21"/>
                <w:lang w:eastAsia="zh-Hans"/>
              </w:rPr>
              <w:t>-</w:t>
            </w:r>
          </w:p>
        </w:tc>
        <w:tc>
          <w:tcPr>
            <w:tcW w:w="1619" w:type="dxa"/>
            <w:tcBorders>
              <w:righ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5</w:t>
            </w:r>
          </w:p>
        </w:tc>
        <w:tc>
          <w:tcPr>
            <w:tcW w:w="1580" w:type="dxa"/>
            <w:tcBorders>
              <w:left w:val="single" w:color="auto" w:sz="4" w:space="0"/>
            </w:tcBorders>
            <w:vAlign w:val="center"/>
          </w:tcPr>
          <w:p>
            <w:pPr>
              <w:spacing w:line="276"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二楼</w:t>
            </w:r>
            <w:r>
              <w:rPr>
                <w:rFonts w:hint="default" w:ascii="Times New Roman Regular" w:hAnsi="Times New Roman Regular" w:cs="Times New Roman Regular"/>
                <w:color w:val="auto"/>
                <w:sz w:val="21"/>
                <w:szCs w:val="21"/>
                <w:lang w:eastAsia="zh-Hans"/>
              </w:rPr>
              <w:t>、</w:t>
            </w:r>
            <w:r>
              <w:rPr>
                <w:rFonts w:hint="default" w:ascii="Times New Roman Regular" w:hAnsi="Times New Roman Regular" w:cs="Times New Roman Regular"/>
                <w:color w:val="auto"/>
                <w:sz w:val="21"/>
                <w:szCs w:val="21"/>
                <w:lang w:val="en-US" w:eastAsia="zh-Hans"/>
              </w:rPr>
              <w:t>三楼</w:t>
            </w:r>
          </w:p>
        </w:tc>
      </w:tr>
    </w:tbl>
    <w:p>
      <w:pPr>
        <w:pStyle w:val="4"/>
        <w:keepNext/>
        <w:keepLines/>
        <w:widowControl w:val="0"/>
        <w:spacing w:before="163" w:beforeLines="50" w:after="163" w:afterLines="50"/>
        <w:outlineLvl w:val="1"/>
        <w:rPr>
          <w:rFonts w:hint="default" w:ascii="Times New Roman Regular" w:hAnsi="Times New Roman Regular" w:cs="Times New Roman Regular"/>
          <w:bCs w:val="0"/>
          <w:color w:val="auto"/>
          <w:kern w:val="2"/>
        </w:rPr>
      </w:pPr>
      <w:bookmarkStart w:id="165" w:name="_Toc1821712190_WPSOffice_Level2"/>
      <w:bookmarkStart w:id="166" w:name="_Toc1405112306"/>
      <w:r>
        <w:rPr>
          <w:rFonts w:hint="default" w:ascii="Times New Roman Regular" w:hAnsi="Times New Roman Regular" w:cs="Times New Roman Regular"/>
          <w:bCs w:val="0"/>
          <w:color w:val="auto"/>
          <w:kern w:val="2"/>
        </w:rPr>
        <w:t>5.5 主要原辅材料及能耗</w:t>
      </w:r>
      <w:bookmarkEnd w:id="162"/>
      <w:bookmarkEnd w:id="165"/>
      <w:bookmarkEnd w:id="166"/>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根据建设单位提供资料，原辅材料、能耗年用量见表5.5-1和5.5-2。</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表5.5-1 原辅材料用量</w:t>
      </w:r>
    </w:p>
    <w:tbl>
      <w:tblPr>
        <w:tblStyle w:val="36"/>
        <w:tblW w:w="831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45"/>
        <w:gridCol w:w="1822"/>
        <w:gridCol w:w="1449"/>
        <w:gridCol w:w="2031"/>
        <w:gridCol w:w="19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5"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序号</w:t>
            </w:r>
          </w:p>
        </w:tc>
        <w:tc>
          <w:tcPr>
            <w:tcW w:w="1822" w:type="dxa"/>
            <w:tcBorders>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名称</w:t>
            </w:r>
          </w:p>
        </w:tc>
        <w:tc>
          <w:tcPr>
            <w:tcW w:w="1449" w:type="dxa"/>
            <w:tcBorders>
              <w:left w:val="single" w:color="auto" w:sz="4" w:space="0"/>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形态</w:t>
            </w:r>
          </w:p>
        </w:tc>
        <w:tc>
          <w:tcPr>
            <w:tcW w:w="2031" w:type="dxa"/>
            <w:tcBorders>
              <w:left w:val="single" w:color="auto" w:sz="4" w:space="0"/>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年耗量</w:t>
            </w:r>
          </w:p>
        </w:tc>
        <w:tc>
          <w:tcPr>
            <w:tcW w:w="1964"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包装方式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5"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1</w:t>
            </w:r>
          </w:p>
        </w:tc>
        <w:tc>
          <w:tcPr>
            <w:tcW w:w="1822" w:type="dxa"/>
            <w:tcBorders>
              <w:right w:val="single" w:color="auto" w:sz="4" w:space="0"/>
            </w:tcBorders>
            <w:vAlign w:val="center"/>
          </w:tcPr>
          <w:p>
            <w:pPr>
              <w:spacing w:line="240" w:lineRule="auto"/>
              <w:jc w:val="center"/>
              <w:rPr>
                <w:rFonts w:hint="default" w:ascii="Times New Roman Regular" w:hAnsi="Times New Roman Regular" w:eastAsia="宋体" w:cs="Times New Roman Regular"/>
                <w:color w:val="auto"/>
                <w:sz w:val="21"/>
                <w:szCs w:val="21"/>
                <w:lang w:eastAsia="zh-Hans"/>
              </w:rPr>
            </w:pPr>
            <w:r>
              <w:rPr>
                <w:rFonts w:hint="default" w:ascii="Times New Roman Regular" w:hAnsi="Times New Roman Regular" w:cs="Times New Roman Regular"/>
                <w:color w:val="auto"/>
                <w:sz w:val="21"/>
                <w:szCs w:val="21"/>
                <w:lang w:eastAsia="zh-Hans"/>
              </w:rPr>
              <w:t>45#</w:t>
            </w:r>
            <w:r>
              <w:rPr>
                <w:rFonts w:hint="default" w:ascii="Times New Roman Regular" w:hAnsi="Times New Roman Regular" w:cs="Times New Roman Regular"/>
                <w:color w:val="auto"/>
                <w:sz w:val="21"/>
                <w:szCs w:val="21"/>
                <w:lang w:val="en-US" w:eastAsia="zh-Hans"/>
              </w:rPr>
              <w:t>钢</w:t>
            </w:r>
          </w:p>
        </w:tc>
        <w:tc>
          <w:tcPr>
            <w:tcW w:w="1449" w:type="dxa"/>
            <w:tcBorders>
              <w:left w:val="single" w:color="auto" w:sz="4" w:space="0"/>
              <w:right w:val="single" w:color="auto" w:sz="4" w:space="0"/>
            </w:tcBorders>
            <w:vAlign w:val="center"/>
          </w:tcPr>
          <w:p>
            <w:pPr>
              <w:spacing w:line="240" w:lineRule="auto"/>
              <w:jc w:val="center"/>
              <w:rPr>
                <w:rFonts w:hint="default" w:ascii="Times New Roman Regular" w:hAnsi="Times New Roman Regular" w:eastAsia="宋体"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固态</w:t>
            </w:r>
          </w:p>
        </w:tc>
        <w:tc>
          <w:tcPr>
            <w:tcW w:w="2031" w:type="dxa"/>
            <w:tcBorders>
              <w:left w:val="single" w:color="auto" w:sz="4" w:space="0"/>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45t/a</w:t>
            </w:r>
          </w:p>
        </w:tc>
        <w:tc>
          <w:tcPr>
            <w:tcW w:w="1964" w:type="dxa"/>
            <w:vAlign w:val="center"/>
          </w:tcPr>
          <w:p>
            <w:pPr>
              <w:spacing w:line="240" w:lineRule="auto"/>
              <w:jc w:val="center"/>
              <w:rPr>
                <w:rFonts w:hint="default" w:ascii="Times New Roman Regular" w:hAnsi="Times New Roman Regular" w:eastAsia="宋体"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纸箱包装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5"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2</w:t>
            </w:r>
          </w:p>
        </w:tc>
        <w:tc>
          <w:tcPr>
            <w:tcW w:w="1822" w:type="dxa"/>
            <w:tcBorders>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CN"/>
              </w:rPr>
              <w:t>平开过渡轴</w:t>
            </w:r>
          </w:p>
        </w:tc>
        <w:tc>
          <w:tcPr>
            <w:tcW w:w="1449" w:type="dxa"/>
            <w:tcBorders>
              <w:left w:val="single" w:color="auto" w:sz="4" w:space="0"/>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固态</w:t>
            </w:r>
          </w:p>
        </w:tc>
        <w:tc>
          <w:tcPr>
            <w:tcW w:w="2031" w:type="dxa"/>
            <w:tcBorders>
              <w:left w:val="single" w:color="auto" w:sz="4" w:space="0"/>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lang w:val="en-US" w:eastAsia="zh-CN"/>
              </w:rPr>
              <w:t>70000</w:t>
            </w:r>
            <w:r>
              <w:rPr>
                <w:rFonts w:hint="default" w:ascii="Times New Roman Regular" w:hAnsi="Times New Roman Regular" w:cs="Times New Roman Regular"/>
                <w:color w:val="auto"/>
                <w:sz w:val="21"/>
                <w:szCs w:val="21"/>
                <w:lang w:val="en-US" w:eastAsia="zh-Hans"/>
              </w:rPr>
              <w:t>件</w:t>
            </w:r>
            <w:r>
              <w:rPr>
                <w:rFonts w:hint="default" w:ascii="Times New Roman Regular" w:hAnsi="Times New Roman Regular" w:cs="Times New Roman Regular"/>
                <w:color w:val="auto"/>
                <w:sz w:val="21"/>
                <w:szCs w:val="21"/>
                <w:lang w:eastAsia="zh-Hans"/>
              </w:rPr>
              <w:t>/</w:t>
            </w:r>
            <w:r>
              <w:rPr>
                <w:rFonts w:hint="default" w:ascii="Times New Roman Regular" w:hAnsi="Times New Roman Regular" w:cs="Times New Roman Regular"/>
                <w:color w:val="auto"/>
                <w:sz w:val="21"/>
                <w:szCs w:val="21"/>
                <w:lang w:val="en-US" w:eastAsia="zh-Hans"/>
              </w:rPr>
              <w:t>年</w:t>
            </w:r>
          </w:p>
        </w:tc>
        <w:tc>
          <w:tcPr>
            <w:tcW w:w="1964" w:type="dxa"/>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纸箱包装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5"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3</w:t>
            </w:r>
          </w:p>
        </w:tc>
        <w:tc>
          <w:tcPr>
            <w:tcW w:w="1822" w:type="dxa"/>
            <w:tcBorders>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CN"/>
              </w:rPr>
              <w:t>平开轮轴</w:t>
            </w:r>
          </w:p>
        </w:tc>
        <w:tc>
          <w:tcPr>
            <w:tcW w:w="1449" w:type="dxa"/>
            <w:tcBorders>
              <w:left w:val="single" w:color="auto" w:sz="4" w:space="0"/>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固态</w:t>
            </w:r>
          </w:p>
        </w:tc>
        <w:tc>
          <w:tcPr>
            <w:tcW w:w="2031" w:type="dxa"/>
            <w:tcBorders>
              <w:left w:val="single" w:color="auto" w:sz="4" w:space="0"/>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lang w:val="en-US" w:eastAsia="zh-CN"/>
              </w:rPr>
              <w:t>70000</w:t>
            </w:r>
            <w:r>
              <w:rPr>
                <w:rFonts w:hint="default" w:ascii="Times New Roman Regular" w:hAnsi="Times New Roman Regular" w:cs="Times New Roman Regular"/>
                <w:color w:val="auto"/>
                <w:sz w:val="21"/>
                <w:szCs w:val="21"/>
                <w:lang w:val="en-US" w:eastAsia="zh-Hans"/>
              </w:rPr>
              <w:t>件</w:t>
            </w:r>
            <w:r>
              <w:rPr>
                <w:rFonts w:hint="default" w:ascii="Times New Roman Regular" w:hAnsi="Times New Roman Regular" w:cs="Times New Roman Regular"/>
                <w:color w:val="auto"/>
                <w:sz w:val="21"/>
                <w:szCs w:val="21"/>
                <w:lang w:eastAsia="zh-Hans"/>
              </w:rPr>
              <w:t>/</w:t>
            </w:r>
            <w:r>
              <w:rPr>
                <w:rFonts w:hint="default" w:ascii="Times New Roman Regular" w:hAnsi="Times New Roman Regular" w:cs="Times New Roman Regular"/>
                <w:color w:val="auto"/>
                <w:sz w:val="21"/>
                <w:szCs w:val="21"/>
                <w:lang w:val="en-US" w:eastAsia="zh-Hans"/>
              </w:rPr>
              <w:t>年</w:t>
            </w:r>
          </w:p>
        </w:tc>
        <w:tc>
          <w:tcPr>
            <w:tcW w:w="1964" w:type="dxa"/>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纸箱包装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5"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4</w:t>
            </w:r>
          </w:p>
        </w:tc>
        <w:tc>
          <w:tcPr>
            <w:tcW w:w="1822" w:type="dxa"/>
            <w:tcBorders>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CN"/>
              </w:rPr>
              <w:t>平移电机轴</w:t>
            </w:r>
          </w:p>
        </w:tc>
        <w:tc>
          <w:tcPr>
            <w:tcW w:w="1449" w:type="dxa"/>
            <w:tcBorders>
              <w:left w:val="single" w:color="auto" w:sz="4" w:space="0"/>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固态</w:t>
            </w:r>
          </w:p>
        </w:tc>
        <w:tc>
          <w:tcPr>
            <w:tcW w:w="2031" w:type="dxa"/>
            <w:tcBorders>
              <w:left w:val="single" w:color="auto" w:sz="4" w:space="0"/>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lang w:val="en-US" w:eastAsia="zh-CN"/>
              </w:rPr>
              <w:t>40000</w:t>
            </w:r>
            <w:r>
              <w:rPr>
                <w:rFonts w:hint="default" w:ascii="Times New Roman Regular" w:hAnsi="Times New Roman Regular" w:cs="Times New Roman Regular"/>
                <w:color w:val="auto"/>
                <w:sz w:val="21"/>
                <w:szCs w:val="21"/>
                <w:lang w:val="en-US" w:eastAsia="zh-Hans"/>
              </w:rPr>
              <w:t>件</w:t>
            </w:r>
            <w:r>
              <w:rPr>
                <w:rFonts w:hint="default" w:ascii="Times New Roman Regular" w:hAnsi="Times New Roman Regular" w:cs="Times New Roman Regular"/>
                <w:color w:val="auto"/>
                <w:sz w:val="21"/>
                <w:szCs w:val="21"/>
                <w:lang w:eastAsia="zh-Hans"/>
              </w:rPr>
              <w:t>/</w:t>
            </w:r>
            <w:r>
              <w:rPr>
                <w:rFonts w:hint="default" w:ascii="Times New Roman Regular" w:hAnsi="Times New Roman Regular" w:cs="Times New Roman Regular"/>
                <w:color w:val="auto"/>
                <w:sz w:val="21"/>
                <w:szCs w:val="21"/>
                <w:lang w:val="en-US" w:eastAsia="zh-Hans"/>
              </w:rPr>
              <w:t>年</w:t>
            </w:r>
          </w:p>
        </w:tc>
        <w:tc>
          <w:tcPr>
            <w:tcW w:w="1964" w:type="dxa"/>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纸箱包装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5"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5</w:t>
            </w:r>
          </w:p>
        </w:tc>
        <w:tc>
          <w:tcPr>
            <w:tcW w:w="1822" w:type="dxa"/>
            <w:tcBorders>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CN"/>
              </w:rPr>
              <w:t>平移输出轴</w:t>
            </w:r>
          </w:p>
        </w:tc>
        <w:tc>
          <w:tcPr>
            <w:tcW w:w="1449" w:type="dxa"/>
            <w:tcBorders>
              <w:left w:val="single" w:color="auto" w:sz="4" w:space="0"/>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固态</w:t>
            </w:r>
          </w:p>
        </w:tc>
        <w:tc>
          <w:tcPr>
            <w:tcW w:w="2031" w:type="dxa"/>
            <w:tcBorders>
              <w:left w:val="single" w:color="auto" w:sz="4" w:space="0"/>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lang w:val="en-US" w:eastAsia="zh-CN"/>
              </w:rPr>
              <w:t>40000</w:t>
            </w:r>
            <w:r>
              <w:rPr>
                <w:rFonts w:hint="default" w:ascii="Times New Roman Regular" w:hAnsi="Times New Roman Regular" w:cs="Times New Roman Regular"/>
                <w:color w:val="auto"/>
                <w:sz w:val="21"/>
                <w:szCs w:val="21"/>
                <w:lang w:val="en-US" w:eastAsia="zh-Hans"/>
              </w:rPr>
              <w:t>件</w:t>
            </w:r>
            <w:r>
              <w:rPr>
                <w:rFonts w:hint="default" w:ascii="Times New Roman Regular" w:hAnsi="Times New Roman Regular" w:cs="Times New Roman Regular"/>
                <w:color w:val="auto"/>
                <w:sz w:val="21"/>
                <w:szCs w:val="21"/>
                <w:lang w:eastAsia="zh-Hans"/>
              </w:rPr>
              <w:t>/</w:t>
            </w:r>
            <w:r>
              <w:rPr>
                <w:rFonts w:hint="default" w:ascii="Times New Roman Regular" w:hAnsi="Times New Roman Regular" w:cs="Times New Roman Regular"/>
                <w:color w:val="auto"/>
                <w:sz w:val="21"/>
                <w:szCs w:val="21"/>
                <w:lang w:val="en-US" w:eastAsia="zh-Hans"/>
              </w:rPr>
              <w:t>年</w:t>
            </w:r>
          </w:p>
        </w:tc>
        <w:tc>
          <w:tcPr>
            <w:tcW w:w="1964" w:type="dxa"/>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纸箱包装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5"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6</w:t>
            </w:r>
          </w:p>
        </w:tc>
        <w:tc>
          <w:tcPr>
            <w:tcW w:w="1822" w:type="dxa"/>
            <w:tcBorders>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CN"/>
              </w:rPr>
              <w:t>重型双轮过渡轴</w:t>
            </w:r>
          </w:p>
        </w:tc>
        <w:tc>
          <w:tcPr>
            <w:tcW w:w="1449" w:type="dxa"/>
            <w:tcBorders>
              <w:left w:val="single" w:color="auto" w:sz="4" w:space="0"/>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固态</w:t>
            </w:r>
          </w:p>
        </w:tc>
        <w:tc>
          <w:tcPr>
            <w:tcW w:w="2031" w:type="dxa"/>
            <w:tcBorders>
              <w:left w:val="single" w:color="auto" w:sz="4" w:space="0"/>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lang w:val="en-US" w:eastAsia="zh-CN"/>
              </w:rPr>
              <w:t>2000</w:t>
            </w:r>
            <w:r>
              <w:rPr>
                <w:rFonts w:hint="default" w:ascii="Times New Roman Regular" w:hAnsi="Times New Roman Regular" w:cs="Times New Roman Regular"/>
                <w:color w:val="auto"/>
                <w:sz w:val="21"/>
                <w:szCs w:val="21"/>
                <w:lang w:val="en-US" w:eastAsia="zh-Hans"/>
              </w:rPr>
              <w:t>件</w:t>
            </w:r>
            <w:r>
              <w:rPr>
                <w:rFonts w:hint="default" w:ascii="Times New Roman Regular" w:hAnsi="Times New Roman Regular" w:cs="Times New Roman Regular"/>
                <w:color w:val="auto"/>
                <w:sz w:val="21"/>
                <w:szCs w:val="21"/>
                <w:lang w:eastAsia="zh-Hans"/>
              </w:rPr>
              <w:t>/</w:t>
            </w:r>
            <w:r>
              <w:rPr>
                <w:rFonts w:hint="default" w:ascii="Times New Roman Regular" w:hAnsi="Times New Roman Regular" w:cs="Times New Roman Regular"/>
                <w:color w:val="auto"/>
                <w:sz w:val="21"/>
                <w:szCs w:val="21"/>
                <w:lang w:val="en-US" w:eastAsia="zh-Hans"/>
              </w:rPr>
              <w:t>年</w:t>
            </w:r>
          </w:p>
        </w:tc>
        <w:tc>
          <w:tcPr>
            <w:tcW w:w="1964" w:type="dxa"/>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纸箱包装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5"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7</w:t>
            </w:r>
          </w:p>
        </w:tc>
        <w:tc>
          <w:tcPr>
            <w:tcW w:w="1822" w:type="dxa"/>
            <w:tcBorders>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CN"/>
              </w:rPr>
              <w:t>重型双轮轮轴</w:t>
            </w:r>
          </w:p>
        </w:tc>
        <w:tc>
          <w:tcPr>
            <w:tcW w:w="1449" w:type="dxa"/>
            <w:tcBorders>
              <w:left w:val="single" w:color="auto" w:sz="4" w:space="0"/>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固态</w:t>
            </w:r>
          </w:p>
        </w:tc>
        <w:tc>
          <w:tcPr>
            <w:tcW w:w="2031" w:type="dxa"/>
            <w:tcBorders>
              <w:left w:val="single" w:color="auto" w:sz="4" w:space="0"/>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lang w:val="en-US" w:eastAsia="zh-CN"/>
              </w:rPr>
              <w:t>2000</w:t>
            </w:r>
            <w:r>
              <w:rPr>
                <w:rFonts w:hint="default" w:ascii="Times New Roman Regular" w:hAnsi="Times New Roman Regular" w:cs="Times New Roman Regular"/>
                <w:color w:val="auto"/>
                <w:sz w:val="21"/>
                <w:szCs w:val="21"/>
                <w:lang w:val="en-US" w:eastAsia="zh-Hans"/>
              </w:rPr>
              <w:t>件</w:t>
            </w:r>
            <w:r>
              <w:rPr>
                <w:rFonts w:hint="default" w:ascii="Times New Roman Regular" w:hAnsi="Times New Roman Regular" w:cs="Times New Roman Regular"/>
                <w:color w:val="auto"/>
                <w:sz w:val="21"/>
                <w:szCs w:val="21"/>
                <w:lang w:eastAsia="zh-Hans"/>
              </w:rPr>
              <w:t>/</w:t>
            </w:r>
            <w:r>
              <w:rPr>
                <w:rFonts w:hint="default" w:ascii="Times New Roman Regular" w:hAnsi="Times New Roman Regular" w:cs="Times New Roman Regular"/>
                <w:color w:val="auto"/>
                <w:sz w:val="21"/>
                <w:szCs w:val="21"/>
                <w:lang w:val="en-US" w:eastAsia="zh-Hans"/>
              </w:rPr>
              <w:t>年</w:t>
            </w:r>
          </w:p>
        </w:tc>
        <w:tc>
          <w:tcPr>
            <w:tcW w:w="1964" w:type="dxa"/>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纸箱包装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5"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8</w:t>
            </w:r>
          </w:p>
        </w:tc>
        <w:tc>
          <w:tcPr>
            <w:tcW w:w="1822" w:type="dxa"/>
            <w:tcBorders>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CN"/>
              </w:rPr>
              <w:t>曲臂电机输出轴</w:t>
            </w:r>
          </w:p>
        </w:tc>
        <w:tc>
          <w:tcPr>
            <w:tcW w:w="1449" w:type="dxa"/>
            <w:tcBorders>
              <w:left w:val="single" w:color="auto" w:sz="4" w:space="0"/>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固态</w:t>
            </w:r>
          </w:p>
        </w:tc>
        <w:tc>
          <w:tcPr>
            <w:tcW w:w="2031" w:type="dxa"/>
            <w:tcBorders>
              <w:left w:val="single" w:color="auto" w:sz="4" w:space="0"/>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lang w:val="en-US" w:eastAsia="zh-CN"/>
              </w:rPr>
              <w:t>6000</w:t>
            </w:r>
            <w:r>
              <w:rPr>
                <w:rFonts w:hint="default" w:ascii="Times New Roman Regular" w:hAnsi="Times New Roman Regular" w:cs="Times New Roman Regular"/>
                <w:color w:val="auto"/>
                <w:sz w:val="21"/>
                <w:szCs w:val="21"/>
                <w:lang w:val="en-US" w:eastAsia="zh-Hans"/>
              </w:rPr>
              <w:t>件</w:t>
            </w:r>
            <w:r>
              <w:rPr>
                <w:rFonts w:hint="default" w:ascii="Times New Roman Regular" w:hAnsi="Times New Roman Regular" w:cs="Times New Roman Regular"/>
                <w:color w:val="auto"/>
                <w:sz w:val="21"/>
                <w:szCs w:val="21"/>
                <w:lang w:eastAsia="zh-Hans"/>
              </w:rPr>
              <w:t>/</w:t>
            </w:r>
            <w:r>
              <w:rPr>
                <w:rFonts w:hint="default" w:ascii="Times New Roman Regular" w:hAnsi="Times New Roman Regular" w:cs="Times New Roman Regular"/>
                <w:color w:val="auto"/>
                <w:sz w:val="21"/>
                <w:szCs w:val="21"/>
                <w:lang w:val="en-US" w:eastAsia="zh-Hans"/>
              </w:rPr>
              <w:t>年</w:t>
            </w:r>
          </w:p>
        </w:tc>
        <w:tc>
          <w:tcPr>
            <w:tcW w:w="1964" w:type="dxa"/>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纸箱包装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5"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9</w:t>
            </w:r>
          </w:p>
        </w:tc>
        <w:tc>
          <w:tcPr>
            <w:tcW w:w="1822" w:type="dxa"/>
            <w:tcBorders>
              <w:right w:val="single" w:color="auto" w:sz="4" w:space="0"/>
            </w:tcBorders>
            <w:vAlign w:val="top"/>
          </w:tcPr>
          <w:p>
            <w:pPr>
              <w:spacing w:line="240" w:lineRule="auto"/>
              <w:jc w:val="center"/>
              <w:rPr>
                <w:rFonts w:hint="eastAsia" w:ascii="Times New Roman Regular" w:hAnsi="Times New Roman Regular" w:eastAsia="宋体" w:cs="Times New Roman Regular"/>
                <w:color w:val="auto"/>
                <w:sz w:val="21"/>
                <w:szCs w:val="21"/>
                <w:lang w:val="en-US" w:eastAsia="zh-Hans"/>
              </w:rPr>
            </w:pPr>
            <w:r>
              <w:rPr>
                <w:rFonts w:hint="eastAsia" w:ascii="Times New Roman Regular" w:hAnsi="Times New Roman Regular" w:cs="Times New Roman Regular"/>
                <w:color w:val="auto"/>
                <w:sz w:val="21"/>
                <w:szCs w:val="21"/>
                <w:lang w:val="en-US" w:eastAsia="zh-Hans"/>
              </w:rPr>
              <w:t>绝缘胶水</w:t>
            </w:r>
          </w:p>
        </w:tc>
        <w:tc>
          <w:tcPr>
            <w:tcW w:w="1449" w:type="dxa"/>
            <w:tcBorders>
              <w:left w:val="single" w:color="auto" w:sz="4" w:space="0"/>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eastAsia" w:ascii="Times New Roman Regular" w:hAnsi="Times New Roman Regular" w:cs="Times New Roman Regular"/>
                <w:color w:val="auto"/>
                <w:sz w:val="21"/>
                <w:szCs w:val="21"/>
                <w:lang w:val="en-US" w:eastAsia="zh-Hans"/>
              </w:rPr>
              <w:t>液态</w:t>
            </w:r>
          </w:p>
        </w:tc>
        <w:tc>
          <w:tcPr>
            <w:tcW w:w="2031" w:type="dxa"/>
            <w:tcBorders>
              <w:left w:val="single" w:color="auto" w:sz="4" w:space="0"/>
              <w:right w:val="single" w:color="auto" w:sz="4" w:space="0"/>
            </w:tcBorders>
            <w:vAlign w:val="top"/>
          </w:tcPr>
          <w:p>
            <w:pPr>
              <w:spacing w:line="240" w:lineRule="auto"/>
              <w:jc w:val="center"/>
              <w:rPr>
                <w:rFonts w:hint="default" w:ascii="Times New Roman Regular" w:hAnsi="Times New Roman Regular" w:cs="Times New Roman Regular"/>
                <w:color w:val="auto"/>
                <w:sz w:val="21"/>
                <w:szCs w:val="21"/>
                <w:lang w:eastAsia="zh-CN"/>
              </w:rPr>
            </w:pPr>
            <w:r>
              <w:rPr>
                <w:rFonts w:hint="default" w:ascii="Times New Roman Regular" w:hAnsi="Times New Roman Regular" w:cs="Times New Roman Regular"/>
                <w:color w:val="auto"/>
                <w:sz w:val="21"/>
                <w:szCs w:val="21"/>
                <w:lang w:eastAsia="zh-CN"/>
              </w:rPr>
              <w:t>25</w:t>
            </w:r>
            <w:r>
              <w:rPr>
                <w:rFonts w:hint="eastAsia" w:ascii="Times New Roman Regular" w:hAnsi="Times New Roman Regular" w:cs="Times New Roman Regular"/>
                <w:color w:val="auto"/>
                <w:sz w:val="21"/>
                <w:szCs w:val="21"/>
                <w:lang w:val="en-US" w:eastAsia="zh-Hans"/>
              </w:rPr>
              <w:t>kg</w:t>
            </w:r>
            <w:r>
              <w:rPr>
                <w:rFonts w:hint="default" w:ascii="Times New Roman Regular" w:hAnsi="Times New Roman Regular" w:cs="Times New Roman Regular"/>
                <w:color w:val="auto"/>
                <w:sz w:val="21"/>
                <w:szCs w:val="21"/>
                <w:lang w:eastAsia="zh-Hans"/>
              </w:rPr>
              <w:t>/</w:t>
            </w:r>
            <w:r>
              <w:rPr>
                <w:rFonts w:hint="eastAsia" w:ascii="Times New Roman Regular" w:hAnsi="Times New Roman Regular" w:cs="Times New Roman Regular"/>
                <w:color w:val="auto"/>
                <w:sz w:val="21"/>
                <w:szCs w:val="21"/>
                <w:lang w:val="en-US" w:eastAsia="zh-Hans"/>
              </w:rPr>
              <w:t>a</w:t>
            </w:r>
          </w:p>
        </w:tc>
        <w:tc>
          <w:tcPr>
            <w:tcW w:w="1964" w:type="dxa"/>
            <w:vAlign w:val="center"/>
          </w:tcPr>
          <w:p>
            <w:pPr>
              <w:spacing w:line="240" w:lineRule="auto"/>
              <w:jc w:val="center"/>
              <w:rPr>
                <w:rFonts w:hint="default" w:ascii="Times New Roman Regular" w:hAnsi="Times New Roman Regular" w:cs="Times New Roman Regular"/>
                <w:color w:val="auto"/>
                <w:sz w:val="21"/>
                <w:szCs w:val="21"/>
                <w:lang w:val="en-US" w:eastAsia="zh-Hans"/>
              </w:rPr>
            </w:pPr>
            <w:r>
              <w:rPr>
                <w:rFonts w:hint="eastAsia" w:ascii="Times New Roman Regular" w:hAnsi="Times New Roman Regular" w:cs="Times New Roman Regular"/>
                <w:color w:val="auto"/>
                <w:sz w:val="21"/>
                <w:szCs w:val="21"/>
                <w:lang w:val="en-US" w:eastAsia="zh-Hans"/>
              </w:rPr>
              <w:t>桶装</w:t>
            </w:r>
          </w:p>
        </w:tc>
      </w:tr>
    </w:tbl>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表5.5-2 主要能源消耗量</w:t>
      </w:r>
    </w:p>
    <w:tbl>
      <w:tblPr>
        <w:tblStyle w:val="36"/>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640"/>
        <w:gridCol w:w="2835"/>
        <w:gridCol w:w="283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640"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名称</w:t>
            </w:r>
          </w:p>
        </w:tc>
        <w:tc>
          <w:tcPr>
            <w:tcW w:w="2835" w:type="dxa"/>
            <w:tcBorders>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单位</w:t>
            </w:r>
          </w:p>
        </w:tc>
        <w:tc>
          <w:tcPr>
            <w:tcW w:w="2835" w:type="dxa"/>
            <w:tcBorders>
              <w:lef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用量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640"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w:t>
            </w:r>
          </w:p>
        </w:tc>
        <w:tc>
          <w:tcPr>
            <w:tcW w:w="2835" w:type="dxa"/>
            <w:tcBorders>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m</w:t>
            </w:r>
            <w:r>
              <w:rPr>
                <w:rFonts w:hint="default" w:ascii="Times New Roman Regular" w:hAnsi="Times New Roman Regular" w:cs="Times New Roman Regular"/>
                <w:color w:val="auto"/>
                <w:sz w:val="21"/>
                <w:szCs w:val="21"/>
                <w:vertAlign w:val="superscript"/>
              </w:rPr>
              <w:t>3</w:t>
            </w:r>
            <w:r>
              <w:rPr>
                <w:rFonts w:hint="default" w:ascii="Times New Roman Regular" w:hAnsi="Times New Roman Regular" w:cs="Times New Roman Regular"/>
                <w:color w:val="auto"/>
                <w:sz w:val="21"/>
                <w:szCs w:val="21"/>
              </w:rPr>
              <w:t>/a</w:t>
            </w:r>
          </w:p>
        </w:tc>
        <w:tc>
          <w:tcPr>
            <w:tcW w:w="2835" w:type="dxa"/>
            <w:tcBorders>
              <w:lef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375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640"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电</w:t>
            </w:r>
          </w:p>
        </w:tc>
        <w:tc>
          <w:tcPr>
            <w:tcW w:w="2835" w:type="dxa"/>
            <w:tcBorders>
              <w:righ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kWh/a</w:t>
            </w:r>
          </w:p>
        </w:tc>
        <w:tc>
          <w:tcPr>
            <w:tcW w:w="2835" w:type="dxa"/>
            <w:tcBorders>
              <w:left w:val="single" w:color="auto" w:sz="4"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76800</w:t>
            </w:r>
          </w:p>
        </w:tc>
      </w:tr>
    </w:tbl>
    <w:p>
      <w:pPr>
        <w:spacing w:line="480" w:lineRule="exact"/>
        <w:ind w:firstLine="482" w:firstLineChars="200"/>
        <w:rPr>
          <w:rFonts w:hint="default" w:ascii="Times New Roman Regular" w:hAnsi="Times New Roman Regular" w:cs="Times New Roman Regular"/>
          <w:bCs/>
          <w:color w:val="auto"/>
          <w:lang w:eastAsia="zh-Hans"/>
        </w:rPr>
      </w:pPr>
      <w:bookmarkStart w:id="167" w:name="_Toc1992344530"/>
      <w:bookmarkStart w:id="168" w:name="_Toc47618320"/>
      <w:r>
        <w:rPr>
          <w:rFonts w:hint="default" w:ascii="Times New Roman Regular" w:hAnsi="Times New Roman Regular" w:cs="Times New Roman Regular"/>
          <w:b/>
          <w:bCs w:val="0"/>
          <w:color w:val="auto"/>
          <w:lang w:eastAsia="zh-Hans"/>
        </w:rPr>
        <w:t>45#</w:t>
      </w:r>
      <w:r>
        <w:rPr>
          <w:rFonts w:hint="eastAsia" w:ascii="Times New Roman Regular" w:hAnsi="Times New Roman Regular" w:cs="Times New Roman Regular"/>
          <w:b/>
          <w:bCs w:val="0"/>
          <w:color w:val="auto"/>
          <w:lang w:val="en-US" w:eastAsia="zh-Hans"/>
        </w:rPr>
        <w:t>钢</w:t>
      </w:r>
      <w:r>
        <w:rPr>
          <w:rFonts w:hint="default" w:ascii="Times New Roman Regular" w:hAnsi="Times New Roman Regular" w:cs="Times New Roman Regular"/>
          <w:bCs/>
          <w:color w:val="auto"/>
          <w:lang w:eastAsia="zh-Hans"/>
        </w:rPr>
        <w:t>：45#是钢的牌号是一种优质</w:t>
      </w:r>
      <w:r>
        <w:rPr>
          <w:rFonts w:hint="default" w:ascii="Times New Roman Regular" w:hAnsi="Times New Roman Regular" w:cs="Times New Roman Regular"/>
          <w:bCs/>
          <w:color w:val="auto"/>
          <w:lang w:eastAsia="zh-Hans"/>
        </w:rPr>
        <w:fldChar w:fldCharType="begin"/>
      </w:r>
      <w:r>
        <w:rPr>
          <w:rFonts w:hint="default" w:ascii="Times New Roman Regular" w:hAnsi="Times New Roman Regular" w:cs="Times New Roman Regular"/>
          <w:bCs/>
          <w:color w:val="auto"/>
          <w:lang w:eastAsia="zh-Hans"/>
        </w:rPr>
        <w:instrText xml:space="preserve"> HYPERLINK "https://baike.baidu.com/item/%E7%A2%B3%E7%B4%A0" \t "/Users/chenyang/Documents\\x/_blank" </w:instrText>
      </w:r>
      <w:r>
        <w:rPr>
          <w:rFonts w:hint="default" w:ascii="Times New Roman Regular" w:hAnsi="Times New Roman Regular" w:cs="Times New Roman Regular"/>
          <w:bCs/>
          <w:color w:val="auto"/>
          <w:lang w:eastAsia="zh-Hans"/>
        </w:rPr>
        <w:fldChar w:fldCharType="separate"/>
      </w:r>
      <w:r>
        <w:rPr>
          <w:rFonts w:hint="default" w:ascii="Times New Roman Regular" w:hAnsi="Times New Roman Regular" w:cs="Times New Roman Regular"/>
          <w:bCs/>
          <w:color w:val="auto"/>
          <w:lang w:eastAsia="zh-Hans"/>
        </w:rPr>
        <w:t>碳素</w:t>
      </w:r>
      <w:r>
        <w:rPr>
          <w:rFonts w:hint="default" w:ascii="Times New Roman Regular" w:hAnsi="Times New Roman Regular" w:cs="Times New Roman Regular"/>
          <w:bCs/>
          <w:color w:val="auto"/>
          <w:lang w:eastAsia="zh-Hans"/>
        </w:rPr>
        <w:fldChar w:fldCharType="end"/>
      </w:r>
      <w:r>
        <w:rPr>
          <w:rFonts w:hint="default" w:ascii="Times New Roman Regular" w:hAnsi="Times New Roman Regular" w:cs="Times New Roman Regular"/>
          <w:bCs/>
          <w:color w:val="auto"/>
          <w:lang w:eastAsia="zh-Hans"/>
        </w:rPr>
        <w:t>结构钢，对应日标</w:t>
      </w:r>
      <w:r>
        <w:rPr>
          <w:rFonts w:hint="default" w:ascii="Times New Roman Regular" w:hAnsi="Times New Roman Regular" w:cs="Times New Roman Regular"/>
          <w:bCs/>
          <w:color w:val="auto"/>
          <w:lang w:eastAsia="zh-Hans"/>
        </w:rPr>
        <w:fldChar w:fldCharType="begin"/>
      </w:r>
      <w:r>
        <w:rPr>
          <w:rFonts w:hint="default" w:ascii="Times New Roman Regular" w:hAnsi="Times New Roman Regular" w:cs="Times New Roman Regular"/>
          <w:bCs/>
          <w:color w:val="auto"/>
          <w:lang w:eastAsia="zh-Hans"/>
        </w:rPr>
        <w:instrText xml:space="preserve"> HYPERLINK "https://baike.baidu.com/item/S45C" \t "/Users/chenyang/Documents\\x/_blank" </w:instrText>
      </w:r>
      <w:r>
        <w:rPr>
          <w:rFonts w:hint="default" w:ascii="Times New Roman Regular" w:hAnsi="Times New Roman Regular" w:cs="Times New Roman Regular"/>
          <w:bCs/>
          <w:color w:val="auto"/>
          <w:lang w:eastAsia="zh-Hans"/>
        </w:rPr>
        <w:fldChar w:fldCharType="separate"/>
      </w:r>
      <w:r>
        <w:rPr>
          <w:rFonts w:hint="default" w:ascii="Times New Roman Regular" w:hAnsi="Times New Roman Regular" w:cs="Times New Roman Regular"/>
          <w:bCs/>
          <w:color w:val="auto"/>
          <w:lang w:eastAsia="zh-Hans"/>
        </w:rPr>
        <w:t>S45C</w:t>
      </w:r>
      <w:r>
        <w:rPr>
          <w:rFonts w:hint="default" w:ascii="Times New Roman Regular" w:hAnsi="Times New Roman Regular" w:cs="Times New Roman Regular"/>
          <w:bCs/>
          <w:color w:val="auto"/>
          <w:lang w:eastAsia="zh-Hans"/>
        </w:rPr>
        <w:fldChar w:fldCharType="end"/>
      </w:r>
      <w:r>
        <w:rPr>
          <w:rFonts w:hint="default" w:ascii="Times New Roman Regular" w:hAnsi="Times New Roman Regular" w:cs="Times New Roman Regular"/>
          <w:bCs/>
          <w:color w:val="auto"/>
          <w:lang w:eastAsia="zh-Hans"/>
        </w:rPr>
        <w:t>，美标1045，德标C45。其特征是相比普通A3钢，具有更高的强度，抗变形能力。</w:t>
      </w:r>
    </w:p>
    <w:p>
      <w:pPr>
        <w:pStyle w:val="4"/>
        <w:keepNext/>
        <w:keepLines/>
        <w:widowControl w:val="0"/>
        <w:spacing w:before="163" w:beforeLines="50" w:after="163" w:afterLines="50"/>
        <w:outlineLvl w:val="1"/>
        <w:rPr>
          <w:rFonts w:hint="default" w:ascii="Times New Roman Regular" w:hAnsi="Times New Roman Regular" w:cs="Times New Roman Regular"/>
          <w:bCs w:val="0"/>
          <w:color w:val="auto"/>
          <w:kern w:val="2"/>
        </w:rPr>
      </w:pPr>
      <w:bookmarkStart w:id="169" w:name="_Toc842422051_WPSOffice_Level2"/>
      <w:r>
        <w:rPr>
          <w:rFonts w:hint="default" w:ascii="Times New Roman Regular" w:hAnsi="Times New Roman Regular" w:cs="Times New Roman Regular"/>
          <w:bCs w:val="0"/>
          <w:color w:val="auto"/>
          <w:kern w:val="2"/>
        </w:rPr>
        <w:t>5.6 生产工艺流程及产污环节分析</w:t>
      </w:r>
      <w:bookmarkEnd w:id="167"/>
      <w:bookmarkEnd w:id="168"/>
      <w:bookmarkEnd w:id="169"/>
    </w:p>
    <w:p>
      <w:pPr>
        <w:pStyle w:val="128"/>
        <w:keepNext/>
        <w:spacing w:before="163" w:beforeLines="50"/>
        <w:outlineLvl w:val="2"/>
        <w:rPr>
          <w:rFonts w:hint="default" w:ascii="Times New Roman Regular" w:hAnsi="Times New Roman Regular" w:cs="Times New Roman Regular"/>
          <w:color w:val="auto"/>
        </w:rPr>
      </w:pPr>
      <w:bookmarkStart w:id="170" w:name="_Toc47618321"/>
      <w:bookmarkStart w:id="171" w:name="_Toc44275436"/>
      <w:bookmarkStart w:id="172" w:name="_Toc1769491686"/>
      <w:bookmarkStart w:id="173" w:name="_Toc46314212"/>
      <w:bookmarkStart w:id="174" w:name="_Toc44272280"/>
      <w:r>
        <w:rPr>
          <w:rFonts w:hint="default" w:ascii="Times New Roman Regular" w:hAnsi="Times New Roman Regular" w:cs="Times New Roman Regular"/>
          <w:color w:val="auto"/>
        </w:rPr>
        <w:t>5.6.1 生产工艺流程及工艺说明</w:t>
      </w:r>
      <w:bookmarkEnd w:id="170"/>
      <w:bookmarkEnd w:id="171"/>
      <w:bookmarkEnd w:id="172"/>
      <w:bookmarkEnd w:id="173"/>
      <w:bookmarkEnd w:id="174"/>
    </w:p>
    <w:p>
      <w:pPr>
        <w:spacing w:line="480" w:lineRule="exact"/>
        <w:ind w:firstLine="480" w:firstLineChars="200"/>
        <w:rPr>
          <w:rFonts w:hint="default" w:ascii="Times New Roman Regular" w:hAnsi="Times New Roman Regular" w:cs="Times New Roman Regular"/>
          <w:bCs/>
          <w:color w:val="auto"/>
          <w:lang w:eastAsia="zh-Hans"/>
        </w:rPr>
      </w:pPr>
      <w:r>
        <w:rPr>
          <w:rFonts w:hint="default" w:ascii="Times New Roman Regular" w:hAnsi="Times New Roman Regular" w:cs="Times New Roman Regular"/>
          <w:bCs/>
          <w:color w:val="auto"/>
        </w:rPr>
        <w:t>本项目</w:t>
      </w:r>
      <w:r>
        <w:rPr>
          <w:rFonts w:hint="default" w:ascii="Times New Roman Regular" w:hAnsi="Times New Roman Regular" w:cs="Times New Roman Regular"/>
          <w:bCs/>
          <w:color w:val="auto"/>
          <w:lang w:val="en-US" w:eastAsia="zh-Hans"/>
        </w:rPr>
        <w:t>工艺流程主要为机械加工工序</w:t>
      </w:r>
      <w:r>
        <w:rPr>
          <w:rFonts w:hint="default" w:ascii="Times New Roman Regular" w:hAnsi="Times New Roman Regular" w:cs="Times New Roman Regular"/>
          <w:bCs/>
          <w:color w:val="auto"/>
          <w:lang w:eastAsia="zh-Hans"/>
        </w:rPr>
        <w:t>，</w:t>
      </w:r>
      <w:r>
        <w:rPr>
          <w:rFonts w:hint="default" w:ascii="Times New Roman Regular" w:hAnsi="Times New Roman Regular" w:cs="Times New Roman Regular"/>
          <w:bCs/>
          <w:color w:val="auto"/>
          <w:lang w:val="en-US" w:eastAsia="zh-Hans"/>
        </w:rPr>
        <w:t>整个工艺较为简单</w:t>
      </w:r>
      <w:r>
        <w:rPr>
          <w:rFonts w:hint="default" w:ascii="Times New Roman Regular" w:hAnsi="Times New Roman Regular" w:cs="Times New Roman Regular"/>
          <w:bCs/>
          <w:color w:val="auto"/>
          <w:lang w:eastAsia="zh-Hans"/>
        </w:rPr>
        <w:t>。</w:t>
      </w:r>
      <w:r>
        <w:rPr>
          <w:rFonts w:hint="default" w:ascii="Times New Roman Regular" w:hAnsi="Times New Roman Regular" w:cs="Times New Roman Regular"/>
          <w:bCs/>
          <w:color w:val="auto"/>
          <w:lang w:val="en-US" w:eastAsia="zh-Hans"/>
        </w:rPr>
        <w:t>主要工艺流程与产污环节如下所示</w:t>
      </w:r>
      <w:r>
        <w:rPr>
          <w:rFonts w:hint="default" w:ascii="Times New Roman Regular" w:hAnsi="Times New Roman Regular" w:cs="Times New Roman Regular"/>
          <w:bCs/>
          <w:color w:val="auto"/>
          <w:lang w:eastAsia="zh-Hans"/>
        </w:rPr>
        <w:t>：</w:t>
      </w:r>
    </w:p>
    <w:p>
      <w:pPr>
        <w:spacing w:line="480" w:lineRule="exact"/>
        <w:rPr>
          <w:rFonts w:hint="default" w:ascii="Times New Roman Regular" w:hAnsi="Times New Roman Regular" w:cs="Times New Roman Regular"/>
          <w:bCs/>
          <w:color w:val="auto"/>
          <w:lang w:eastAsia="zh-Hans"/>
        </w:rPr>
      </w:pPr>
      <w:r>
        <w:rPr>
          <w:rFonts w:hint="default" w:ascii="Times New Roman Regular" w:hAnsi="Times New Roman Regular" w:cs="Times New Roman Regular"/>
          <w:sz w:val="24"/>
        </w:rPr>
        <mc:AlternateContent>
          <mc:Choice Requires="wpg">
            <w:drawing>
              <wp:anchor distT="0" distB="0" distL="114300" distR="114300" simplePos="0" relativeHeight="254264320" behindDoc="0" locked="0" layoutInCell="1" allowOverlap="1">
                <wp:simplePos x="0" y="0"/>
                <wp:positionH relativeFrom="column">
                  <wp:posOffset>179070</wp:posOffset>
                </wp:positionH>
                <wp:positionV relativeFrom="paragraph">
                  <wp:posOffset>-99060</wp:posOffset>
                </wp:positionV>
                <wp:extent cx="4874260" cy="2615565"/>
                <wp:effectExtent l="6350" t="0" r="21590" b="26035"/>
                <wp:wrapNone/>
                <wp:docPr id="61" name="组合 61"/>
                <wp:cNvGraphicFramePr/>
                <a:graphic xmlns:a="http://schemas.openxmlformats.org/drawingml/2006/main">
                  <a:graphicData uri="http://schemas.microsoft.com/office/word/2010/wordprocessingGroup">
                    <wpg:wgp>
                      <wpg:cNvGrpSpPr/>
                      <wpg:grpSpPr>
                        <a:xfrm>
                          <a:off x="0" y="0"/>
                          <a:ext cx="4874260" cy="2615565"/>
                          <a:chOff x="2349" y="360446"/>
                          <a:chExt cx="7676" cy="4119"/>
                        </a:xfrm>
                      </wpg:grpSpPr>
                      <wps:wsp>
                        <wps:cNvPr id="126" name="矩形 126"/>
                        <wps:cNvSpPr/>
                        <wps:spPr>
                          <a:xfrm>
                            <a:off x="8621" y="363987"/>
                            <a:ext cx="1403" cy="579"/>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22"/>
                                  <w:szCs w:val="22"/>
                                  <w:lang w:val="en-US" w:eastAsia="zh-Hans"/>
                                </w:rPr>
                              </w:pPr>
                              <w:r>
                                <w:rPr>
                                  <w:rFonts w:hint="eastAsia"/>
                                  <w:sz w:val="22"/>
                                  <w:szCs w:val="22"/>
                                  <w:lang w:val="en-US" w:eastAsia="zh-Hans"/>
                                </w:rPr>
                                <w:t>打包入库</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cNvPr id="59" name="组合 59"/>
                        <wpg:cNvGrpSpPr/>
                        <wpg:grpSpPr>
                          <a:xfrm>
                            <a:off x="2349" y="360446"/>
                            <a:ext cx="7677" cy="3538"/>
                            <a:chOff x="2211" y="354400"/>
                            <a:chExt cx="7677" cy="3538"/>
                          </a:xfrm>
                        </wpg:grpSpPr>
                        <wps:wsp>
                          <wps:cNvPr id="120" name="矩形 120"/>
                          <wps:cNvSpPr/>
                          <wps:spPr>
                            <a:xfrm>
                              <a:off x="2211" y="355946"/>
                              <a:ext cx="1018" cy="579"/>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22"/>
                                    <w:szCs w:val="22"/>
                                    <w:lang w:val="en-US" w:eastAsia="zh-Hans"/>
                                  </w:rPr>
                                </w:pPr>
                                <w:r>
                                  <w:rPr>
                                    <w:rFonts w:hint="eastAsia"/>
                                    <w:sz w:val="22"/>
                                    <w:szCs w:val="22"/>
                                    <w:lang w:val="en-US" w:eastAsia="zh-Hans"/>
                                  </w:rPr>
                                  <w:t>备料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1" name="矩形 121"/>
                          <wps:cNvSpPr/>
                          <wps:spPr>
                            <a:xfrm>
                              <a:off x="3623" y="355946"/>
                              <a:ext cx="1250" cy="579"/>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22"/>
                                    <w:szCs w:val="22"/>
                                    <w:lang w:val="en-US" w:eastAsia="zh-Hans"/>
                                  </w:rPr>
                                </w:pPr>
                                <w:r>
                                  <w:rPr>
                                    <w:rFonts w:hint="eastAsia"/>
                                    <w:sz w:val="22"/>
                                    <w:szCs w:val="22"/>
                                    <w:lang w:val="en-US" w:eastAsia="zh-Hans"/>
                                  </w:rPr>
                                  <w:t>组装部件</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2" name="矩形 122"/>
                          <wps:cNvSpPr/>
                          <wps:spPr>
                            <a:xfrm>
                              <a:off x="5289" y="355322"/>
                              <a:ext cx="2756" cy="2563"/>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22"/>
                                    <w:szCs w:val="22"/>
                                    <w:lang w:val="en-US" w:eastAsia="zh-Hans"/>
                                  </w:rPr>
                                </w:pPr>
                                <w:r>
                                  <w:rPr>
                                    <w:rFonts w:hint="eastAsia"/>
                                    <w:sz w:val="22"/>
                                    <w:szCs w:val="22"/>
                                    <w:lang w:val="en-US" w:eastAsia="zh-Hans"/>
                                  </w:rPr>
                                  <w:t>过度轴总成</w:t>
                                </w:r>
                                <w:r>
                                  <w:rPr>
                                    <w:rFonts w:hint="default"/>
                                    <w:sz w:val="22"/>
                                    <w:szCs w:val="22"/>
                                    <w:lang w:eastAsia="zh-Hans"/>
                                  </w:rPr>
                                  <w:t>、轮轴总成、卡勾总成、底座总成、滑板总成、底板总成、拉杆总成、滑杆总成、干簧管总成</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3" name="矩形 123"/>
                          <wps:cNvSpPr/>
                          <wps:spPr>
                            <a:xfrm>
                              <a:off x="8473" y="355946"/>
                              <a:ext cx="1406" cy="579"/>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22"/>
                                    <w:szCs w:val="22"/>
                                    <w:lang w:val="en-US" w:eastAsia="zh-Hans"/>
                                  </w:rPr>
                                </w:pPr>
                                <w:r>
                                  <w:rPr>
                                    <w:rFonts w:hint="eastAsia"/>
                                    <w:sz w:val="22"/>
                                    <w:szCs w:val="22"/>
                                    <w:lang w:val="en-US" w:eastAsia="zh-Hans"/>
                                  </w:rPr>
                                  <w:t>组装整机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5" name="矩形 125"/>
                          <wps:cNvSpPr/>
                          <wps:spPr>
                            <a:xfrm>
                              <a:off x="8482" y="356938"/>
                              <a:ext cx="1407" cy="579"/>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22"/>
                                    <w:szCs w:val="22"/>
                                    <w:lang w:val="en-US" w:eastAsia="zh-Hans"/>
                                  </w:rPr>
                                </w:pPr>
                                <w:r>
                                  <w:rPr>
                                    <w:rFonts w:hint="eastAsia"/>
                                    <w:sz w:val="22"/>
                                    <w:szCs w:val="22"/>
                                    <w:lang w:val="en-US" w:eastAsia="zh-Hans"/>
                                  </w:rPr>
                                  <w:t>通电测试</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7" name="直接箭头连接符 127"/>
                          <wps:cNvCnPr>
                            <a:stCxn id="120" idx="3"/>
                            <a:endCxn id="121" idx="1"/>
                          </wps:cNvCnPr>
                          <wps:spPr>
                            <a:xfrm>
                              <a:off x="3229" y="356236"/>
                              <a:ext cx="394"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129" name="直接箭头连接符 129"/>
                          <wps:cNvCnPr/>
                          <wps:spPr>
                            <a:xfrm>
                              <a:off x="8060" y="356236"/>
                              <a:ext cx="394"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102" name="直接箭头连接符 102"/>
                          <wps:cNvCnPr/>
                          <wps:spPr>
                            <a:xfrm>
                              <a:off x="4895" y="356236"/>
                              <a:ext cx="394"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103" name="直接箭头连接符 103"/>
                          <wps:cNvCnPr>
                            <a:stCxn id="123" idx="2"/>
                            <a:endCxn id="125" idx="0"/>
                          </wps:cNvCnPr>
                          <wps:spPr>
                            <a:xfrm>
                              <a:off x="9176" y="356525"/>
                              <a:ext cx="10" cy="413"/>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104" name="直接箭头连接符 104"/>
                          <wps:cNvCnPr/>
                          <wps:spPr>
                            <a:xfrm>
                              <a:off x="9168" y="357526"/>
                              <a:ext cx="10" cy="413"/>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105" name="直接箭头连接符 105"/>
                          <wps:cNvCnPr>
                            <a:stCxn id="122" idx="0"/>
                          </wps:cNvCnPr>
                          <wps:spPr>
                            <a:xfrm flipV="1">
                              <a:off x="6667" y="354973"/>
                              <a:ext cx="9" cy="349"/>
                            </a:xfrm>
                            <a:prstGeom prst="straightConnector1">
                              <a:avLst/>
                            </a:prstGeom>
                            <a:ln>
                              <a:prstDash val="dash"/>
                              <a:tailEnd type="arrow" w="med" len="med"/>
                            </a:ln>
                          </wps:spPr>
                          <wps:style>
                            <a:lnRef idx="1">
                              <a:schemeClr val="dk1"/>
                            </a:lnRef>
                            <a:fillRef idx="0">
                              <a:schemeClr val="dk1"/>
                            </a:fillRef>
                            <a:effectRef idx="0">
                              <a:schemeClr val="dk1"/>
                            </a:effectRef>
                            <a:fontRef idx="minor">
                              <a:schemeClr val="tx1"/>
                            </a:fontRef>
                          </wps:style>
                          <wps:bodyPr/>
                        </wps:wsp>
                        <wps:wsp>
                          <wps:cNvPr id="106" name="矩形 106"/>
                          <wps:cNvSpPr/>
                          <wps:spPr>
                            <a:xfrm>
                              <a:off x="5986" y="354400"/>
                              <a:ext cx="1406" cy="579"/>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22"/>
                                    <w:szCs w:val="22"/>
                                    <w:lang w:val="en-US" w:eastAsia="zh-Hans"/>
                                  </w:rPr>
                                </w:pPr>
                                <w:r>
                                  <w:rPr>
                                    <w:rFonts w:hint="eastAsia"/>
                                    <w:sz w:val="22"/>
                                    <w:szCs w:val="22"/>
                                    <w:lang w:val="en-US" w:eastAsia="zh-Hans"/>
                                  </w:rPr>
                                  <w:t>噪声</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id="_x0000_s1026" o:spid="_x0000_s1026" o:spt="203" style="position:absolute;left:0pt;margin-left:14.1pt;margin-top:-7.8pt;height:205.95pt;width:383.8pt;z-index:254264320;mso-width-relative:page;mso-height-relative:page;" coordorigin="2349,360446" coordsize="7676,4119" o:gfxdata="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">
                <o:lock v:ext="edit" aspectratio="f"/>
                <v:rect id="_x0000_s1026" o:spid="_x0000_s1026" o:spt="1" style="position:absolute;left:8621;top:363987;height:579;width:1403;v-text-anchor:middle;" fillcolor="#FFFFFF [3201]" filled="t" stroked="t" coordsize="21600,21600" o:gfxdata="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scHIugAAANwA&#10;AAAPAAAAAAAAAAEAIAAAACIAAABkcnMvZG93bnJldi54bWxQSwECFAAUAAAACACHTuJAMy8FnjsA&#10;AAA5AAAAEAAAAAAAAAABACAAAAAJAQAAZHJzL3NoYXBleG1sLnhtbFBLBQYAAAAABgAGAFsBAACz&#10;AwAAAAA=&#10;">
                  <v:fill on="t" focussize="0,0"/>
                  <v:stroke weight="1pt" color="#000000 [3200]" miterlimit="8" joinstyle="miter"/>
                  <v:imagedata o:title=""/>
                  <o:lock v:ext="edit" aspectratio="f"/>
                  <v:textbox>
                    <w:txbxContent>
                      <w:p>
                        <w:pPr>
                          <w:jc w:val="center"/>
                          <w:rPr>
                            <w:rFonts w:hint="eastAsia" w:eastAsia="宋体"/>
                            <w:sz w:val="22"/>
                            <w:szCs w:val="22"/>
                            <w:lang w:val="en-US" w:eastAsia="zh-Hans"/>
                          </w:rPr>
                        </w:pPr>
                        <w:r>
                          <w:rPr>
                            <w:rFonts w:hint="eastAsia"/>
                            <w:sz w:val="22"/>
                            <w:szCs w:val="22"/>
                            <w:lang w:val="en-US" w:eastAsia="zh-Hans"/>
                          </w:rPr>
                          <w:t>打包入库</w:t>
                        </w:r>
                      </w:p>
                    </w:txbxContent>
                  </v:textbox>
                </v:rect>
                <v:group id="_x0000_s1026" o:spid="_x0000_s1026" o:spt="203" style="position:absolute;left:2349;top:360446;height:3538;width:7677;" coordorigin="2211,354400" coordsize="7677,3538" o:gfxdata="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9V6BSL0AAADbAAAADwAAAAAAAAABACAAAAAiAAAAZHJzL2Rvd25yZXYueG1s&#10;UEsBAhQAFAAAAAgAh07iQDMvBZ47AAAAOQAAABUAAAAAAAAAAQAgAAAADAEAAGRycy9ncm91cHNo&#10;YXBleG1sLnhtbFBLBQYAAAAABgAGAGABAADJAwAAAAA=&#10;">
                  <o:lock v:ext="edit" aspectratio="f"/>
                  <v:rect id="_x0000_s1026" o:spid="_x0000_s1026" o:spt="1" style="position:absolute;left:2211;top:355946;height:579;width:1018;v-text-anchor:middle;" fillcolor="#FFFFFF [3201]" filled="t" stroked="t" coordsize="21600,21600" o:gfxdata="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FPwnvQAA&#10;ANwAAAAPAAAAAAAAAAEAIAAAACIAAABkcnMvZG93bnJldi54bWxQSwECFAAUAAAACACHTuJAMy8F&#10;njsAAAA5AAAAEAAAAAAAAAABACAAAAAMAQAAZHJzL3NoYXBleG1sLnhtbFBLBQYAAAAABgAGAFsB&#10;AAC2AwAAAAA=&#10;">
                    <v:fill on="t" focussize="0,0"/>
                    <v:stroke weight="1pt" color="#000000 [3200]" miterlimit="8" joinstyle="miter"/>
                    <v:imagedata o:title=""/>
                    <o:lock v:ext="edit" aspectratio="f"/>
                    <v:textbox>
                      <w:txbxContent>
                        <w:p>
                          <w:pPr>
                            <w:jc w:val="center"/>
                            <w:rPr>
                              <w:rFonts w:hint="eastAsia" w:eastAsia="宋体"/>
                              <w:sz w:val="22"/>
                              <w:szCs w:val="22"/>
                              <w:lang w:val="en-US" w:eastAsia="zh-Hans"/>
                            </w:rPr>
                          </w:pPr>
                          <w:r>
                            <w:rPr>
                              <w:rFonts w:hint="eastAsia"/>
                              <w:sz w:val="22"/>
                              <w:szCs w:val="22"/>
                              <w:lang w:val="en-US" w:eastAsia="zh-Hans"/>
                            </w:rPr>
                            <w:t>备料</w:t>
                          </w:r>
                        </w:p>
                      </w:txbxContent>
                    </v:textbox>
                  </v:rect>
                  <v:rect id="_x0000_s1026" o:spid="_x0000_s1026" o:spt="1" style="position:absolute;left:3623;top:355946;height:579;width:1250;v-text-anchor:middle;" fillcolor="#FFFFFF [3201]" filled="t" stroked="t" coordsize="21600,21600" o:gfxdata="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9WFm8ugAAANwA&#10;AAAPAAAAAAAAAAEAIAAAACIAAABkcnMvZG93bnJldi54bWxQSwECFAAUAAAACACHTuJAMy8FnjsA&#10;AAA5AAAAEAAAAAAAAAABACAAAAAJAQAAZHJzL3NoYXBleG1sLnhtbFBLBQYAAAAABgAGAFsBAACz&#10;AwAAAAA=&#10;">
                    <v:fill on="t" focussize="0,0"/>
                    <v:stroke weight="1pt" color="#000000 [3200]" miterlimit="8" joinstyle="miter"/>
                    <v:imagedata o:title=""/>
                    <o:lock v:ext="edit" aspectratio="f"/>
                    <v:textbox>
                      <w:txbxContent>
                        <w:p>
                          <w:pPr>
                            <w:jc w:val="center"/>
                            <w:rPr>
                              <w:rFonts w:hint="eastAsia" w:eastAsia="宋体"/>
                              <w:sz w:val="22"/>
                              <w:szCs w:val="22"/>
                              <w:lang w:val="en-US" w:eastAsia="zh-Hans"/>
                            </w:rPr>
                          </w:pPr>
                          <w:r>
                            <w:rPr>
                              <w:rFonts w:hint="eastAsia"/>
                              <w:sz w:val="22"/>
                              <w:szCs w:val="22"/>
                              <w:lang w:val="en-US" w:eastAsia="zh-Hans"/>
                            </w:rPr>
                            <w:t>组装部件</w:t>
                          </w:r>
                        </w:p>
                      </w:txbxContent>
                    </v:textbox>
                  </v:rect>
                  <v:rect id="_x0000_s1026" o:spid="_x0000_s1026" o:spt="1" style="position:absolute;left:5289;top:355322;height:2563;width:2756;v-text-anchor:middle;" fillcolor="#FFFFFF [3201]" filled="t" stroked="t" coordsize="21600,21600" o:gfxdata="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YrHy7sAAADc&#10;AAAADwAAAAAAAAABACAAAAAiAAAAZHJzL2Rvd25yZXYueG1sUEsBAhQAFAAAAAgAh07iQDMvBZ47&#10;AAAAOQAAABAAAAAAAAAAAQAgAAAACgEAAGRycy9zaGFwZXhtbC54bWxQSwUGAAAAAAYABgBbAQAA&#10;tAMAAAAA&#10;">
                    <v:fill on="t" focussize="0,0"/>
                    <v:stroke weight="1pt" color="#000000 [3200]" miterlimit="8" joinstyle="miter"/>
                    <v:imagedata o:title=""/>
                    <o:lock v:ext="edit" aspectratio="f"/>
                    <v:textbox>
                      <w:txbxContent>
                        <w:p>
                          <w:pPr>
                            <w:jc w:val="center"/>
                            <w:rPr>
                              <w:rFonts w:hint="eastAsia" w:eastAsia="宋体"/>
                              <w:sz w:val="22"/>
                              <w:szCs w:val="22"/>
                              <w:lang w:val="en-US" w:eastAsia="zh-Hans"/>
                            </w:rPr>
                          </w:pPr>
                          <w:r>
                            <w:rPr>
                              <w:rFonts w:hint="eastAsia"/>
                              <w:sz w:val="22"/>
                              <w:szCs w:val="22"/>
                              <w:lang w:val="en-US" w:eastAsia="zh-Hans"/>
                            </w:rPr>
                            <w:t>过度轴总成</w:t>
                          </w:r>
                          <w:r>
                            <w:rPr>
                              <w:rFonts w:hint="default"/>
                              <w:sz w:val="22"/>
                              <w:szCs w:val="22"/>
                              <w:lang w:eastAsia="zh-Hans"/>
                            </w:rPr>
                            <w:t>、轮轴总成、卡勾总成、底座总成、滑板总成、底板总成、拉杆总成、滑杆总成、干簧管总成</w:t>
                          </w:r>
                        </w:p>
                      </w:txbxContent>
                    </v:textbox>
                  </v:rect>
                  <v:rect id="_x0000_s1026" o:spid="_x0000_s1026" o:spt="1" style="position:absolute;left:8473;top:355946;height:579;width:1406;v-text-anchor:middle;" fillcolor="#FFFFFF [3201]" filled="t" stroked="t" coordsize="21600,21600" o:gfxdata="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sZiULsAAADc&#10;AAAADwAAAAAAAAABACAAAAAiAAAAZHJzL2Rvd25yZXYueG1sUEsBAhQAFAAAAAgAh07iQDMvBZ47&#10;AAAAOQAAABAAAAAAAAAAAQAgAAAACgEAAGRycy9zaGFwZXhtbC54bWxQSwUGAAAAAAYABgBbAQAA&#10;tAMAAAAA&#10;">
                    <v:fill on="t" focussize="0,0"/>
                    <v:stroke weight="1pt" color="#000000 [3200]" miterlimit="8" joinstyle="miter"/>
                    <v:imagedata o:title=""/>
                    <o:lock v:ext="edit" aspectratio="f"/>
                    <v:textbox>
                      <w:txbxContent>
                        <w:p>
                          <w:pPr>
                            <w:jc w:val="center"/>
                            <w:rPr>
                              <w:rFonts w:hint="eastAsia" w:eastAsia="宋体"/>
                              <w:sz w:val="22"/>
                              <w:szCs w:val="22"/>
                              <w:lang w:val="en-US" w:eastAsia="zh-Hans"/>
                            </w:rPr>
                          </w:pPr>
                          <w:r>
                            <w:rPr>
                              <w:rFonts w:hint="eastAsia"/>
                              <w:sz w:val="22"/>
                              <w:szCs w:val="22"/>
                              <w:lang w:val="en-US" w:eastAsia="zh-Hans"/>
                            </w:rPr>
                            <w:t>组装整机</w:t>
                          </w:r>
                        </w:p>
                      </w:txbxContent>
                    </v:textbox>
                  </v:rect>
                  <v:rect id="_x0000_s1026" o:spid="_x0000_s1026" o:spt="1" style="position:absolute;left:8482;top:356938;height:579;width:1407;v-text-anchor:middle;" fillcolor="#FFFFFF [3201]" filled="t" stroked="t" coordsize="21600,21600" o:gfxdata="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mNfv7sAAADc&#10;AAAADwAAAAAAAAABACAAAAAiAAAAZHJzL2Rvd25yZXYueG1sUEsBAhQAFAAAAAgAh07iQDMvBZ47&#10;AAAAOQAAABAAAAAAAAAAAQAgAAAACgEAAGRycy9zaGFwZXhtbC54bWxQSwUGAAAAAAYABgBbAQAA&#10;tAMAAAAA&#10;">
                    <v:fill on="t" focussize="0,0"/>
                    <v:stroke weight="1pt" color="#000000 [3200]" miterlimit="8" joinstyle="miter"/>
                    <v:imagedata o:title=""/>
                    <o:lock v:ext="edit" aspectratio="f"/>
                    <v:textbox>
                      <w:txbxContent>
                        <w:p>
                          <w:pPr>
                            <w:jc w:val="center"/>
                            <w:rPr>
                              <w:rFonts w:hint="eastAsia" w:eastAsia="宋体"/>
                              <w:sz w:val="22"/>
                              <w:szCs w:val="22"/>
                              <w:lang w:val="en-US" w:eastAsia="zh-Hans"/>
                            </w:rPr>
                          </w:pPr>
                          <w:r>
                            <w:rPr>
                              <w:rFonts w:hint="eastAsia"/>
                              <w:sz w:val="22"/>
                              <w:szCs w:val="22"/>
                              <w:lang w:val="en-US" w:eastAsia="zh-Hans"/>
                            </w:rPr>
                            <w:t>通电测试</w:t>
                          </w:r>
                        </w:p>
                      </w:txbxContent>
                    </v:textbox>
                  </v:rect>
                  <v:shape id="_x0000_s1026" o:spid="_x0000_s1026" o:spt="32" type="#_x0000_t32" style="position:absolute;left:3229;top:356236;height:0;width:394;" filled="f" stroked="t" coordsize="21600,21600" o:gfxdata="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zm6i7sAAADc&#10;AAAADwAAAAAAAAABACAAAAAiAAAAZHJzL2Rvd25yZXYueG1sUEsBAhQAFAAAAAgAh07iQDMvBZ47&#10;AAAAOQAAABAAAAAAAAAAAQAgAAAACgEAAGRycy9zaGFwZXhtbC54bWxQSwUGAAAAAAYABgBbAQAA&#10;tAMAAAAA&#10;">
                    <v:fill on="f" focussize="0,0"/>
                    <v:stroke weight="0.5pt" color="#000000 [3200]" miterlimit="8" joinstyle="miter" endarrow="open"/>
                    <v:imagedata o:title=""/>
                    <o:lock v:ext="edit" aspectratio="f"/>
                  </v:shape>
                  <v:shape id="_x0000_s1026" o:spid="_x0000_s1026" o:spt="32" type="#_x0000_t32" style="position:absolute;left:8060;top:356236;height:0;width:394;" filled="f" stroked="t" coordsize="21600,21600" o:gfxdata="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Hqi2K8AAAA&#10;3AAAAA8AAAAAAAAAAQAgAAAAIgAAAGRycy9kb3ducmV2LnhtbFBLAQIUABQAAAAIAIdO4kAzLwWe&#10;OwAAADkAAAAQAAAAAAAAAAEAIAAAAAsBAABkcnMvc2hhcGV4bWwueG1sUEsFBgAAAAAGAAYAWwEA&#10;ALUDAAAAAA==&#10;">
                    <v:fill on="f" focussize="0,0"/>
                    <v:stroke weight="0.5pt" color="#000000 [3200]" miterlimit="8" joinstyle="miter" endarrow="open"/>
                    <v:imagedata o:title=""/>
                    <o:lock v:ext="edit" aspectratio="f"/>
                  </v:shape>
                  <v:shape id="_x0000_s1026" o:spid="_x0000_s1026" o:spt="32" type="#_x0000_t32" style="position:absolute;left:4895;top:356236;height:0;width:394;" filled="f" stroked="t" coordsize="21600,21600" o:gfxdata="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PtFc7sAAADc&#10;AAAADwAAAAAAAAABACAAAAAiAAAAZHJzL2Rvd25yZXYueG1sUEsBAhQAFAAAAAgAh07iQDMvBZ47&#10;AAAAOQAAABAAAAAAAAAAAQAgAAAACgEAAGRycy9zaGFwZXhtbC54bWxQSwUGAAAAAAYABgBbAQAA&#10;tAMAAAAA&#10;">
                    <v:fill on="f" focussize="0,0"/>
                    <v:stroke weight="0.5pt" color="#000000 [3200]" miterlimit="8" joinstyle="miter" endarrow="open"/>
                    <v:imagedata o:title=""/>
                    <o:lock v:ext="edit" aspectratio="f"/>
                  </v:shape>
                  <v:shape id="_x0000_s1026" o:spid="_x0000_s1026" o:spt="32" type="#_x0000_t32" style="position:absolute;left:9176;top:356525;height:413;width:10;" filled="f" stroked="t" coordsize="21600,21600" o:gfxdata="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t+DovQAA&#10;ANwAAAAPAAAAAAAAAAEAIAAAACIAAABkcnMvZG93bnJldi54bWxQSwECFAAUAAAACACHTuJAMy8F&#10;njsAAAA5AAAAEAAAAAAAAAABACAAAAAMAQAAZHJzL3NoYXBleG1sLnhtbFBLBQYAAAAABgAGAFsB&#10;AAC2AwAAAAA=&#10;">
                    <v:fill on="f" focussize="0,0"/>
                    <v:stroke weight="0.5pt" color="#000000 [3200]" miterlimit="8" joinstyle="miter" endarrow="open"/>
                    <v:imagedata o:title=""/>
                    <o:lock v:ext="edit" aspectratio="f"/>
                  </v:shape>
                  <v:shape id="_x0000_s1026" o:spid="_x0000_s1026" o:spt="32" type="#_x0000_t32" style="position:absolute;left:9168;top:357526;height:413;width:10;" filled="f" stroked="t" coordsize="21600,21600" o:gfxdata="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F54nLsAAADc&#10;AAAADwAAAAAAAAABACAAAAAiAAAAZHJzL2Rvd25yZXYueG1sUEsBAhQAFAAAAAgAh07iQDMvBZ47&#10;AAAAOQAAABAAAAAAAAAAAQAgAAAACgEAAGRycy9zaGFwZXhtbC54bWxQSwUGAAAAAAYABgBbAQAA&#10;tAMAAAAA&#10;">
                    <v:fill on="f" focussize="0,0"/>
                    <v:stroke weight="0.5pt" color="#000000 [3200]" miterlimit="8" joinstyle="miter" endarrow="open"/>
                    <v:imagedata o:title=""/>
                    <o:lock v:ext="edit" aspectratio="f"/>
                  </v:shape>
                  <v:shape id="_x0000_s1026" o:spid="_x0000_s1026" o:spt="32" type="#_x0000_t32" style="position:absolute;left:6667;top:354973;flip:y;height:349;width:9;" filled="f" stroked="t" coordsize="21600,21600" o:gfxdata="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UERUrsAAADc&#10;AAAADwAAAAAAAAABACAAAAAiAAAAZHJzL2Rvd25yZXYueG1sUEsBAhQAFAAAAAgAh07iQDMvBZ47&#10;AAAAOQAAABAAAAAAAAAAAQAgAAAACgEAAGRycy9zaGFwZXhtbC54bWxQSwUGAAAAAAYABgBbAQAA&#10;tAMAAAAA&#10;">
                    <v:fill on="f" focussize="0,0"/>
                    <v:stroke weight="0.5pt" color="#000000 [3200]" miterlimit="8" joinstyle="miter" dashstyle="dash" endarrow="open"/>
                    <v:imagedata o:title=""/>
                    <o:lock v:ext="edit" aspectratio="f"/>
                  </v:shape>
                  <v:rect id="_x0000_s1026" o:spid="_x0000_s1026" o:spt="1" style="position:absolute;left:5986;top:354400;height:579;width:1406;v-text-anchor:middle;" fillcolor="#FFFFFF [3201]" filled="t" stroked="f" coordsize="21600,21600" o:gfxdata="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xVdJS8AAAA&#10;3A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textbox>
                      <w:txbxContent>
                        <w:p>
                          <w:pPr>
                            <w:jc w:val="center"/>
                            <w:rPr>
                              <w:rFonts w:hint="eastAsia" w:eastAsia="宋体"/>
                              <w:sz w:val="22"/>
                              <w:szCs w:val="22"/>
                              <w:lang w:val="en-US" w:eastAsia="zh-Hans"/>
                            </w:rPr>
                          </w:pPr>
                          <w:r>
                            <w:rPr>
                              <w:rFonts w:hint="eastAsia"/>
                              <w:sz w:val="22"/>
                              <w:szCs w:val="22"/>
                              <w:lang w:val="en-US" w:eastAsia="zh-Hans"/>
                            </w:rPr>
                            <w:t>噪声</w:t>
                          </w:r>
                        </w:p>
                      </w:txbxContent>
                    </v:textbox>
                  </v:rect>
                </v:group>
              </v:group>
            </w:pict>
          </mc:Fallback>
        </mc:AlternateContent>
      </w:r>
    </w:p>
    <w:p>
      <w:pPr>
        <w:rPr>
          <w:rFonts w:hint="default" w:ascii="Times New Roman Regular" w:hAnsi="Times New Roman Regular" w:cs="Times New Roman Regular"/>
          <w:lang w:val="en-US" w:eastAsia="zh-Hans"/>
        </w:rPr>
      </w:pPr>
    </w:p>
    <w:p>
      <w:pPr>
        <w:pStyle w:val="2"/>
        <w:rPr>
          <w:rFonts w:hint="default" w:ascii="Times New Roman Regular" w:hAnsi="Times New Roman Regular" w:cs="Times New Roman Regular"/>
          <w:color w:val="FF0000"/>
        </w:rPr>
      </w:pPr>
    </w:p>
    <w:p>
      <w:pPr>
        <w:pStyle w:val="2"/>
        <w:rPr>
          <w:rFonts w:hint="default" w:ascii="Times New Roman Regular" w:hAnsi="Times New Roman Regular" w:cs="Times New Roman Regular"/>
          <w:color w:val="FF0000"/>
        </w:rPr>
      </w:pPr>
    </w:p>
    <w:p>
      <w:pPr>
        <w:pStyle w:val="2"/>
        <w:rPr>
          <w:rFonts w:hint="default" w:ascii="Times New Roman Regular" w:hAnsi="Times New Roman Regular" w:cs="Times New Roman Regular"/>
          <w:color w:val="FF0000"/>
        </w:rPr>
      </w:pPr>
    </w:p>
    <w:p>
      <w:pPr>
        <w:widowControl w:val="0"/>
        <w:jc w:val="center"/>
        <w:rPr>
          <w:rFonts w:hint="default" w:ascii="Times New Roman Regular" w:hAnsi="Times New Roman Regular" w:eastAsia="黑体" w:cs="Times New Roman Regular"/>
          <w:color w:val="FF0000"/>
        </w:rPr>
      </w:pPr>
    </w:p>
    <w:p>
      <w:pPr>
        <w:rPr>
          <w:rFonts w:hint="default" w:ascii="Times New Roman Regular" w:hAnsi="Times New Roman Regular" w:cs="Times New Roman Regular"/>
        </w:rPr>
      </w:pPr>
    </w:p>
    <w:p>
      <w:pPr>
        <w:jc w:val="center"/>
        <w:rPr>
          <w:rFonts w:hint="default" w:ascii="Times New Roman Regular" w:hAnsi="Times New Roman Regular" w:cs="Times New Roman Regular"/>
          <w:b/>
          <w:color w:val="auto"/>
        </w:rPr>
      </w:pPr>
    </w:p>
    <w:p>
      <w:pPr>
        <w:jc w:val="center"/>
        <w:rPr>
          <w:rFonts w:hint="default" w:ascii="Times New Roman Regular" w:hAnsi="Times New Roman Regular" w:cs="Times New Roman Regular"/>
          <w:b/>
          <w:color w:val="auto"/>
          <w:kern w:val="0"/>
        </w:rPr>
      </w:pPr>
      <w:r>
        <w:rPr>
          <w:rFonts w:hint="default" w:ascii="Times New Roman Regular" w:hAnsi="Times New Roman Regular" w:cs="Times New Roman Regular"/>
          <w:b/>
          <w:color w:val="auto"/>
        </w:rPr>
        <w:t xml:space="preserve">图5.6-1 </w:t>
      </w:r>
      <w:r>
        <w:rPr>
          <w:rFonts w:hint="default" w:ascii="Times New Roman Regular" w:hAnsi="Times New Roman Regular" w:cs="Times New Roman Regular"/>
          <w:b/>
          <w:color w:val="auto"/>
          <w:lang w:val="en-US" w:eastAsia="zh-Hans"/>
        </w:rPr>
        <w:t>生产工艺</w:t>
      </w:r>
      <w:r>
        <w:rPr>
          <w:rFonts w:hint="default" w:ascii="Times New Roman Regular" w:hAnsi="Times New Roman Regular" w:cs="Times New Roman Regular"/>
          <w:b/>
          <w:color w:val="auto"/>
        </w:rPr>
        <w:t>流程及产污环节图</w:t>
      </w:r>
    </w:p>
    <w:p>
      <w:pPr>
        <w:spacing w:line="480" w:lineRule="exact"/>
        <w:ind w:firstLine="480" w:firstLineChars="200"/>
        <w:rPr>
          <w:rFonts w:hint="default" w:ascii="Times New Roman Regular" w:hAnsi="Times New Roman Regular" w:cs="Times New Roman Regular"/>
          <w:bCs/>
          <w:color w:val="auto"/>
          <w:lang w:val="en-US" w:eastAsia="zh-Hans"/>
        </w:rPr>
      </w:pPr>
      <w:r>
        <w:rPr>
          <w:rFonts w:hint="default" w:ascii="Times New Roman Regular" w:hAnsi="Times New Roman Regular" w:cs="Times New Roman Regular"/>
          <w:bCs/>
          <w:color w:val="auto"/>
          <w:lang w:val="en-US" w:eastAsia="zh-Hans"/>
        </w:rPr>
        <w:t>工艺流程说明</w:t>
      </w:r>
      <w:r>
        <w:rPr>
          <w:rFonts w:hint="default" w:ascii="Times New Roman Regular" w:hAnsi="Times New Roman Regular" w:cs="Times New Roman Regular"/>
          <w:bCs/>
          <w:color w:val="auto"/>
          <w:lang w:eastAsia="zh-Hans"/>
        </w:rPr>
        <w:t>：</w:t>
      </w:r>
    </w:p>
    <w:p>
      <w:pPr>
        <w:spacing w:line="480" w:lineRule="exact"/>
        <w:ind w:firstLine="480" w:firstLineChars="200"/>
        <w:rPr>
          <w:rFonts w:hint="default" w:ascii="Times New Roman Regular" w:hAnsi="Times New Roman Regular" w:cs="Times New Roman Regular"/>
          <w:bCs/>
          <w:color w:val="auto"/>
          <w:lang w:eastAsia="zh-Hans"/>
        </w:rPr>
      </w:pPr>
      <w:r>
        <w:rPr>
          <w:rFonts w:hint="default" w:ascii="Times New Roman Regular" w:hAnsi="Times New Roman Regular" w:cs="Times New Roman Regular"/>
          <w:bCs/>
          <w:color w:val="auto"/>
          <w:lang w:eastAsia="zh-Hans"/>
        </w:rPr>
        <w:t>（1）</w:t>
      </w:r>
      <w:r>
        <w:rPr>
          <w:rFonts w:hint="default" w:ascii="Times New Roman Regular" w:hAnsi="Times New Roman Regular" w:cs="Times New Roman Regular"/>
          <w:bCs/>
          <w:color w:val="auto"/>
          <w:lang w:val="en-US" w:eastAsia="zh-Hans"/>
        </w:rPr>
        <w:t>目测</w:t>
      </w:r>
      <w:r>
        <w:rPr>
          <w:rFonts w:hint="default" w:ascii="Times New Roman Regular" w:hAnsi="Times New Roman Regular" w:eastAsia="宋体" w:cs="Times New Roman Regular"/>
          <w:color w:val="auto"/>
          <w:sz w:val="24"/>
          <w:szCs w:val="24"/>
          <w:lang w:val="en-US" w:eastAsia="zh-CN"/>
        </w:rPr>
        <w:t>可视范围内的零件外观表面处理是否符合要求</w:t>
      </w:r>
      <w:r>
        <w:rPr>
          <w:rFonts w:hint="default" w:ascii="Times New Roman Regular" w:hAnsi="Times New Roman Regular" w:cs="Times New Roman Regular"/>
          <w:color w:val="auto"/>
          <w:sz w:val="24"/>
          <w:szCs w:val="24"/>
          <w:lang w:eastAsia="zh-CN"/>
        </w:rPr>
        <w:t>。</w:t>
      </w:r>
    </w:p>
    <w:p>
      <w:pPr>
        <w:spacing w:line="480" w:lineRule="exact"/>
        <w:ind w:firstLine="480" w:firstLineChars="200"/>
        <w:rPr>
          <w:rFonts w:hint="default" w:ascii="Times New Roman Regular" w:hAnsi="Times New Roman Regular" w:cs="Times New Roman Regular"/>
          <w:bCs/>
          <w:color w:val="auto"/>
          <w:lang w:eastAsia="zh-Hans"/>
        </w:rPr>
      </w:pPr>
      <w:r>
        <w:rPr>
          <w:rFonts w:hint="default" w:ascii="Times New Roman Regular" w:hAnsi="Times New Roman Regular" w:cs="Times New Roman Regular"/>
          <w:bCs/>
          <w:color w:val="auto"/>
          <w:lang w:eastAsia="zh-Hans"/>
        </w:rPr>
        <w:t>（2）</w:t>
      </w:r>
      <w:r>
        <w:rPr>
          <w:rFonts w:hint="default" w:ascii="Times New Roman Regular" w:hAnsi="Times New Roman Regular" w:eastAsia="宋体" w:cs="Times New Roman Regular"/>
          <w:color w:val="auto"/>
          <w:sz w:val="24"/>
          <w:szCs w:val="24"/>
          <w:lang w:val="en-US" w:eastAsia="zh-CN"/>
        </w:rPr>
        <w:t>过渡轴总成组装，检查过渡齿轮在外力作用下是否自由来回运动。</w:t>
      </w:r>
    </w:p>
    <w:p>
      <w:pPr>
        <w:spacing w:line="480" w:lineRule="exact"/>
        <w:ind w:firstLine="480" w:firstLineChars="200"/>
        <w:rPr>
          <w:rFonts w:hint="default" w:ascii="Times New Roman Regular" w:hAnsi="Times New Roman Regular" w:cs="Times New Roman Regular"/>
          <w:bCs/>
          <w:color w:val="auto"/>
          <w:lang w:eastAsia="zh-Hans"/>
        </w:rPr>
      </w:pPr>
      <w:r>
        <w:rPr>
          <w:rFonts w:hint="default" w:ascii="Times New Roman Regular" w:hAnsi="Times New Roman Regular" w:cs="Times New Roman Regular"/>
          <w:bCs/>
          <w:color w:val="auto"/>
          <w:lang w:eastAsia="zh-Hans"/>
        </w:rPr>
        <w:t>（3）</w:t>
      </w:r>
      <w:r>
        <w:rPr>
          <w:rFonts w:hint="default" w:ascii="Times New Roman Regular" w:hAnsi="Times New Roman Regular" w:eastAsia="宋体" w:cs="Times New Roman Regular"/>
          <w:color w:val="auto"/>
          <w:sz w:val="24"/>
          <w:szCs w:val="24"/>
          <w:lang w:val="en-US" w:eastAsia="zh-CN"/>
        </w:rPr>
        <w:t>轮轴总成组装，用一只手抓住轮轴的一端，另一只手轻松转动胶轮，检查胶轮是否能自由转动无卡阻现象。</w:t>
      </w:r>
    </w:p>
    <w:p>
      <w:pPr>
        <w:spacing w:line="480" w:lineRule="exact"/>
        <w:ind w:firstLine="480" w:firstLineChars="200"/>
        <w:rPr>
          <w:rFonts w:hint="default" w:ascii="Times New Roman Regular" w:hAnsi="Times New Roman Regular" w:cs="Times New Roman Regular"/>
          <w:bCs/>
          <w:color w:val="auto"/>
          <w:lang w:val="en-US" w:eastAsia="zh-Hans"/>
        </w:rPr>
      </w:pPr>
      <w:r>
        <w:rPr>
          <w:rFonts w:hint="default" w:ascii="Times New Roman Regular" w:hAnsi="Times New Roman Regular" w:cs="Times New Roman Regular"/>
          <w:bCs/>
          <w:color w:val="auto"/>
          <w:lang w:eastAsia="zh-Hans"/>
        </w:rPr>
        <w:t>（4）</w:t>
      </w:r>
      <w:r>
        <w:rPr>
          <w:rFonts w:hint="default" w:ascii="Times New Roman Regular" w:hAnsi="Times New Roman Regular" w:eastAsia="宋体" w:cs="Times New Roman Regular"/>
          <w:color w:val="auto"/>
          <w:sz w:val="24"/>
          <w:szCs w:val="24"/>
          <w:lang w:val="en-US" w:eastAsia="zh-CN"/>
        </w:rPr>
        <w:t>卡勾总成组装，检查外力作用在棘爪上时是否自由来回运动。</w:t>
      </w:r>
    </w:p>
    <w:p>
      <w:pPr>
        <w:spacing w:line="480" w:lineRule="exact"/>
        <w:ind w:firstLine="480" w:firstLineChars="200"/>
        <w:rPr>
          <w:rFonts w:hint="default" w:ascii="Times New Roman Regular" w:hAnsi="Times New Roman Regular" w:eastAsia="宋体" w:cs="Times New Roman Regular"/>
          <w:color w:val="auto"/>
          <w:sz w:val="24"/>
          <w:szCs w:val="24"/>
          <w:lang w:val="en-US" w:eastAsia="zh-CN"/>
        </w:rPr>
      </w:pPr>
      <w:r>
        <w:rPr>
          <w:rFonts w:hint="default" w:ascii="Times New Roman Regular" w:hAnsi="Times New Roman Regular" w:cs="Times New Roman Regular"/>
          <w:bCs/>
          <w:color w:val="auto"/>
          <w:lang w:eastAsia="zh-Hans"/>
        </w:rPr>
        <w:t>（5）</w:t>
      </w:r>
      <w:r>
        <w:rPr>
          <w:rFonts w:hint="default" w:ascii="Times New Roman Regular" w:hAnsi="Times New Roman Regular" w:eastAsia="宋体" w:cs="Times New Roman Regular"/>
          <w:color w:val="auto"/>
          <w:sz w:val="24"/>
          <w:szCs w:val="24"/>
          <w:lang w:val="en-US" w:eastAsia="zh-CN"/>
        </w:rPr>
        <w:t>滑板总成组装，将4个塑料滑杆套分别篏入滑板。</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eastAsia="宋体" w:cs="Times New Roman Regular"/>
          <w:color w:val="auto"/>
          <w:sz w:val="24"/>
          <w:szCs w:val="24"/>
          <w:lang w:val="en-US" w:eastAsia="zh-Hans"/>
        </w:rPr>
        <w:t>（</w:t>
      </w:r>
      <w:r>
        <w:rPr>
          <w:rFonts w:hint="default" w:ascii="Times New Roman Regular" w:hAnsi="Times New Roman Regular" w:eastAsia="宋体" w:cs="Times New Roman Regular"/>
          <w:color w:val="auto"/>
          <w:sz w:val="24"/>
          <w:szCs w:val="24"/>
          <w:lang w:eastAsia="zh-Hans"/>
        </w:rPr>
        <w:t>6</w:t>
      </w:r>
      <w:r>
        <w:rPr>
          <w:rFonts w:hint="default" w:ascii="Times New Roman Regular" w:hAnsi="Times New Roman Regular" w:eastAsia="宋体" w:cs="Times New Roman Regular"/>
          <w:color w:val="auto"/>
          <w:sz w:val="24"/>
          <w:szCs w:val="24"/>
          <w:lang w:val="en-US" w:eastAsia="zh-Hans"/>
        </w:rPr>
        <w:t>）</w:t>
      </w:r>
      <w:r>
        <w:rPr>
          <w:rFonts w:hint="default" w:ascii="Times New Roman Regular" w:hAnsi="Times New Roman Regular" w:eastAsia="宋体" w:cs="Times New Roman Regular"/>
          <w:color w:val="auto"/>
          <w:sz w:val="24"/>
          <w:szCs w:val="24"/>
          <w:lang w:val="en-US" w:eastAsia="zh-CN"/>
        </w:rPr>
        <w:t>拉杆总成组装。</w:t>
      </w:r>
    </w:p>
    <w:p>
      <w:pPr>
        <w:spacing w:line="480" w:lineRule="exact"/>
        <w:ind w:firstLine="480" w:firstLineChars="200"/>
        <w:rPr>
          <w:rFonts w:hint="default" w:ascii="Times New Roman Regular" w:hAnsi="Times New Roman Regular" w:cs="Times New Roman Regular"/>
          <w:bCs/>
          <w:color w:val="auto"/>
          <w:lang w:eastAsia="zh-Hans"/>
        </w:rPr>
      </w:pPr>
      <w:r>
        <w:rPr>
          <w:rFonts w:hint="default" w:ascii="Times New Roman Regular" w:hAnsi="Times New Roman Regular" w:cs="Times New Roman Regular"/>
          <w:bCs/>
          <w:color w:val="auto"/>
          <w:lang w:eastAsia="zh-Hans"/>
        </w:rPr>
        <w:t>（7）</w:t>
      </w:r>
      <w:r>
        <w:rPr>
          <w:rFonts w:hint="default" w:ascii="Times New Roman Regular" w:hAnsi="Times New Roman Regular" w:eastAsia="宋体" w:cs="Times New Roman Regular"/>
          <w:color w:val="auto"/>
          <w:sz w:val="24"/>
          <w:szCs w:val="24"/>
          <w:lang w:val="en-US" w:eastAsia="zh-CN"/>
        </w:rPr>
        <w:t>滑杆总成组装，将一件滑杆连接件用榔头敲入不锈钢滑杆一端的孔内</w:t>
      </w:r>
      <w:r>
        <w:rPr>
          <w:rFonts w:hint="default" w:ascii="Times New Roman Regular" w:hAnsi="Times New Roman Regular" w:eastAsia="宋体" w:cs="Times New Roman Regular"/>
          <w:color w:val="auto"/>
          <w:sz w:val="32"/>
          <w:szCs w:val="32"/>
          <w:lang w:val="en-US" w:eastAsia="zh-CN"/>
        </w:rPr>
        <w:t>。</w:t>
      </w:r>
    </w:p>
    <w:p>
      <w:pPr>
        <w:spacing w:line="480" w:lineRule="exact"/>
        <w:ind w:firstLine="480" w:firstLineChars="200"/>
        <w:rPr>
          <w:rFonts w:hint="default" w:ascii="Times New Roman Regular" w:hAnsi="Times New Roman Regular" w:cs="Times New Roman Regular"/>
          <w:bCs/>
          <w:color w:val="auto"/>
          <w:lang w:eastAsia="zh-Hans"/>
        </w:rPr>
      </w:pPr>
      <w:r>
        <w:rPr>
          <w:rFonts w:hint="default" w:ascii="Times New Roman Regular" w:hAnsi="Times New Roman Regular" w:cs="Times New Roman Regular"/>
          <w:bCs/>
          <w:color w:val="auto"/>
          <w:lang w:eastAsia="zh-Hans"/>
        </w:rPr>
        <w:t>（8）</w:t>
      </w:r>
      <w:r>
        <w:rPr>
          <w:rFonts w:hint="default" w:ascii="Times New Roman Regular" w:hAnsi="Times New Roman Regular" w:eastAsia="宋体" w:cs="Times New Roman Regular"/>
          <w:color w:val="auto"/>
          <w:sz w:val="24"/>
          <w:szCs w:val="24"/>
          <w:lang w:val="en-US" w:eastAsia="zh-CN"/>
        </w:rPr>
        <w:t>干簧管总成组装，将干簧管放入浇注成形的塑料外壳内(将二根干簧管引出线放置外面)，再灌入绝缘胶水，放置24小时固化成形。</w:t>
      </w:r>
    </w:p>
    <w:p>
      <w:pPr>
        <w:spacing w:line="480" w:lineRule="exact"/>
        <w:ind w:firstLine="480" w:firstLineChars="200"/>
        <w:rPr>
          <w:rFonts w:hint="default" w:ascii="Times New Roman Regular" w:hAnsi="Times New Roman Regular" w:cs="Times New Roman Regular"/>
          <w:bCs/>
          <w:color w:val="auto"/>
          <w:lang w:val="en-US" w:eastAsia="zh-Hans"/>
        </w:rPr>
      </w:pPr>
      <w:r>
        <w:rPr>
          <w:rFonts w:hint="default" w:ascii="Times New Roman Regular" w:hAnsi="Times New Roman Regular" w:cs="Times New Roman Regular"/>
          <w:bCs/>
          <w:color w:val="auto"/>
          <w:lang w:eastAsia="zh-Hans"/>
        </w:rPr>
        <w:t>（9）</w:t>
      </w:r>
      <w:r>
        <w:rPr>
          <w:rFonts w:hint="default" w:ascii="Times New Roman Regular" w:hAnsi="Times New Roman Regular" w:eastAsia="宋体" w:cs="Times New Roman Regular"/>
          <w:color w:val="auto"/>
          <w:sz w:val="24"/>
          <w:szCs w:val="24"/>
          <w:lang w:val="en-US" w:eastAsia="zh-CN"/>
        </w:rPr>
        <w:t>底板总成组装，将开到位的干簧管引出线(二条)穿过铝合金底板上的一个Ф5的孔，用二个4*6BT自攻螺丝将干簧管固定在铝合金底板上。</w:t>
      </w:r>
    </w:p>
    <w:p>
      <w:pPr>
        <w:spacing w:line="480" w:lineRule="exact"/>
        <w:ind w:firstLine="480" w:firstLineChars="200"/>
        <w:rPr>
          <w:rFonts w:hint="default" w:ascii="Times New Roman Regular" w:hAnsi="Times New Roman Regular" w:eastAsia="黑体" w:cs="Times New Roman Regular"/>
          <w:color w:val="auto"/>
        </w:rPr>
      </w:pPr>
      <w:r>
        <w:rPr>
          <w:rFonts w:hint="default" w:ascii="Times New Roman Regular" w:hAnsi="Times New Roman Regular" w:cs="Times New Roman Regular"/>
          <w:bCs/>
          <w:color w:val="auto"/>
          <w:lang w:eastAsia="zh-Hans"/>
        </w:rPr>
        <w:t>（10）</w:t>
      </w:r>
      <w:r>
        <w:rPr>
          <w:rFonts w:hint="default" w:ascii="Times New Roman Regular" w:hAnsi="Times New Roman Regular" w:eastAsia="宋体" w:cs="Times New Roman Regular"/>
          <w:color w:val="auto"/>
          <w:sz w:val="24"/>
          <w:szCs w:val="24"/>
          <w:lang w:val="en-US" w:eastAsia="zh-CN"/>
        </w:rPr>
        <w:t>组装整机，将各部件总成装入底座。</w:t>
      </w:r>
    </w:p>
    <w:p>
      <w:pPr>
        <w:numPr>
          <w:ilvl w:val="0"/>
          <w:numId w:val="0"/>
        </w:numPr>
        <w:spacing w:line="480" w:lineRule="exact"/>
        <w:ind w:firstLine="480" w:firstLineChars="200"/>
        <w:rPr>
          <w:rFonts w:hint="default" w:ascii="Times New Roman Regular" w:hAnsi="Times New Roman Regular" w:cs="Times New Roman Regular"/>
          <w:bCs/>
          <w:color w:val="auto"/>
          <w:lang w:val="en-US" w:eastAsia="zh-Hans"/>
        </w:rPr>
      </w:pPr>
      <w:r>
        <w:rPr>
          <w:rFonts w:hint="default" w:ascii="Times New Roman Regular" w:hAnsi="Times New Roman Regular" w:cs="Times New Roman Regular"/>
          <w:bCs/>
          <w:color w:val="auto"/>
          <w:lang w:eastAsia="zh-Hans"/>
        </w:rPr>
        <w:t>（11）</w:t>
      </w:r>
      <w:r>
        <w:rPr>
          <w:rFonts w:hint="default" w:ascii="Times New Roman Regular" w:hAnsi="Times New Roman Regular" w:eastAsia="宋体" w:cs="Times New Roman Regular"/>
          <w:color w:val="auto"/>
          <w:sz w:val="24"/>
          <w:szCs w:val="24"/>
          <w:lang w:val="en-US" w:eastAsia="zh-CN"/>
        </w:rPr>
        <w:t>通电测试，将机顶合电路控制板引出线接入试验控制箱内，通电操作控制箱面板“开”键使，直流小电机开始运转并同时带动传动齿轮转动，用特制钥匙扦入过渡轴中孔中的顶丝中，顺时针旋转钥匙将过渡齿轮退出至与电机传动齿轮完全啮合，用手拔动卡钩，通过卡钩带动拉线开关，使电机停止工作；再操作控制箱面板“关”键，使直流小电机开始运转(反向)并同时带动传动齿轮转动，这时卡钩上的棘爪脱离棘轮，用磁铁去感应底板上的干簧管使电机停止工作；这样返复操作二次。</w:t>
      </w:r>
    </w:p>
    <w:p>
      <w:pPr>
        <w:numPr>
          <w:ilvl w:val="0"/>
          <w:numId w:val="0"/>
        </w:numPr>
        <w:spacing w:line="480" w:lineRule="exact"/>
        <w:ind w:firstLine="480" w:firstLineChars="200"/>
        <w:rPr>
          <w:rFonts w:hint="default" w:ascii="Times New Roman Regular" w:hAnsi="Times New Roman Regular" w:cs="Times New Roman Regular"/>
          <w:bCs/>
          <w:color w:val="auto"/>
          <w:lang w:val="en-US" w:eastAsia="zh-Hans"/>
        </w:rPr>
      </w:pPr>
      <w:r>
        <w:rPr>
          <w:rFonts w:hint="default" w:ascii="Times New Roman Regular" w:hAnsi="Times New Roman Regular" w:cs="Times New Roman Regular"/>
          <w:bCs/>
          <w:color w:val="auto"/>
          <w:lang w:eastAsia="zh-Hans"/>
        </w:rPr>
        <w:t>（12）</w:t>
      </w:r>
      <w:r>
        <w:rPr>
          <w:rFonts w:hint="default" w:ascii="Times New Roman Regular" w:hAnsi="Times New Roman Regular" w:eastAsia="宋体" w:cs="Times New Roman Regular"/>
          <w:color w:val="auto"/>
          <w:sz w:val="24"/>
          <w:szCs w:val="24"/>
          <w:lang w:val="en-US" w:eastAsia="zh-CN"/>
        </w:rPr>
        <w:t>打</w:t>
      </w:r>
      <w:r>
        <w:rPr>
          <w:rFonts w:hint="default" w:ascii="Times New Roman Regular" w:hAnsi="Times New Roman Regular" w:eastAsia="宋体" w:cs="Times New Roman Regular"/>
          <w:sz w:val="24"/>
          <w:szCs w:val="24"/>
          <w:lang w:val="en-US" w:eastAsia="zh-CN"/>
        </w:rPr>
        <w:t>包入库，将已装配完整的机体用干净的布擦净后放入指定的包装纸箱</w:t>
      </w:r>
      <w:r>
        <w:rPr>
          <w:rFonts w:hint="default" w:ascii="Times New Roman Regular" w:hAnsi="Times New Roman Regular" w:eastAsia="宋体" w:cs="Times New Roman Regular"/>
          <w:color w:val="auto"/>
          <w:sz w:val="24"/>
          <w:szCs w:val="24"/>
          <w:lang w:val="en-US" w:eastAsia="zh-CN"/>
        </w:rPr>
        <w:t>中并盖上泡沫垫，用打包带打包好入库。</w:t>
      </w:r>
    </w:p>
    <w:p>
      <w:pPr>
        <w:pStyle w:val="128"/>
        <w:keepNext/>
        <w:spacing w:before="163" w:beforeLines="50"/>
        <w:outlineLvl w:val="2"/>
        <w:rPr>
          <w:rFonts w:hint="default" w:ascii="Times New Roman Regular" w:hAnsi="Times New Roman Regular" w:cs="Times New Roman Regular"/>
          <w:color w:val="auto"/>
        </w:rPr>
      </w:pPr>
      <w:bookmarkStart w:id="175" w:name="_Toc44272281"/>
      <w:bookmarkStart w:id="176" w:name="_Toc47618322"/>
      <w:bookmarkStart w:id="177" w:name="_Toc44275437"/>
      <w:bookmarkStart w:id="178" w:name="_Toc46314213"/>
      <w:bookmarkStart w:id="179" w:name="_Toc1493222946"/>
      <w:r>
        <w:rPr>
          <w:rFonts w:hint="default" w:ascii="Times New Roman Regular" w:hAnsi="Times New Roman Regular" w:cs="Times New Roman Regular"/>
          <w:color w:val="auto"/>
        </w:rPr>
        <w:t>5.6.2 产污环节分析</w:t>
      </w:r>
      <w:bookmarkEnd w:id="175"/>
      <w:bookmarkEnd w:id="176"/>
      <w:bookmarkEnd w:id="177"/>
      <w:bookmarkEnd w:id="178"/>
      <w:bookmarkEnd w:id="179"/>
    </w:p>
    <w:p>
      <w:pPr>
        <w:pStyle w:val="10"/>
        <w:numPr>
          <w:ilvl w:val="0"/>
          <w:numId w:val="0"/>
        </w:numPr>
        <w:adjustRightInd w:val="0"/>
        <w:snapToGrid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（1）废气：</w:t>
      </w:r>
      <w:r>
        <w:rPr>
          <w:rFonts w:hint="default" w:ascii="Times New Roman Regular" w:hAnsi="Times New Roman Regular" w:cs="Times New Roman Regular"/>
          <w:color w:val="auto"/>
          <w:lang w:val="en-US" w:eastAsia="zh-Hans"/>
        </w:rPr>
        <w:t>生产工序只涉及机械组装</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产生</w:t>
      </w:r>
      <w:r>
        <w:rPr>
          <w:rFonts w:hint="eastAsia" w:ascii="Times New Roman Regular" w:hAnsi="Times New Roman Regular" w:cs="Times New Roman Regular"/>
          <w:color w:val="auto"/>
          <w:lang w:val="en-US" w:eastAsia="zh-Hans"/>
        </w:rPr>
        <w:t>少量粉尘</w:t>
      </w:r>
      <w:r>
        <w:rPr>
          <w:rFonts w:hint="default" w:ascii="Times New Roman Regular" w:hAnsi="Times New Roman Regular" w:cs="Times New Roman Regular"/>
          <w:color w:val="auto"/>
          <w:lang w:eastAsia="zh-Hans"/>
        </w:rPr>
        <w:t>。</w:t>
      </w:r>
    </w:p>
    <w:p>
      <w:pPr>
        <w:pStyle w:val="10"/>
        <w:numPr>
          <w:ilvl w:val="0"/>
          <w:numId w:val="0"/>
        </w:numPr>
        <w:adjustRightInd w:val="0"/>
        <w:snapToGrid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（2）废水：职工生活污水。</w:t>
      </w:r>
    </w:p>
    <w:p>
      <w:pPr>
        <w:pStyle w:val="10"/>
        <w:numPr>
          <w:ilvl w:val="0"/>
          <w:numId w:val="0"/>
        </w:numPr>
        <w:adjustRightInd w:val="0"/>
        <w:snapToGrid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（3）固废：一般工业固废包括</w:t>
      </w:r>
      <w:r>
        <w:rPr>
          <w:rFonts w:hint="default" w:ascii="Times New Roman Regular" w:hAnsi="Times New Roman Regular" w:cs="Times New Roman Regular"/>
          <w:color w:val="auto"/>
          <w:lang w:val="en-US" w:eastAsia="zh-Hans"/>
        </w:rPr>
        <w:t>残次品</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下脚料</w:t>
      </w:r>
      <w:r>
        <w:rPr>
          <w:rFonts w:hint="eastAsia" w:ascii="Times New Roman Regular" w:hAnsi="Times New Roman Regular" w:cs="Times New Roman Regular"/>
          <w:color w:val="auto"/>
          <w:lang w:val="en-US" w:eastAsia="zh-Hans"/>
        </w:rPr>
        <w:t>以及绝缘胶水包装桶</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rPr>
        <w:t>员工生活垃圾。</w:t>
      </w:r>
    </w:p>
    <w:p>
      <w:pPr>
        <w:pStyle w:val="4"/>
        <w:keepNext/>
        <w:keepLines/>
        <w:widowControl w:val="0"/>
        <w:spacing w:before="163" w:beforeLines="50" w:after="163" w:afterLines="50"/>
        <w:outlineLvl w:val="1"/>
        <w:rPr>
          <w:rFonts w:hint="default" w:ascii="Times New Roman Regular" w:hAnsi="Times New Roman Regular" w:cs="Times New Roman Regular"/>
          <w:color w:val="auto"/>
        </w:rPr>
      </w:pPr>
      <w:bookmarkStart w:id="180" w:name="_Toc47618323"/>
      <w:bookmarkStart w:id="181" w:name="_Toc1104154580"/>
      <w:bookmarkStart w:id="182" w:name="_Toc227726486_WPSOffice_Level2"/>
      <w:r>
        <w:rPr>
          <w:rFonts w:hint="default" w:ascii="Times New Roman Regular" w:hAnsi="Times New Roman Regular" w:cs="Times New Roman Regular"/>
          <w:bCs w:val="0"/>
          <w:color w:val="auto"/>
          <w:kern w:val="2"/>
        </w:rPr>
        <w:t>5.7 水平衡</w:t>
      </w:r>
      <w:bookmarkEnd w:id="180"/>
      <w:bookmarkEnd w:id="181"/>
      <w:bookmarkEnd w:id="182"/>
    </w:p>
    <w:p>
      <w:pPr>
        <w:ind w:firstLine="480" w:firstLineChars="200"/>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根据项目废水污染分析，项目水平衡图见图5.7-1。</w:t>
      </w:r>
    </w:p>
    <w:p>
      <w:pPr>
        <w:rPr>
          <w:rFonts w:hint="default" w:ascii="Times New Roman Regular" w:hAnsi="Times New Roman Regular" w:cs="Times New Roman Regular"/>
          <w:color w:val="FF0000"/>
        </w:rPr>
      </w:pPr>
    </w:p>
    <w:p>
      <w:pPr>
        <w:pStyle w:val="2"/>
        <w:rPr>
          <w:rFonts w:hint="default" w:ascii="Times New Roman Regular" w:hAnsi="Times New Roman Regular" w:cs="Times New Roman Regular"/>
          <w:color w:val="FF0000"/>
        </w:rPr>
      </w:pPr>
    </w:p>
    <w:p>
      <w:pPr>
        <w:rPr>
          <w:rFonts w:hint="default" w:ascii="Times New Roman Regular" w:hAnsi="Times New Roman Regular" w:cs="Times New Roman Regular"/>
          <w:color w:val="FF0000"/>
        </w:rPr>
      </w:pPr>
    </w:p>
    <w:p>
      <w:pPr>
        <w:rPr>
          <w:rFonts w:hint="default" w:ascii="Times New Roman Regular" w:hAnsi="Times New Roman Regular" w:cs="Times New Roman Regular"/>
          <w:color w:val="FF0000"/>
        </w:rPr>
      </w:pPr>
    </w:p>
    <w:p>
      <w:pPr>
        <w:widowControl w:val="0"/>
        <w:autoSpaceDE w:val="0"/>
        <w:autoSpaceDN w:val="0"/>
        <w:adjustRightInd w:val="0"/>
        <w:snapToGrid w:val="0"/>
        <w:spacing w:before="163" w:beforeLines="50"/>
        <w:jc w:val="center"/>
        <w:textAlignment w:val="baseline"/>
        <w:rPr>
          <w:rFonts w:hint="default" w:ascii="Times New Roman Regular" w:hAnsi="Times New Roman Regular" w:cs="Times New Roman Regular"/>
          <w:b/>
          <w:color w:val="FF0000"/>
          <w:kern w:val="0"/>
        </w:rPr>
      </w:pPr>
      <w:r>
        <w:rPr>
          <w:rFonts w:hint="default" w:ascii="Times New Roman Regular" w:hAnsi="Times New Roman Regular" w:cs="Times New Roman Regular"/>
          <w:color w:val="FF0000"/>
          <w:sz w:val="24"/>
        </w:rPr>
        <mc:AlternateContent>
          <mc:Choice Requires="wpg">
            <w:drawing>
              <wp:anchor distT="0" distB="0" distL="114300" distR="114300" simplePos="0" relativeHeight="252160000" behindDoc="0" locked="0" layoutInCell="1" allowOverlap="1">
                <wp:simplePos x="0" y="0"/>
                <wp:positionH relativeFrom="column">
                  <wp:posOffset>-180975</wp:posOffset>
                </wp:positionH>
                <wp:positionV relativeFrom="paragraph">
                  <wp:posOffset>252095</wp:posOffset>
                </wp:positionV>
                <wp:extent cx="5996940" cy="1427480"/>
                <wp:effectExtent l="6350" t="6350" r="16510" b="13970"/>
                <wp:wrapNone/>
                <wp:docPr id="124" name="Group 124"/>
                <wp:cNvGraphicFramePr/>
                <a:graphic xmlns:a="http://schemas.openxmlformats.org/drawingml/2006/main">
                  <a:graphicData uri="http://schemas.microsoft.com/office/word/2010/wordprocessingGroup">
                    <wpg:wgp>
                      <wpg:cNvGrpSpPr/>
                      <wpg:grpSpPr>
                        <a:xfrm rot="0">
                          <a:off x="1144905" y="7263765"/>
                          <a:ext cx="5997055" cy="1427566"/>
                          <a:chOff x="0" y="2540744"/>
                          <a:chExt cx="5997238" cy="1427581"/>
                        </a:xfrm>
                      </wpg:grpSpPr>
                      <wpg:grpSp>
                        <wpg:cNvPr id="99" name="Group 99"/>
                        <wpg:cNvGrpSpPr/>
                        <wpg:grpSpPr>
                          <a:xfrm>
                            <a:off x="0" y="2540744"/>
                            <a:ext cx="1177186" cy="1132136"/>
                            <a:chOff x="0" y="2540744"/>
                            <a:chExt cx="1177186" cy="1132136"/>
                          </a:xfrm>
                        </wpg:grpSpPr>
                        <wps:wsp>
                          <wps:cNvPr id="22" name="Rectangle 22"/>
                          <wps:cNvSpPr/>
                          <wps:spPr>
                            <a:xfrm>
                              <a:off x="0" y="2540744"/>
                              <a:ext cx="1001445" cy="370231"/>
                            </a:xfrm>
                            <a:prstGeom prst="rect">
                              <a:avLst/>
                            </a:prstGeom>
                          </wps:spPr>
                          <wps:style>
                            <a:lnRef idx="2">
                              <a:schemeClr val="dk1"/>
                            </a:lnRef>
                            <a:fillRef idx="1">
                              <a:schemeClr val="lt1"/>
                            </a:fillRef>
                            <a:effectRef idx="0">
                              <a:schemeClr val="dk1"/>
                            </a:effectRef>
                            <a:fontRef idx="minor">
                              <a:schemeClr val="dk1"/>
                            </a:fontRef>
                          </wps:style>
                          <wps:txbx>
                            <w:txbxContent>
                              <w:p>
                                <w:pPr>
                                  <w:spacing w:line="240" w:lineRule="auto"/>
                                  <w:jc w:val="center"/>
                                </w:pPr>
                                <w:r>
                                  <w:rPr>
                                    <w:rFonts w:hint="eastAsia"/>
                                  </w:rPr>
                                  <w:t>新鲜水</w:t>
                                </w:r>
                                <w:r>
                                  <w:rPr>
                                    <w:rFonts w:hint="default"/>
                                  </w:rPr>
                                  <w:t>375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5" name="Straight Connector 35"/>
                          <wps:cNvCnPr/>
                          <wps:spPr>
                            <a:xfrm>
                              <a:off x="472454" y="2899441"/>
                              <a:ext cx="0" cy="773439"/>
                            </a:xfrm>
                            <a:prstGeom prst="line">
                              <a:avLst/>
                            </a:prstGeom>
                          </wps:spPr>
                          <wps:style>
                            <a:lnRef idx="1">
                              <a:schemeClr val="dk1"/>
                            </a:lnRef>
                            <a:fillRef idx="0">
                              <a:schemeClr val="dk1"/>
                            </a:fillRef>
                            <a:effectRef idx="0">
                              <a:schemeClr val="dk1"/>
                            </a:effectRef>
                            <a:fontRef idx="minor">
                              <a:schemeClr val="tx1"/>
                            </a:fontRef>
                          </wps:style>
                          <wps:bodyPr/>
                        </wps:wsp>
                        <wps:wsp>
                          <wps:cNvPr id="40" name="Straight Arrow Connector 40"/>
                          <wps:cNvCnPr/>
                          <wps:spPr>
                            <a:xfrm>
                              <a:off x="472273" y="3667648"/>
                              <a:ext cx="411982" cy="498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1" name="Rectangle 41"/>
                          <wps:cNvSpPr/>
                          <wps:spPr>
                            <a:xfrm>
                              <a:off x="180871" y="3275762"/>
                              <a:ext cx="996315" cy="32154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pPr>
                                <w:r>
                                  <w:t>375</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grpSp>
                        <wpg:cNvPr id="110" name="Group 110"/>
                        <wpg:cNvGrpSpPr/>
                        <wpg:grpSpPr>
                          <a:xfrm rot="0">
                            <a:off x="884063" y="2912943"/>
                            <a:ext cx="5113175" cy="1055382"/>
                            <a:chOff x="30119" y="2391508"/>
                            <a:chExt cx="5113175" cy="1055382"/>
                          </a:xfrm>
                        </wpg:grpSpPr>
                        <wps:wsp>
                          <wps:cNvPr id="31" name="Rectangle 31"/>
                          <wps:cNvSpPr/>
                          <wps:spPr>
                            <a:xfrm>
                              <a:off x="4018654" y="2748340"/>
                              <a:ext cx="1124640" cy="6985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pPr>
                                <w:r>
                                  <w:rPr>
                                    <w:rFonts w:hint="eastAsia"/>
                                    <w:lang w:val="en-US" w:eastAsia="zh-Hans"/>
                                  </w:rPr>
                                  <w:t>福州青口新区</w:t>
                                </w:r>
                                <w:r>
                                  <w:rPr>
                                    <w:rFonts w:hint="eastAsia"/>
                                  </w:rPr>
                                  <w:t>污水处理厂</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 name="Rectangle 19"/>
                          <wps:cNvSpPr/>
                          <wps:spPr>
                            <a:xfrm>
                              <a:off x="311499" y="2391508"/>
                              <a:ext cx="996315" cy="42100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损耗</w:t>
                                </w:r>
                                <w:r>
                                  <w:t>56</w:t>
                                </w:r>
                                <w:r>
                                  <w:rPr>
                                    <w:rFonts w:hint="eastAsia"/>
                                    <w:lang w:val="en-US" w:eastAsia="zh-Hans"/>
                                  </w:rPr>
                                  <w:t>.</w:t>
                                </w:r>
                                <w:r>
                                  <w:rPr>
                                    <w:rFonts w:hint="default"/>
                                    <w:lang w:eastAsia="zh-Hans"/>
                                  </w:rPr>
                                  <w:t>25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 name="Rectangle 27"/>
                          <wps:cNvSpPr/>
                          <wps:spPr>
                            <a:xfrm>
                              <a:off x="30119" y="2943802"/>
                              <a:ext cx="1057074" cy="40068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生活用水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8" name="Straight Arrow Connector 28"/>
                          <wps:cNvCnPr/>
                          <wps:spPr>
                            <a:xfrm>
                              <a:off x="1087192" y="3134701"/>
                              <a:ext cx="4982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3" name="Rectangle 33"/>
                          <wps:cNvSpPr/>
                          <wps:spPr>
                            <a:xfrm>
                              <a:off x="1587490" y="2933391"/>
                              <a:ext cx="824016" cy="40068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生活污水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9" name="Straight Arrow Connector 39"/>
                          <wps:cNvCnPr/>
                          <wps:spPr>
                            <a:xfrm>
                              <a:off x="2411505" y="3135046"/>
                              <a:ext cx="45368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2" name="Curved Connector 42"/>
                          <wps:cNvCnPr/>
                          <wps:spPr>
                            <a:xfrm flipV="1">
                              <a:off x="180870" y="2632668"/>
                              <a:ext cx="266700" cy="287655"/>
                            </a:xfrm>
                            <a:prstGeom prst="curvedConnector3">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43" name="Rectangle 43"/>
                          <wps:cNvSpPr/>
                          <wps:spPr>
                            <a:xfrm>
                              <a:off x="832065" y="2753420"/>
                              <a:ext cx="996365" cy="331494"/>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pPr>
                                <w:r>
                                  <w:t>318</w:t>
                                </w:r>
                                <w:r>
                                  <w:rPr>
                                    <w:rFonts w:hint="eastAsia"/>
                                    <w:lang w:val="en-US" w:eastAsia="zh-Hans"/>
                                  </w:rPr>
                                  <w:t>.</w:t>
                                </w:r>
                                <w:r>
                                  <w:rPr>
                                    <w:rFonts w:hint="default"/>
                                    <w:lang w:eastAsia="zh-Hans"/>
                                  </w:rPr>
                                  <w:t>75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8" name="Rectangle 78"/>
                          <wps:cNvSpPr/>
                          <wps:spPr>
                            <a:xfrm>
                              <a:off x="2865301" y="2943802"/>
                              <a:ext cx="751600" cy="40068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2" name="Rectangle 82"/>
                          <wps:cNvSpPr/>
                          <wps:spPr>
                            <a:xfrm>
                              <a:off x="2140976" y="2753248"/>
                              <a:ext cx="996315" cy="32131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pPr>
                                <w:r>
                                  <w:t>318</w:t>
                                </w:r>
                                <w:r>
                                  <w:rPr>
                                    <w:rFonts w:hint="eastAsia"/>
                                    <w:lang w:val="en-US" w:eastAsia="zh-Hans"/>
                                  </w:rPr>
                                  <w:t>.</w:t>
                                </w:r>
                                <w:r>
                                  <w:rPr>
                                    <w:rFonts w:hint="default"/>
                                    <w:lang w:eastAsia="zh-Hans"/>
                                  </w:rPr>
                                  <w:t>75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4" name="Straight Arrow Connector 84"/>
                          <wps:cNvCnPr/>
                          <wps:spPr>
                            <a:xfrm>
                              <a:off x="3619220" y="3131907"/>
                              <a:ext cx="52136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8" name="Rectangle 98"/>
                          <wps:cNvSpPr/>
                          <wps:spPr>
                            <a:xfrm>
                              <a:off x="3340441" y="2750880"/>
                              <a:ext cx="996365" cy="340384"/>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pPr>
                                <w:r>
                                  <w:rPr>
                                    <w:rFonts w:hint="default"/>
                                    <w:lang w:eastAsia="zh-Hans"/>
                                  </w:rPr>
                                  <w:t>318</w:t>
                                </w:r>
                                <w:r>
                                  <w:rPr>
                                    <w:rFonts w:hint="eastAsia"/>
                                    <w:lang w:val="en-US" w:eastAsia="zh-Hans"/>
                                  </w:rPr>
                                  <w:t>.</w:t>
                                </w:r>
                                <w:r>
                                  <w:rPr>
                                    <w:rFonts w:hint="default"/>
                                    <w:lang w:eastAsia="zh-Hans"/>
                                  </w:rPr>
                                  <w:t>75</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id="Group 124" o:spid="_x0000_s1026" o:spt="203" style="position:absolute;left:0pt;margin-left:-14.25pt;margin-top:19.85pt;height:112.4pt;width:472.2pt;z-index:252160000;mso-width-relative:page;mso-height-relative:page;" coordorigin="0,2540744" coordsize="5997238,1427581" o:gfxdata="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">
                <o:lock v:ext="edit" aspectratio="f"/>
                <v:group id="Group 99" o:spid="_x0000_s1026" o:spt="203" style="position:absolute;left:0;top:2540744;height:1132136;width:1177186;" coordorigin="0,2540744" coordsize="1177186,1132136" o:gfxdata="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uc70r0AAADbAAAADwAAAAAAAAABACAAAAAiAAAAZHJzL2Rvd25yZXYueG1s&#10;UEsBAhQAFAAAAAgAh07iQDMvBZ47AAAAOQAAABUAAAAAAAAAAQAgAAAADAEAAGRycy9ncm91cHNo&#10;YXBleG1sLnhtbFBLBQYAAAAABgAGAGABAADJAwAAAAA=&#10;">
                  <o:lock v:ext="edit" aspectratio="f"/>
                  <v:rect id="Rectangle 22" o:spid="_x0000_s1026" o:spt="1" style="position:absolute;left:0;top:2540744;height:370231;width:1001445;v-text-anchor:middle;" fillcolor="#FFFFFF [3201]" filled="t" stroked="t" coordsize="21600,21600" o:gfxdata="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lm83C8AAAA&#10;2wAAAA8AAAAAAAAAAQAgAAAAIgAAAGRycy9kb3ducmV2LnhtbFBLAQIUABQAAAAIAIdO4kAzLwWe&#10;OwAAADkAAAAQAAAAAAAAAAEAIAAAAAsBAABkcnMvc2hhcGV4bWwueG1sUEsFBgAAAAAGAAYAWwEA&#10;ALUDAAAAAA==&#10;">
                    <v:fill on="t" focussize="0,0"/>
                    <v:stroke weight="1pt" color="#000000 [3200]" miterlimit="8" joinstyle="miter"/>
                    <v:imagedata o:title=""/>
                    <o:lock v:ext="edit" aspectratio="f"/>
                    <v:textbox>
                      <w:txbxContent>
                        <w:p>
                          <w:pPr>
                            <w:spacing w:line="240" w:lineRule="auto"/>
                            <w:jc w:val="center"/>
                          </w:pPr>
                          <w:r>
                            <w:rPr>
                              <w:rFonts w:hint="eastAsia"/>
                            </w:rPr>
                            <w:t>新鲜水</w:t>
                          </w:r>
                          <w:r>
                            <w:rPr>
                              <w:rFonts w:hint="default"/>
                            </w:rPr>
                            <w:t>375</w:t>
                          </w:r>
                        </w:p>
                      </w:txbxContent>
                    </v:textbox>
                  </v:rect>
                  <v:line id="Straight Connector 35" o:spid="_x0000_s1026" o:spt="20" style="position:absolute;left:472454;top:2899441;height:773439;width:0;" filled="f" stroked="t" coordsize="21600,21600" o:gfxdata="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eeVcvQAA&#10;ANs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shape id="Straight Arrow Connector 40" o:spid="_x0000_s1026" o:spt="32" type="#_x0000_t32" style="position:absolute;left:472273;top:3667648;height:4982;width:411982;" filled="f" stroked="t" coordsize="21600,21600" o:gfxdata="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ayE/SugAAANsA&#10;AAAPAAAAAAAAAAEAIAAAACIAAABkcnMvZG93bnJldi54bWxQSwECFAAUAAAACACHTuJAMy8FnjsA&#10;AAA5AAAAEAAAAAAAAAABACAAAAAJAQAAZHJzL3NoYXBleG1sLnhtbFBLBQYAAAAABgAGAFsBAACz&#10;AwAAAAA=&#10;">
                    <v:fill on="f" focussize="0,0"/>
                    <v:stroke weight="0.5pt" color="#000000 [3200]" miterlimit="8" joinstyle="miter" endarrow="block"/>
                    <v:imagedata o:title=""/>
                    <o:lock v:ext="edit" aspectratio="f"/>
                  </v:shape>
                  <v:rect id="Rectangle 41" o:spid="_x0000_s1026" o:spt="1" style="position:absolute;left:180871;top:3275762;height:321547;width:996315;v-text-anchor:middle;" filled="f" stroked="f" coordsize="21600,21600" o:gfxdata="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8YzeG8AAAA&#10;2wAAAA8AAAAAAAAAAQAgAAAAIgAAAGRycy9kb3ducmV2LnhtbFBLAQIUABQAAAAIAIdO4kAzLwWe&#10;OwAAADkAAAAQAAAAAAAAAAEAIAAAAAsBAABkcnMvc2hhcGV4bWwueG1sUEsFBgAAAAAGAAYAWwEA&#10;ALUDAAAAAA==&#10;">
                    <v:fill on="f" focussize="0,0"/>
                    <v:stroke on="f" weight="1pt" miterlimit="8" joinstyle="miter"/>
                    <v:imagedata o:title=""/>
                    <o:lock v:ext="edit" aspectratio="f"/>
                    <v:textbox>
                      <w:txbxContent>
                        <w:p>
                          <w:pPr>
                            <w:jc w:val="center"/>
                          </w:pPr>
                          <w:r>
                            <w:t>375</w:t>
                          </w:r>
                        </w:p>
                      </w:txbxContent>
                    </v:textbox>
                  </v:rect>
                </v:group>
                <v:group id="Group 110" o:spid="_x0000_s1026" o:spt="203" style="position:absolute;left:884063;top:2912943;height:1055382;width:5113175;" coordorigin="30119,2391508" coordsize="5113175,1055382" o:gfxdata="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IQwsMvwAAANwAAAAPAAAAAAAAAAEAIAAAACIAAABkcnMvZG93bnJldi54&#10;bWxQSwECFAAUAAAACACHTuJAMy8FnjsAAAA5AAAAFQAAAAAAAAABACAAAAAOAQAAZHJzL2dyb3Vw&#10;c2hhcGV4bWwueG1sUEsFBgAAAAAGAAYAYAEAAMsDAAAAAA==&#10;">
                  <o:lock v:ext="edit" aspectratio="f"/>
                  <v:rect id="Rectangle 31" o:spid="_x0000_s1026" o:spt="1" style="position:absolute;left:4018654;top:2748340;height:698550;width:1124640;v-text-anchor:middle;" fillcolor="#FFFFFF [3201]" filled="t" stroked="f" coordsize="21600,21600" o:gfxdata="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PlOML4A&#10;AADb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textbox>
                      <w:txbxContent>
                        <w:p>
                          <w:pPr>
                            <w:jc w:val="center"/>
                          </w:pPr>
                          <w:r>
                            <w:rPr>
                              <w:rFonts w:hint="eastAsia"/>
                              <w:lang w:val="en-US" w:eastAsia="zh-Hans"/>
                            </w:rPr>
                            <w:t>福州青口新区</w:t>
                          </w:r>
                          <w:r>
                            <w:rPr>
                              <w:rFonts w:hint="eastAsia"/>
                            </w:rPr>
                            <w:t>污水处理厂</w:t>
                          </w:r>
                        </w:p>
                      </w:txbxContent>
                    </v:textbox>
                  </v:rect>
                  <v:rect id="Rectangle 19" o:spid="_x0000_s1026" o:spt="1" style="position:absolute;left:311499;top:2391508;height:421005;width:996315;v-text-anchor:middle;" filled="f" stroked="f" coordsize="21600,21600" o:gfxdata="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3e76ugAAANsA&#10;AAAPAAAAAAAAAAEAIAAAACIAAABkcnMvZG93bnJldi54bWxQSwECFAAUAAAACACHTuJAMy8FnjsA&#10;AAA5AAAAEAAAAAAAAAABACAAAAAJAQAAZHJzL3NoYXBleG1sLnhtbFBLBQYAAAAABgAGAFsBAACz&#10;AwAAAAA=&#10;">
                    <v:fill on="f" focussize="0,0"/>
                    <v:stroke on="f" weight="1pt" miterlimit="8" joinstyle="miter"/>
                    <v:imagedata o:title=""/>
                    <o:lock v:ext="edit" aspectratio="f"/>
                    <v:textbox>
                      <w:txbxContent>
                        <w:p>
                          <w:pPr>
                            <w:jc w:val="center"/>
                          </w:pPr>
                          <w:r>
                            <w:rPr>
                              <w:rFonts w:hint="eastAsia"/>
                            </w:rPr>
                            <w:t>损耗</w:t>
                          </w:r>
                          <w:r>
                            <w:t>56</w:t>
                          </w:r>
                          <w:r>
                            <w:rPr>
                              <w:rFonts w:hint="eastAsia"/>
                              <w:lang w:val="en-US" w:eastAsia="zh-Hans"/>
                            </w:rPr>
                            <w:t>.</w:t>
                          </w:r>
                          <w:r>
                            <w:rPr>
                              <w:rFonts w:hint="default"/>
                              <w:lang w:eastAsia="zh-Hans"/>
                            </w:rPr>
                            <w:t>25</w:t>
                          </w:r>
                        </w:p>
                      </w:txbxContent>
                    </v:textbox>
                  </v:rect>
                  <v:rect id="Rectangle 27" o:spid="_x0000_s1026" o:spt="1" style="position:absolute;left:30119;top:2943802;height:400685;width:1057074;v-text-anchor:middle;" fillcolor="#FFFFFF [3201]" filled="t" stroked="t" coordsize="21600,21600" o:gfxdata="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EVDovQAA&#10;ANsAAAAPAAAAAAAAAAEAIAAAACIAAABkcnMvZG93bnJldi54bWxQSwECFAAUAAAACACHTuJAMy8F&#10;njsAAAA5AAAAEAAAAAAAAAABACAAAAAMAQAAZHJzL3NoYXBleG1sLnhtbFBLBQYAAAAABgAGAFsB&#10;AAC2AwAAAAA=&#10;">
                    <v:fill on="t" focussize="0,0"/>
                    <v:stroke weight="1pt" color="#000000 [3200]" miterlimit="8" joinstyle="miter"/>
                    <v:imagedata o:title=""/>
                    <o:lock v:ext="edit" aspectratio="f"/>
                    <v:textbox>
                      <w:txbxContent>
                        <w:p>
                          <w:pPr>
                            <w:jc w:val="center"/>
                          </w:pPr>
                          <w:r>
                            <w:rPr>
                              <w:rFonts w:hint="eastAsia"/>
                            </w:rPr>
                            <w:t>生活用水</w:t>
                          </w:r>
                        </w:p>
                      </w:txbxContent>
                    </v:textbox>
                  </v:rect>
                  <v:shape id="Straight Arrow Connector 28" o:spid="_x0000_s1026" o:spt="32" type="#_x0000_t32" style="position:absolute;left:1087192;top:3134701;height:0;width:498265;" filled="f" stroked="t" coordsize="21600,21600" o:gfxdata="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5YaZ0ugAAANsA&#10;AAAPAAAAAAAAAAEAIAAAACIAAABkcnMvZG93bnJldi54bWxQSwECFAAUAAAACACHTuJAMy8FnjsA&#10;AAA5AAAAEAAAAAAAAAABACAAAAAJAQAAZHJzL3NoYXBleG1sLnhtbFBLBQYAAAAABgAGAFsBAACz&#10;AwAAAAA=&#10;">
                    <v:fill on="f" focussize="0,0"/>
                    <v:stroke weight="0.5pt" color="#000000 [3200]" miterlimit="8" joinstyle="miter" endarrow="block"/>
                    <v:imagedata o:title=""/>
                    <o:lock v:ext="edit" aspectratio="f"/>
                  </v:shape>
                  <v:rect id="Rectangle 33" o:spid="_x0000_s1026" o:spt="1" style="position:absolute;left:1587490;top:2933391;height:400685;width:824016;v-text-anchor:middle;" fillcolor="#FFFFFF [3201]" filled="t" stroked="t" coordsize="21600,21600" o:gfxdata="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PzwDa8AAAA&#10;2wAAAA8AAAAAAAAAAQAgAAAAIgAAAGRycy9kb3ducmV2LnhtbFBLAQIUABQAAAAIAIdO4kAzLwWe&#10;OwAAADkAAAAQAAAAAAAAAAEAIAAAAAsBAABkcnMvc2hhcGV4bWwueG1sUEsFBgAAAAAGAAYAWwEA&#10;ALUDAAAAAA==&#10;">
                    <v:fill on="t" focussize="0,0"/>
                    <v:stroke weight="1pt" color="#000000 [3200]" miterlimit="8" joinstyle="miter"/>
                    <v:imagedata o:title=""/>
                    <o:lock v:ext="edit" aspectratio="f"/>
                    <v:textbox>
                      <w:txbxContent>
                        <w:p>
                          <w:pPr>
                            <w:jc w:val="center"/>
                          </w:pPr>
                          <w:r>
                            <w:rPr>
                              <w:rFonts w:hint="eastAsia"/>
                            </w:rPr>
                            <w:t>生活污水</w:t>
                          </w:r>
                        </w:p>
                      </w:txbxContent>
                    </v:textbox>
                  </v:rect>
                  <v:shape id="Straight Arrow Connector 39" o:spid="_x0000_s1026" o:spt="32" type="#_x0000_t32" style="position:absolute;left:2411505;top:3135046;height:0;width:453683;" filled="f" stroked="t" coordsize="21600,21600" o:gfxdata="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SVMrsAAADb&#10;AAAADwAAAAAAAAABACAAAAAiAAAAZHJzL2Rvd25yZXYueG1sUEsBAhQAFAAAAAgAh07iQDMvBZ47&#10;AAAAOQAAABAAAAAAAAAAAQAgAAAACgEAAGRycy9zaGFwZXhtbC54bWxQSwUGAAAAAAYABgBbAQAA&#10;tAMAAAAA&#10;">
                    <v:fill on="f" focussize="0,0"/>
                    <v:stroke weight="0.5pt" color="#000000 [3200]" miterlimit="8" joinstyle="miter" endarrow="block"/>
                    <v:imagedata o:title=""/>
                    <o:lock v:ext="edit" aspectratio="f"/>
                  </v:shape>
                  <v:shape id="Curved Connector 42" o:spid="_x0000_s1026" o:spt="38" type="#_x0000_t38" style="position:absolute;left:180870;top:2632668;flip:y;height:287655;width:266700;" filled="f" stroked="t" coordsize="21600,21600" o:gfxdata="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ntwqS2AAAA2wAAAA8A&#10;AAAAAAAAAQAgAAAAIgAAAGRycy9kb3ducmV2LnhtbFBLAQIUABQAAAAIAIdO4kAzLwWeOwAAADkA&#10;AAAQAAAAAAAAAAEAIAAAAAUBAABkcnMvc2hhcGV4bWwueG1sUEsFBgAAAAAGAAYAWwEAAK8DAAAA&#10;AA==&#10;" adj="10800">
                    <v:fill on="f" focussize="0,0"/>
                    <v:stroke weight="0.5pt" color="#000000 [3200]" miterlimit="8" joinstyle="miter" dashstyle="dash" endarrow="block"/>
                    <v:imagedata o:title=""/>
                    <o:lock v:ext="edit" aspectratio="f"/>
                  </v:shape>
                  <v:rect id="Rectangle 43" o:spid="_x0000_s1026" o:spt="1" style="position:absolute;left:832065;top:2753420;height:331494;width:996365;v-text-anchor:middle;" filled="f" stroked="f" coordsize="21600,21600" o:gfxdata="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Ib2DbsAAADb&#10;AAAADwAAAAAAAAABACAAAAAiAAAAZHJzL2Rvd25yZXYueG1sUEsBAhQAFAAAAAgAh07iQDMvBZ47&#10;AAAAOQAAABAAAAAAAAAAAQAgAAAACgEAAGRycy9zaGFwZXhtbC54bWxQSwUGAAAAAAYABgBbAQAA&#10;tAMAAAAA&#10;">
                    <v:fill on="f" focussize="0,0"/>
                    <v:stroke on="f" weight="1pt" miterlimit="8" joinstyle="miter"/>
                    <v:imagedata o:title=""/>
                    <o:lock v:ext="edit" aspectratio="f"/>
                    <v:textbox>
                      <w:txbxContent>
                        <w:p>
                          <w:pPr>
                            <w:jc w:val="center"/>
                          </w:pPr>
                          <w:r>
                            <w:t>318</w:t>
                          </w:r>
                          <w:r>
                            <w:rPr>
                              <w:rFonts w:hint="eastAsia"/>
                              <w:lang w:val="en-US" w:eastAsia="zh-Hans"/>
                            </w:rPr>
                            <w:t>.</w:t>
                          </w:r>
                          <w:r>
                            <w:rPr>
                              <w:rFonts w:hint="default"/>
                              <w:lang w:eastAsia="zh-Hans"/>
                            </w:rPr>
                            <w:t>75</w:t>
                          </w:r>
                        </w:p>
                      </w:txbxContent>
                    </v:textbox>
                  </v:rect>
                  <v:rect id="Rectangle 78" o:spid="_x0000_s1026" o:spt="1" style="position:absolute;left:2865301;top:2943802;height:400685;width:751600;v-text-anchor:middle;" fillcolor="#FFFFFF [3201]" filled="t" stroked="t" coordsize="21600,21600" o:gfxdata="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s964e5AAAA2wAA&#10;AA8AAAAAAAAAAQAgAAAAIgAAAGRycy9kb3ducmV2LnhtbFBLAQIUABQAAAAIAIdO4kAzLwWeOwAA&#10;ADkAAAAQAAAAAAAAAAEAIAAAAAgBAABkcnMvc2hhcGV4bWwueG1sUEsFBgAAAAAGAAYAWwEAALID&#10;AAAAAA==&#10;">
                    <v:fill on="t" focussize="0,0"/>
                    <v:stroke weight="1pt" color="#000000 [3200]" miterlimit="8" joinstyle="miter"/>
                    <v:imagedata o:title=""/>
                    <o:lock v:ext="edit" aspectratio="f"/>
                    <v:textbox>
                      <w:txbxContent>
                        <w:p>
                          <w:pPr>
                            <w:jc w:val="center"/>
                          </w:pPr>
                          <w:r>
                            <w:rPr>
                              <w:rFonts w:hint="eastAsia"/>
                            </w:rPr>
                            <w:t>化粪池</w:t>
                          </w:r>
                        </w:p>
                      </w:txbxContent>
                    </v:textbox>
                  </v:rect>
                  <v:rect id="Rectangle 82" o:spid="_x0000_s1026" o:spt="1" style="position:absolute;left:2140976;top:2753248;height:321310;width:996315;v-text-anchor:middle;" filled="f" stroked="f" coordsize="21600,21600" o:gfxdata="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HPpDLsAAADb&#10;AAAADwAAAAAAAAABACAAAAAiAAAAZHJzL2Rvd25yZXYueG1sUEsBAhQAFAAAAAgAh07iQDMvBZ47&#10;AAAAOQAAABAAAAAAAAAAAQAgAAAACgEAAGRycy9zaGFwZXhtbC54bWxQSwUGAAAAAAYABgBbAQAA&#10;tAMAAAAA&#10;">
                    <v:fill on="f" focussize="0,0"/>
                    <v:stroke on="f" weight="1pt" miterlimit="8" joinstyle="miter"/>
                    <v:imagedata o:title=""/>
                    <o:lock v:ext="edit" aspectratio="f"/>
                    <v:textbox>
                      <w:txbxContent>
                        <w:p>
                          <w:pPr>
                            <w:jc w:val="center"/>
                          </w:pPr>
                          <w:r>
                            <w:t>318</w:t>
                          </w:r>
                          <w:r>
                            <w:rPr>
                              <w:rFonts w:hint="eastAsia"/>
                              <w:lang w:val="en-US" w:eastAsia="zh-Hans"/>
                            </w:rPr>
                            <w:t>.</w:t>
                          </w:r>
                          <w:r>
                            <w:rPr>
                              <w:rFonts w:hint="default"/>
                              <w:lang w:eastAsia="zh-Hans"/>
                            </w:rPr>
                            <w:t>75</w:t>
                          </w:r>
                        </w:p>
                      </w:txbxContent>
                    </v:textbox>
                  </v:rect>
                  <v:shape id="Straight Arrow Connector 84" o:spid="_x0000_s1026" o:spt="32" type="#_x0000_t32" style="position:absolute;left:3619220;top:3131907;height:0;width:521361;" filled="f" stroked="t" coordsize="21600,21600" o:gfxdata="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krzS7sAAADb&#10;AAAADwAAAAAAAAABACAAAAAiAAAAZHJzL2Rvd25yZXYueG1sUEsBAhQAFAAAAAgAh07iQDMvBZ47&#10;AAAAOQAAABAAAAAAAAAAAQAgAAAACgEAAGRycy9zaGFwZXhtbC54bWxQSwUGAAAAAAYABgBbAQAA&#10;tAMAAAAA&#10;">
                    <v:fill on="f" focussize="0,0"/>
                    <v:stroke weight="0.5pt" color="#000000 [3200]" miterlimit="8" joinstyle="miter" endarrow="block"/>
                    <v:imagedata o:title=""/>
                    <o:lock v:ext="edit" aspectratio="f"/>
                  </v:shape>
                  <v:rect id="Rectangle 98" o:spid="_x0000_s1026" o:spt="1" style="position:absolute;left:3340441;top:2750880;height:340384;width:996365;v-text-anchor:middle;" filled="f" stroked="f" coordsize="21600,21600" o:gfxdata="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EJIO7gAAADbAAAA&#10;DwAAAAAAAAABACAAAAAiAAAAZHJzL2Rvd25yZXYueG1sUEsBAhQAFAAAAAgAh07iQDMvBZ47AAAA&#10;OQAAABAAAAAAAAAAAQAgAAAABwEAAGRycy9zaGFwZXhtbC54bWxQSwUGAAAAAAYABgBbAQAAsQMA&#10;AAAA&#10;">
                    <v:fill on="f" focussize="0,0"/>
                    <v:stroke on="f" weight="1pt" miterlimit="8" joinstyle="miter"/>
                    <v:imagedata o:title=""/>
                    <o:lock v:ext="edit" aspectratio="f"/>
                    <v:textbox>
                      <w:txbxContent>
                        <w:p>
                          <w:pPr>
                            <w:jc w:val="center"/>
                          </w:pPr>
                          <w:r>
                            <w:rPr>
                              <w:rFonts w:hint="default"/>
                              <w:lang w:eastAsia="zh-Hans"/>
                            </w:rPr>
                            <w:t>318</w:t>
                          </w:r>
                          <w:r>
                            <w:rPr>
                              <w:rFonts w:hint="eastAsia"/>
                              <w:lang w:val="en-US" w:eastAsia="zh-Hans"/>
                            </w:rPr>
                            <w:t>.</w:t>
                          </w:r>
                          <w:r>
                            <w:rPr>
                              <w:rFonts w:hint="default"/>
                              <w:lang w:eastAsia="zh-Hans"/>
                            </w:rPr>
                            <w:t>75</w:t>
                          </w:r>
                        </w:p>
                      </w:txbxContent>
                    </v:textbox>
                  </v:rect>
                </v:group>
              </v:group>
            </w:pict>
          </mc:Fallback>
        </mc:AlternateContent>
      </w:r>
    </w:p>
    <w:p>
      <w:pPr>
        <w:pStyle w:val="2"/>
        <w:rPr>
          <w:rFonts w:hint="default" w:ascii="Times New Roman Regular" w:hAnsi="Times New Roman Regular" w:cs="Times New Roman Regular"/>
          <w:b/>
          <w:color w:val="FF0000"/>
          <w:kern w:val="0"/>
        </w:rPr>
      </w:pPr>
    </w:p>
    <w:p>
      <w:pPr>
        <w:rPr>
          <w:rFonts w:hint="default" w:ascii="Times New Roman Regular" w:hAnsi="Times New Roman Regular" w:cs="Times New Roman Regular"/>
          <w:b/>
          <w:color w:val="FF0000"/>
          <w:kern w:val="0"/>
        </w:rPr>
      </w:pPr>
    </w:p>
    <w:p>
      <w:pPr>
        <w:pStyle w:val="2"/>
        <w:rPr>
          <w:rFonts w:hint="default" w:ascii="Times New Roman Regular" w:hAnsi="Times New Roman Regular" w:cs="Times New Roman Regular"/>
          <w:b/>
          <w:color w:val="FF0000"/>
          <w:kern w:val="0"/>
        </w:rPr>
      </w:pPr>
    </w:p>
    <w:p>
      <w:pPr>
        <w:rPr>
          <w:rFonts w:hint="default"/>
        </w:rPr>
      </w:pP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图5.7-1 水平衡图   单位：t/a</w:t>
      </w:r>
    </w:p>
    <w:p>
      <w:pPr>
        <w:pStyle w:val="4"/>
        <w:keepNext/>
        <w:keepLines/>
        <w:widowControl w:val="0"/>
        <w:spacing w:before="163" w:beforeLines="50" w:after="163" w:afterLines="50"/>
        <w:outlineLvl w:val="1"/>
        <w:rPr>
          <w:rFonts w:hint="default" w:ascii="Times New Roman Regular" w:hAnsi="Times New Roman Regular" w:cs="Times New Roman Regular"/>
          <w:bCs w:val="0"/>
          <w:color w:val="auto"/>
          <w:kern w:val="2"/>
        </w:rPr>
      </w:pPr>
      <w:bookmarkStart w:id="183" w:name="_Toc1119832333"/>
      <w:bookmarkStart w:id="184" w:name="_Toc47618326"/>
      <w:bookmarkStart w:id="185" w:name="_Toc583191248_WPSOffice_Level2"/>
      <w:r>
        <w:rPr>
          <w:rFonts w:hint="default" w:ascii="Times New Roman Regular" w:hAnsi="Times New Roman Regular" w:cs="Times New Roman Regular"/>
          <w:bCs w:val="0"/>
          <w:color w:val="auto"/>
          <w:kern w:val="2"/>
        </w:rPr>
        <w:t>5.8 污染源分析</w:t>
      </w:r>
      <w:bookmarkEnd w:id="183"/>
      <w:bookmarkEnd w:id="184"/>
      <w:bookmarkEnd w:id="185"/>
    </w:p>
    <w:p>
      <w:pPr>
        <w:pStyle w:val="128"/>
        <w:keepNext/>
        <w:spacing w:before="163" w:beforeLines="50"/>
        <w:outlineLvl w:val="2"/>
        <w:rPr>
          <w:rFonts w:hint="default" w:ascii="Times New Roman Regular" w:hAnsi="Times New Roman Regular" w:cs="Times New Roman Regular"/>
          <w:color w:val="auto"/>
        </w:rPr>
      </w:pPr>
      <w:bookmarkStart w:id="186" w:name="_Toc46314219"/>
      <w:bookmarkStart w:id="187" w:name="_Toc44272285"/>
      <w:bookmarkStart w:id="188" w:name="_Toc475338423"/>
      <w:bookmarkStart w:id="189" w:name="_Toc44275441"/>
      <w:bookmarkStart w:id="190" w:name="_Toc47618328"/>
      <w:r>
        <w:rPr>
          <w:rFonts w:hint="default" w:ascii="Times New Roman Regular" w:hAnsi="Times New Roman Regular" w:cs="Times New Roman Regular"/>
          <w:color w:val="auto"/>
        </w:rPr>
        <w:t>5.8.1 废水</w:t>
      </w:r>
      <w:bookmarkEnd w:id="186"/>
      <w:bookmarkEnd w:id="187"/>
      <w:bookmarkEnd w:id="188"/>
      <w:bookmarkEnd w:id="189"/>
      <w:bookmarkEnd w:id="190"/>
    </w:p>
    <w:p>
      <w:pPr>
        <w:autoSpaceDE w:val="0"/>
        <w:autoSpaceDN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本项目营运期废水主要为职工生活污水。</w:t>
      </w:r>
    </w:p>
    <w:p>
      <w:pPr>
        <w:autoSpaceDE w:val="0"/>
        <w:autoSpaceDN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本项目劳动定员25人，不在厂区内住宿，年工作300天。根据《福建省行业用水定额》（DB35/T772-2013），非住宿职工生活用水量取50L/（d·人），则项目职工用水量为1.25m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/d（375t/a）。污水排放系数按85%计，则污水排放量为1.0625m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/d（318</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75</w:t>
      </w:r>
      <w:r>
        <w:rPr>
          <w:rFonts w:hint="default" w:ascii="Times New Roman Regular" w:hAnsi="Times New Roman Regular" w:cs="Times New Roman Regular"/>
          <w:color w:val="auto"/>
        </w:rPr>
        <w:t>t/a）。生活污水的主要污染物成分简单、浓度低，为COD、BOD</w:t>
      </w:r>
      <w:r>
        <w:rPr>
          <w:rFonts w:hint="default" w:ascii="Times New Roman Regular" w:hAnsi="Times New Roman Regular" w:cs="Times New Roman Regular"/>
          <w:color w:val="auto"/>
          <w:vertAlign w:val="subscript"/>
        </w:rPr>
        <w:t>5</w:t>
      </w:r>
      <w:r>
        <w:rPr>
          <w:rFonts w:hint="default" w:ascii="Times New Roman Regular" w:hAnsi="Times New Roman Regular" w:cs="Times New Roman Regular"/>
          <w:color w:val="auto"/>
        </w:rPr>
        <w:t>、SS、NH</w:t>
      </w:r>
      <w:r>
        <w:rPr>
          <w:rFonts w:hint="default" w:ascii="Times New Roman Regular" w:hAnsi="Times New Roman Regular" w:cs="Times New Roman Regular"/>
          <w:color w:val="auto"/>
          <w:vertAlign w:val="subscript"/>
        </w:rPr>
        <w:t>3</w:t>
      </w:r>
      <w:r>
        <w:rPr>
          <w:rFonts w:hint="default" w:ascii="Times New Roman Regular" w:hAnsi="Times New Roman Regular" w:cs="Times New Roman Regular"/>
          <w:color w:val="auto"/>
        </w:rPr>
        <w:t>-N等，参考《给排水设计手册》（第五册城镇排水）典型的生活污水水质，污染物浓度选取：COD：400mg/L、BOD</w:t>
      </w:r>
      <w:r>
        <w:rPr>
          <w:rFonts w:hint="default" w:ascii="Times New Roman Regular" w:hAnsi="Times New Roman Regular" w:cs="Times New Roman Regular"/>
          <w:color w:val="auto"/>
          <w:vertAlign w:val="subscript"/>
        </w:rPr>
        <w:t>5</w:t>
      </w:r>
      <w:r>
        <w:rPr>
          <w:rFonts w:hint="default" w:ascii="Times New Roman Regular" w:hAnsi="Times New Roman Regular" w:cs="Times New Roman Regular"/>
          <w:color w:val="auto"/>
        </w:rPr>
        <w:t>：200mg/L、SS：250mg/L、NH</w:t>
      </w:r>
      <w:r>
        <w:rPr>
          <w:rFonts w:hint="default" w:ascii="Times New Roman Regular" w:hAnsi="Times New Roman Regular" w:cs="Times New Roman Regular"/>
          <w:color w:val="auto"/>
          <w:vertAlign w:val="subscript"/>
        </w:rPr>
        <w:t>3</w:t>
      </w:r>
      <w:r>
        <w:rPr>
          <w:rFonts w:hint="default" w:ascii="Times New Roman Regular" w:hAnsi="Times New Roman Regular" w:cs="Times New Roman Regular"/>
          <w:color w:val="auto"/>
        </w:rPr>
        <w:t>-N：35mg/L。</w:t>
      </w:r>
      <w:r>
        <w:rPr>
          <w:rFonts w:hint="default" w:ascii="Times New Roman Regular" w:hAnsi="Times New Roman Regular" w:cs="Times New Roman Regular"/>
          <w:color w:val="auto"/>
          <w:lang w:val="en-US" w:eastAsia="zh-Hans"/>
        </w:rPr>
        <w:t>生活污水</w:t>
      </w:r>
      <w:r>
        <w:rPr>
          <w:rFonts w:hint="default" w:ascii="Times New Roman Regular" w:hAnsi="Times New Roman Regular" w:cs="Times New Roman Regular"/>
          <w:color w:val="auto"/>
        </w:rPr>
        <w:t>水质及源强排放情况见表5.8-1。</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表5.8-1 项目废水产排情况</w:t>
      </w:r>
    </w:p>
    <w:tbl>
      <w:tblPr>
        <w:tblStyle w:val="36"/>
        <w:tblW w:w="85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919"/>
        <w:gridCol w:w="1212"/>
        <w:gridCol w:w="1212"/>
        <w:gridCol w:w="1363"/>
        <w:gridCol w:w="1363"/>
        <w:gridCol w:w="12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176" w:type="dxa"/>
            <w:gridSpan w:val="2"/>
            <w:vMerge w:val="restart"/>
            <w:vAlign w:val="center"/>
          </w:tcPr>
          <w:p>
            <w:pPr>
              <w:pStyle w:val="135"/>
              <w:rPr>
                <w:rFonts w:hint="default" w:ascii="Times New Roman Regular" w:hAnsi="Times New Roman Regular" w:cs="Times New Roman Regular"/>
                <w:color w:val="auto"/>
              </w:rPr>
            </w:pPr>
            <w:bookmarkStart w:id="191" w:name="_Toc46314220"/>
            <w:bookmarkStart w:id="192" w:name="_Toc44272286"/>
            <w:bookmarkStart w:id="193" w:name="_Toc44275442"/>
            <w:bookmarkStart w:id="194" w:name="_Toc47618329"/>
            <w:r>
              <w:rPr>
                <w:rFonts w:hint="default" w:ascii="Times New Roman Regular" w:hAnsi="Times New Roman Regular" w:cs="Times New Roman Regular"/>
                <w:color w:val="auto"/>
              </w:rPr>
              <w:t>污染源名称</w:t>
            </w:r>
          </w:p>
        </w:tc>
        <w:tc>
          <w:tcPr>
            <w:tcW w:w="2424" w:type="dxa"/>
            <w:gridSpan w:val="2"/>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产生情况</w:t>
            </w:r>
          </w:p>
        </w:tc>
        <w:tc>
          <w:tcPr>
            <w:tcW w:w="1363" w:type="dxa"/>
            <w:vMerge w:val="restar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环保措施</w:t>
            </w:r>
          </w:p>
        </w:tc>
        <w:tc>
          <w:tcPr>
            <w:tcW w:w="2575" w:type="dxa"/>
            <w:gridSpan w:val="2"/>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76" w:type="dxa"/>
            <w:gridSpan w:val="2"/>
            <w:vMerge w:val="continue"/>
            <w:vAlign w:val="center"/>
          </w:tcPr>
          <w:p>
            <w:pPr>
              <w:pStyle w:val="135"/>
              <w:rPr>
                <w:rFonts w:hint="default" w:ascii="Times New Roman Regular" w:hAnsi="Times New Roman Regular" w:cs="Times New Roman Regular"/>
                <w:color w:val="auto"/>
              </w:rPr>
            </w:pP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浓度mg/L</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产生量t/a</w:t>
            </w:r>
          </w:p>
        </w:tc>
        <w:tc>
          <w:tcPr>
            <w:tcW w:w="1363" w:type="dxa"/>
            <w:vMerge w:val="continue"/>
            <w:vAlign w:val="center"/>
          </w:tcPr>
          <w:p>
            <w:pPr>
              <w:pStyle w:val="135"/>
              <w:rPr>
                <w:rFonts w:hint="default" w:ascii="Times New Roman Regular" w:hAnsi="Times New Roman Regular" w:cs="Times New Roman Regular"/>
                <w:color w:val="auto"/>
              </w:rPr>
            </w:pPr>
          </w:p>
        </w:tc>
        <w:tc>
          <w:tcPr>
            <w:tcW w:w="136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浓度mg/L</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57" w:type="dxa"/>
            <w:vMerge w:val="restar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生活污水318</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75</w:t>
            </w:r>
            <w:r>
              <w:rPr>
                <w:rFonts w:hint="default" w:ascii="Times New Roman Regular" w:hAnsi="Times New Roman Regular" w:cs="Times New Roman Regular"/>
                <w:color w:val="auto"/>
              </w:rPr>
              <w:t>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/a</w:t>
            </w:r>
          </w:p>
        </w:tc>
        <w:tc>
          <w:tcPr>
            <w:tcW w:w="919"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CODcr</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400</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0.128</w:t>
            </w:r>
          </w:p>
        </w:tc>
        <w:tc>
          <w:tcPr>
            <w:tcW w:w="1363" w:type="dxa"/>
            <w:vMerge w:val="restar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化粪池</w:t>
            </w:r>
          </w:p>
        </w:tc>
        <w:tc>
          <w:tcPr>
            <w:tcW w:w="136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250</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r>
              <w:rPr>
                <w:rFonts w:hint="default" w:ascii="Times New Roman Regular" w:hAnsi="Times New Roman Regular" w:cs="Times New Roman Regular"/>
                <w:color w:val="auto"/>
                <w:lang w:eastAsia="zh-Hans"/>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7" w:type="dxa"/>
            <w:vMerge w:val="continue"/>
            <w:vAlign w:val="center"/>
          </w:tcPr>
          <w:p>
            <w:pPr>
              <w:pStyle w:val="135"/>
              <w:rPr>
                <w:rFonts w:hint="default" w:ascii="Times New Roman Regular" w:hAnsi="Times New Roman Regular" w:cs="Times New Roman Regular"/>
                <w:color w:val="auto"/>
              </w:rPr>
            </w:pPr>
          </w:p>
        </w:tc>
        <w:tc>
          <w:tcPr>
            <w:tcW w:w="919"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BOD</w:t>
            </w:r>
            <w:r>
              <w:rPr>
                <w:rFonts w:hint="default" w:ascii="Times New Roman Regular" w:hAnsi="Times New Roman Regular" w:cs="Times New Roman Regular"/>
                <w:color w:val="auto"/>
                <w:vertAlign w:val="subscript"/>
              </w:rPr>
              <w:t>5</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200</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0.064</w:t>
            </w:r>
          </w:p>
        </w:tc>
        <w:tc>
          <w:tcPr>
            <w:tcW w:w="1363" w:type="dxa"/>
            <w:vMerge w:val="continue"/>
            <w:vAlign w:val="center"/>
          </w:tcPr>
          <w:p>
            <w:pPr>
              <w:pStyle w:val="135"/>
              <w:rPr>
                <w:rFonts w:hint="default" w:ascii="Times New Roman Regular" w:hAnsi="Times New Roman Regular" w:cs="Times New Roman Regular"/>
                <w:color w:val="auto"/>
              </w:rPr>
            </w:pPr>
          </w:p>
        </w:tc>
        <w:tc>
          <w:tcPr>
            <w:tcW w:w="136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162</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r>
              <w:rPr>
                <w:rFonts w:hint="default" w:ascii="Times New Roman Regular" w:hAnsi="Times New Roman Regular" w:cs="Times New Roman Regular"/>
                <w:color w:val="auto"/>
                <w:lang w:eastAsia="zh-Hans"/>
              </w:rPr>
              <w:t>.052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57" w:type="dxa"/>
            <w:vMerge w:val="continue"/>
            <w:vAlign w:val="center"/>
          </w:tcPr>
          <w:p>
            <w:pPr>
              <w:pStyle w:val="135"/>
              <w:rPr>
                <w:rFonts w:hint="default" w:ascii="Times New Roman Regular" w:hAnsi="Times New Roman Regular" w:cs="Times New Roman Regular"/>
                <w:color w:val="auto"/>
              </w:rPr>
            </w:pPr>
          </w:p>
        </w:tc>
        <w:tc>
          <w:tcPr>
            <w:tcW w:w="919"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NH</w:t>
            </w:r>
            <w:r>
              <w:rPr>
                <w:rFonts w:hint="default" w:ascii="Times New Roman Regular" w:hAnsi="Times New Roman Regular" w:cs="Times New Roman Regular"/>
                <w:color w:val="auto"/>
                <w:vertAlign w:val="subscript"/>
              </w:rPr>
              <w:t>3</w:t>
            </w:r>
            <w:r>
              <w:rPr>
                <w:rFonts w:hint="default" w:ascii="Times New Roman Regular" w:hAnsi="Times New Roman Regular" w:cs="Times New Roman Regular"/>
                <w:color w:val="auto"/>
              </w:rPr>
              <w:t>-N</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35</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0.011</w:t>
            </w:r>
          </w:p>
        </w:tc>
        <w:tc>
          <w:tcPr>
            <w:tcW w:w="1363" w:type="dxa"/>
            <w:vMerge w:val="continue"/>
            <w:vAlign w:val="center"/>
          </w:tcPr>
          <w:p>
            <w:pPr>
              <w:pStyle w:val="135"/>
              <w:rPr>
                <w:rFonts w:hint="default" w:ascii="Times New Roman Regular" w:hAnsi="Times New Roman Regular" w:cs="Times New Roman Regular"/>
                <w:color w:val="auto"/>
              </w:rPr>
            </w:pPr>
          </w:p>
        </w:tc>
        <w:tc>
          <w:tcPr>
            <w:tcW w:w="136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25</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r>
              <w:rPr>
                <w:rFonts w:hint="default" w:ascii="Times New Roman Regular" w:hAnsi="Times New Roman Regular" w:cs="Times New Roman Regular"/>
                <w:color w:val="auto"/>
                <w:lang w:eastAsia="zh-Hans"/>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57" w:type="dxa"/>
            <w:vMerge w:val="continue"/>
            <w:vAlign w:val="center"/>
          </w:tcPr>
          <w:p>
            <w:pPr>
              <w:pStyle w:val="135"/>
              <w:rPr>
                <w:rFonts w:hint="default" w:ascii="Times New Roman Regular" w:hAnsi="Times New Roman Regular" w:cs="Times New Roman Regular"/>
                <w:color w:val="auto"/>
              </w:rPr>
            </w:pPr>
          </w:p>
        </w:tc>
        <w:tc>
          <w:tcPr>
            <w:tcW w:w="919"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SS</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250</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0.08</w:t>
            </w:r>
          </w:p>
        </w:tc>
        <w:tc>
          <w:tcPr>
            <w:tcW w:w="1363" w:type="dxa"/>
            <w:vMerge w:val="continue"/>
            <w:vAlign w:val="center"/>
          </w:tcPr>
          <w:p>
            <w:pPr>
              <w:pStyle w:val="135"/>
              <w:rPr>
                <w:rFonts w:hint="default" w:ascii="Times New Roman Regular" w:hAnsi="Times New Roman Regular" w:cs="Times New Roman Regular"/>
                <w:color w:val="auto"/>
              </w:rPr>
            </w:pPr>
          </w:p>
        </w:tc>
        <w:tc>
          <w:tcPr>
            <w:tcW w:w="136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70</w:t>
            </w:r>
          </w:p>
        </w:tc>
        <w:tc>
          <w:tcPr>
            <w:tcW w:w="1212"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r>
              <w:rPr>
                <w:rFonts w:hint="default" w:ascii="Times New Roman Regular" w:hAnsi="Times New Roman Regular" w:cs="Times New Roman Regular"/>
                <w:color w:val="auto"/>
                <w:lang w:eastAsia="zh-Hans"/>
              </w:rPr>
              <w:t>.022</w:t>
            </w:r>
          </w:p>
        </w:tc>
      </w:tr>
    </w:tbl>
    <w:p>
      <w:pPr>
        <w:pStyle w:val="128"/>
        <w:keepNext/>
        <w:spacing w:before="163" w:beforeLines="50"/>
        <w:outlineLvl w:val="2"/>
        <w:rPr>
          <w:rFonts w:hint="default" w:ascii="Times New Roman Regular" w:hAnsi="Times New Roman Regular" w:cs="Times New Roman Regular"/>
          <w:color w:val="auto"/>
        </w:rPr>
      </w:pPr>
      <w:bookmarkStart w:id="195" w:name="_Toc373708521"/>
      <w:r>
        <w:rPr>
          <w:rFonts w:hint="default" w:ascii="Times New Roman Regular" w:hAnsi="Times New Roman Regular" w:cs="Times New Roman Regular"/>
          <w:color w:val="auto"/>
        </w:rPr>
        <w:t>5.8.2 废气</w:t>
      </w:r>
      <w:bookmarkEnd w:id="191"/>
      <w:bookmarkEnd w:id="192"/>
      <w:bookmarkEnd w:id="193"/>
      <w:bookmarkEnd w:id="194"/>
      <w:bookmarkEnd w:id="195"/>
    </w:p>
    <w:p>
      <w:pPr>
        <w:pStyle w:val="132"/>
        <w:ind w:firstLine="480" w:firstLineChars="200"/>
        <w:rPr>
          <w:rFonts w:hint="default" w:ascii="Times New Roman Regular" w:hAnsi="Times New Roman Regular" w:cs="Times New Roman Regular"/>
          <w:color w:val="auto"/>
          <w:sz w:val="24"/>
          <w:szCs w:val="24"/>
          <w:lang w:eastAsia="zh-Hans"/>
        </w:rPr>
      </w:pPr>
      <w:r>
        <w:rPr>
          <w:rFonts w:hint="default" w:ascii="Times New Roman Regular" w:hAnsi="Times New Roman Regular" w:cs="Times New Roman Regular"/>
          <w:color w:val="auto"/>
          <w:sz w:val="24"/>
          <w:szCs w:val="24"/>
        </w:rPr>
        <w:t>本项目</w:t>
      </w:r>
      <w:r>
        <w:rPr>
          <w:rFonts w:hint="default" w:ascii="Times New Roman Regular" w:hAnsi="Times New Roman Regular" w:cs="Times New Roman Regular"/>
          <w:color w:val="auto"/>
          <w:sz w:val="24"/>
          <w:szCs w:val="24"/>
          <w:lang w:val="en-US" w:eastAsia="zh-Hans"/>
        </w:rPr>
        <w:t>生产工序只涉及机械组装</w:t>
      </w:r>
      <w:r>
        <w:rPr>
          <w:rFonts w:hint="default" w:ascii="Times New Roman Regular" w:hAnsi="Times New Roman Regular" w:cs="Times New Roman Regular"/>
          <w:color w:val="auto"/>
          <w:sz w:val="24"/>
          <w:szCs w:val="24"/>
          <w:lang w:eastAsia="zh-Hans"/>
        </w:rPr>
        <w:t>，</w:t>
      </w:r>
      <w:r>
        <w:rPr>
          <w:rFonts w:hint="eastAsia" w:ascii="Times New Roman Regular" w:hAnsi="Times New Roman Regular" w:cs="Times New Roman Regular"/>
          <w:color w:val="auto"/>
          <w:sz w:val="24"/>
          <w:szCs w:val="24"/>
          <w:lang w:val="en-US" w:eastAsia="zh-Hans"/>
        </w:rPr>
        <w:t>少量粉尘</w:t>
      </w:r>
      <w:r>
        <w:rPr>
          <w:rFonts w:hint="default" w:ascii="Times New Roman Regular" w:hAnsi="Times New Roman Regular" w:cs="Times New Roman Regular"/>
          <w:color w:val="auto"/>
          <w:sz w:val="24"/>
          <w:szCs w:val="24"/>
          <w:lang w:eastAsia="zh-Hans"/>
        </w:rPr>
        <w:t>（</w:t>
      </w:r>
      <w:r>
        <w:rPr>
          <w:rFonts w:hint="eastAsia" w:ascii="Times New Roman Regular" w:hAnsi="Times New Roman Regular" w:cs="Times New Roman Regular"/>
          <w:color w:val="auto"/>
          <w:sz w:val="24"/>
          <w:szCs w:val="24"/>
          <w:lang w:val="en-US" w:eastAsia="zh-Hans"/>
        </w:rPr>
        <w:t>颗粒物</w:t>
      </w:r>
      <w:r>
        <w:rPr>
          <w:rFonts w:hint="default" w:ascii="Times New Roman Regular" w:hAnsi="Times New Roman Regular" w:cs="Times New Roman Regular"/>
          <w:color w:val="auto"/>
          <w:sz w:val="24"/>
          <w:szCs w:val="24"/>
          <w:lang w:eastAsia="zh-Hans"/>
        </w:rPr>
        <w:t>）</w:t>
      </w:r>
      <w:r>
        <w:rPr>
          <w:rFonts w:hint="eastAsia" w:ascii="Times New Roman Regular" w:hAnsi="Times New Roman Regular" w:cs="Times New Roman Regular"/>
          <w:color w:val="auto"/>
          <w:sz w:val="24"/>
          <w:szCs w:val="24"/>
          <w:lang w:val="en-US" w:eastAsia="zh-Hans"/>
        </w:rPr>
        <w:t>无组织排放</w:t>
      </w:r>
      <w:r>
        <w:rPr>
          <w:rFonts w:hint="default" w:ascii="Times New Roman Regular" w:hAnsi="Times New Roman Regular" w:cs="Times New Roman Regular"/>
          <w:color w:val="auto"/>
          <w:sz w:val="24"/>
          <w:szCs w:val="24"/>
          <w:lang w:eastAsia="zh-Hans"/>
        </w:rPr>
        <w:t>，</w:t>
      </w:r>
      <w:r>
        <w:rPr>
          <w:rFonts w:hint="eastAsia" w:ascii="Times New Roman Regular" w:hAnsi="Times New Roman Regular" w:cs="Times New Roman Regular"/>
          <w:color w:val="auto"/>
          <w:sz w:val="24"/>
          <w:szCs w:val="24"/>
          <w:lang w:val="en-US" w:eastAsia="zh-Hans"/>
        </w:rPr>
        <w:t>根据同类项目类比</w:t>
      </w:r>
      <w:r>
        <w:rPr>
          <w:rFonts w:hint="default" w:ascii="Times New Roman Regular" w:hAnsi="Times New Roman Regular" w:cs="Times New Roman Regular"/>
          <w:color w:val="auto"/>
          <w:sz w:val="24"/>
          <w:szCs w:val="24"/>
          <w:lang w:eastAsia="zh-Hans"/>
        </w:rPr>
        <w:t>，</w:t>
      </w:r>
      <w:r>
        <w:rPr>
          <w:rFonts w:hint="eastAsia" w:ascii="Times New Roman Regular" w:hAnsi="Times New Roman Regular" w:cs="Times New Roman Regular"/>
          <w:color w:val="auto"/>
          <w:sz w:val="24"/>
          <w:szCs w:val="24"/>
          <w:lang w:val="en-US" w:eastAsia="zh-Hans"/>
        </w:rPr>
        <w:t>粉尘产生量为原料用量</w:t>
      </w:r>
      <w:r>
        <w:rPr>
          <w:rFonts w:hint="default" w:ascii="Times New Roman Regular" w:hAnsi="Times New Roman Regular" w:cs="Times New Roman Regular"/>
          <w:color w:val="auto"/>
          <w:sz w:val="24"/>
          <w:szCs w:val="24"/>
          <w:lang w:eastAsia="zh-Hans"/>
        </w:rPr>
        <w:t>0</w:t>
      </w:r>
      <w:r>
        <w:rPr>
          <w:rFonts w:hint="eastAsia" w:ascii="Times New Roman Regular" w:hAnsi="Times New Roman Regular" w:cs="Times New Roman Regular"/>
          <w:color w:val="auto"/>
          <w:sz w:val="24"/>
          <w:szCs w:val="24"/>
          <w:lang w:val="en-US" w:eastAsia="zh-Hans"/>
        </w:rPr>
        <w:t>.</w:t>
      </w:r>
      <w:r>
        <w:rPr>
          <w:rFonts w:hint="default" w:ascii="Times New Roman Regular" w:hAnsi="Times New Roman Regular" w:cs="Times New Roman Regular"/>
          <w:color w:val="auto"/>
          <w:sz w:val="24"/>
          <w:szCs w:val="24"/>
          <w:lang w:eastAsia="zh-Hans"/>
        </w:rPr>
        <w:t>1%，</w:t>
      </w:r>
      <w:r>
        <w:rPr>
          <w:rFonts w:hint="eastAsia" w:ascii="Times New Roman Regular" w:hAnsi="Times New Roman Regular" w:cs="Times New Roman Regular"/>
          <w:color w:val="auto"/>
          <w:sz w:val="24"/>
          <w:szCs w:val="24"/>
          <w:lang w:val="en-US" w:eastAsia="zh-Hans"/>
        </w:rPr>
        <w:t>则粉尘产生量为</w:t>
      </w:r>
      <w:r>
        <w:rPr>
          <w:rFonts w:hint="default" w:ascii="Times New Roman Regular" w:hAnsi="Times New Roman Regular" w:cs="Times New Roman Regular"/>
          <w:color w:val="auto"/>
          <w:sz w:val="24"/>
          <w:szCs w:val="24"/>
          <w:lang w:eastAsia="zh-Hans"/>
        </w:rPr>
        <w:t>0</w:t>
      </w:r>
      <w:r>
        <w:rPr>
          <w:rFonts w:hint="eastAsia" w:ascii="Times New Roman Regular" w:hAnsi="Times New Roman Regular" w:cs="Times New Roman Regular"/>
          <w:color w:val="auto"/>
          <w:sz w:val="24"/>
          <w:szCs w:val="24"/>
          <w:lang w:val="en-US" w:eastAsia="zh-Hans"/>
        </w:rPr>
        <w:t>.</w:t>
      </w:r>
      <w:r>
        <w:rPr>
          <w:rFonts w:hint="default" w:ascii="Times New Roman Regular" w:hAnsi="Times New Roman Regular" w:cs="Times New Roman Regular"/>
          <w:color w:val="auto"/>
          <w:sz w:val="24"/>
          <w:szCs w:val="24"/>
          <w:lang w:eastAsia="zh-Hans"/>
        </w:rPr>
        <w:t>045</w:t>
      </w:r>
      <w:r>
        <w:rPr>
          <w:rFonts w:hint="eastAsia" w:ascii="Times New Roman Regular" w:hAnsi="Times New Roman Regular" w:cs="Times New Roman Regular"/>
          <w:color w:val="auto"/>
          <w:sz w:val="24"/>
          <w:szCs w:val="24"/>
          <w:lang w:val="en-US" w:eastAsia="zh-Hans"/>
        </w:rPr>
        <w:t>t</w:t>
      </w:r>
      <w:r>
        <w:rPr>
          <w:rFonts w:hint="default" w:ascii="Times New Roman Regular" w:hAnsi="Times New Roman Regular" w:cs="Times New Roman Regular"/>
          <w:color w:val="auto"/>
          <w:sz w:val="24"/>
          <w:szCs w:val="24"/>
          <w:lang w:eastAsia="zh-Hans"/>
        </w:rPr>
        <w:t>/</w:t>
      </w:r>
      <w:r>
        <w:rPr>
          <w:rFonts w:hint="eastAsia" w:ascii="Times New Roman Regular" w:hAnsi="Times New Roman Regular" w:cs="Times New Roman Regular"/>
          <w:color w:val="auto"/>
          <w:sz w:val="24"/>
          <w:szCs w:val="24"/>
          <w:lang w:val="en-US" w:eastAsia="zh-Hans"/>
        </w:rPr>
        <w:t>a</w:t>
      </w:r>
      <w:r>
        <w:rPr>
          <w:rFonts w:hint="default" w:ascii="Times New Roman Regular" w:hAnsi="Times New Roman Regular" w:cs="Times New Roman Regular"/>
          <w:color w:val="auto"/>
          <w:sz w:val="24"/>
          <w:szCs w:val="24"/>
          <w:lang w:eastAsia="zh-Hans"/>
        </w:rPr>
        <w:t>，</w:t>
      </w:r>
      <w:r>
        <w:rPr>
          <w:rFonts w:hint="eastAsia" w:ascii="Times New Roman Regular" w:hAnsi="Times New Roman Regular" w:cs="Times New Roman Regular"/>
          <w:color w:val="auto"/>
          <w:sz w:val="24"/>
          <w:szCs w:val="24"/>
          <w:lang w:val="en-US" w:eastAsia="zh-Hans"/>
        </w:rPr>
        <w:t>产生速率为</w:t>
      </w:r>
      <w:r>
        <w:rPr>
          <w:rFonts w:hint="default" w:ascii="Times New Roman Regular" w:hAnsi="Times New Roman Regular" w:cs="Times New Roman Regular"/>
          <w:color w:val="auto"/>
          <w:sz w:val="24"/>
          <w:szCs w:val="24"/>
          <w:lang w:eastAsia="zh-Hans"/>
        </w:rPr>
        <w:t>0</w:t>
      </w:r>
      <w:r>
        <w:rPr>
          <w:rFonts w:hint="eastAsia" w:ascii="Times New Roman Regular" w:hAnsi="Times New Roman Regular" w:cs="Times New Roman Regular"/>
          <w:color w:val="auto"/>
          <w:sz w:val="24"/>
          <w:szCs w:val="24"/>
          <w:lang w:val="en-US" w:eastAsia="zh-Hans"/>
        </w:rPr>
        <w:t>.</w:t>
      </w:r>
      <w:r>
        <w:rPr>
          <w:rFonts w:hint="default" w:ascii="Times New Roman Regular" w:hAnsi="Times New Roman Regular" w:cs="Times New Roman Regular"/>
          <w:color w:val="auto"/>
          <w:sz w:val="24"/>
          <w:szCs w:val="24"/>
          <w:lang w:eastAsia="zh-Hans"/>
        </w:rPr>
        <w:t>021</w:t>
      </w:r>
      <w:r>
        <w:rPr>
          <w:rFonts w:hint="eastAsia" w:ascii="Times New Roman Regular" w:hAnsi="Times New Roman Regular" w:cs="Times New Roman Regular"/>
          <w:color w:val="auto"/>
          <w:sz w:val="24"/>
          <w:szCs w:val="24"/>
          <w:lang w:val="en-US" w:eastAsia="zh-Hans"/>
        </w:rPr>
        <w:t>kg</w:t>
      </w:r>
      <w:r>
        <w:rPr>
          <w:rFonts w:hint="default" w:ascii="Times New Roman Regular" w:hAnsi="Times New Roman Regular" w:cs="Times New Roman Regular"/>
          <w:color w:val="auto"/>
          <w:sz w:val="24"/>
          <w:szCs w:val="24"/>
          <w:lang w:eastAsia="zh-Hans"/>
        </w:rPr>
        <w:t>/</w:t>
      </w:r>
      <w:r>
        <w:rPr>
          <w:rFonts w:hint="eastAsia" w:ascii="Times New Roman Regular" w:hAnsi="Times New Roman Regular" w:cs="Times New Roman Regular"/>
          <w:color w:val="auto"/>
          <w:sz w:val="24"/>
          <w:szCs w:val="24"/>
          <w:lang w:val="en-US" w:eastAsia="zh-Hans"/>
        </w:rPr>
        <w:t>h</w:t>
      </w:r>
      <w:r>
        <w:rPr>
          <w:rFonts w:hint="default" w:ascii="Times New Roman Regular" w:hAnsi="Times New Roman Regular" w:cs="Times New Roman Regular"/>
          <w:color w:val="auto"/>
          <w:sz w:val="24"/>
          <w:szCs w:val="24"/>
          <w:lang w:eastAsia="zh-Hans"/>
        </w:rPr>
        <w:t>。</w:t>
      </w:r>
    </w:p>
    <w:p>
      <w:pPr>
        <w:pStyle w:val="128"/>
        <w:keepNext/>
        <w:spacing w:before="163" w:beforeLines="50"/>
        <w:outlineLvl w:val="2"/>
        <w:rPr>
          <w:rFonts w:hint="default" w:ascii="Times New Roman Regular" w:hAnsi="Times New Roman Regular" w:cs="Times New Roman Regular"/>
          <w:color w:val="auto"/>
        </w:rPr>
      </w:pPr>
      <w:bookmarkStart w:id="196" w:name="_Toc44275443"/>
      <w:bookmarkStart w:id="197" w:name="_Toc46314221"/>
      <w:bookmarkStart w:id="198" w:name="_Toc44272287"/>
      <w:bookmarkStart w:id="199" w:name="_Toc47618330"/>
      <w:bookmarkStart w:id="200" w:name="_Toc1676928619"/>
      <w:r>
        <w:rPr>
          <w:rFonts w:hint="default" w:ascii="Times New Roman Regular" w:hAnsi="Times New Roman Regular" w:cs="Times New Roman Regular"/>
          <w:color w:val="auto"/>
        </w:rPr>
        <w:t>5.8.3 噪声</w:t>
      </w:r>
      <w:bookmarkEnd w:id="196"/>
      <w:bookmarkEnd w:id="197"/>
      <w:bookmarkEnd w:id="198"/>
      <w:bookmarkEnd w:id="199"/>
      <w:bookmarkEnd w:id="200"/>
    </w:p>
    <w:p>
      <w:pPr>
        <w:autoSpaceDE w:val="0"/>
        <w:autoSpaceDN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本项目噪声源主要为</w:t>
      </w:r>
      <w:r>
        <w:rPr>
          <w:rFonts w:hint="default" w:ascii="Times New Roman Regular" w:hAnsi="Times New Roman Regular" w:cs="Times New Roman Regular"/>
          <w:color w:val="auto"/>
          <w:lang w:val="en-US" w:eastAsia="zh-Hans"/>
        </w:rPr>
        <w:t>立式镗铣加工中心</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数控车床</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台式钻床等</w:t>
      </w:r>
      <w:r>
        <w:rPr>
          <w:rFonts w:hint="default" w:ascii="Times New Roman Regular" w:hAnsi="Times New Roman Regular" w:cs="Times New Roman Regular"/>
          <w:color w:val="auto"/>
        </w:rPr>
        <w:t>设备运行噪声，其噪声级在70～90dB(A)之间，项目设备噪声源强见表5.8-2。</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表5.8-2 主要噪声源距离1m处的噪声级表</w:t>
      </w:r>
    </w:p>
    <w:tbl>
      <w:tblPr>
        <w:tblStyle w:val="3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98"/>
        <w:gridCol w:w="1920"/>
        <w:gridCol w:w="1659"/>
        <w:gridCol w:w="1659"/>
        <w:gridCol w:w="16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8" w:type="dxa"/>
            <w:vAlign w:val="center"/>
          </w:tcPr>
          <w:p>
            <w:pPr>
              <w:widowControl/>
              <w:spacing w:line="320" w:lineRule="exact"/>
              <w:jc w:val="center"/>
              <w:rPr>
                <w:rFonts w:hint="default" w:ascii="Times New Roman Regular" w:hAnsi="Times New Roman Regular" w:cs="Times New Roman Regular"/>
                <w:snapToGrid w:val="0"/>
                <w:color w:val="auto"/>
                <w:kern w:val="18"/>
                <w:sz w:val="21"/>
                <w:szCs w:val="21"/>
              </w:rPr>
            </w:pPr>
            <w:r>
              <w:rPr>
                <w:rFonts w:hint="default" w:ascii="Times New Roman Regular" w:hAnsi="Times New Roman Regular" w:cs="Times New Roman Regular"/>
                <w:snapToGrid w:val="0"/>
                <w:color w:val="auto"/>
                <w:kern w:val="18"/>
                <w:sz w:val="21"/>
                <w:szCs w:val="21"/>
              </w:rPr>
              <w:t>序号</w:t>
            </w:r>
          </w:p>
        </w:tc>
        <w:tc>
          <w:tcPr>
            <w:tcW w:w="1920" w:type="dxa"/>
            <w:vAlign w:val="center"/>
          </w:tcPr>
          <w:p>
            <w:pPr>
              <w:widowControl/>
              <w:spacing w:line="320" w:lineRule="exact"/>
              <w:jc w:val="center"/>
              <w:rPr>
                <w:rFonts w:hint="default" w:ascii="Times New Roman Regular" w:hAnsi="Times New Roman Regular" w:cs="Times New Roman Regular"/>
                <w:snapToGrid w:val="0"/>
                <w:color w:val="auto"/>
                <w:kern w:val="18"/>
                <w:sz w:val="21"/>
                <w:szCs w:val="21"/>
              </w:rPr>
            </w:pPr>
            <w:r>
              <w:rPr>
                <w:rFonts w:hint="default" w:ascii="Times New Roman Regular" w:hAnsi="Times New Roman Regular" w:cs="Times New Roman Regular"/>
                <w:snapToGrid w:val="0"/>
                <w:color w:val="auto"/>
                <w:kern w:val="18"/>
                <w:sz w:val="21"/>
                <w:szCs w:val="21"/>
              </w:rPr>
              <w:t>噪声源</w:t>
            </w:r>
          </w:p>
        </w:tc>
        <w:tc>
          <w:tcPr>
            <w:tcW w:w="1659" w:type="dxa"/>
            <w:vAlign w:val="center"/>
          </w:tcPr>
          <w:p>
            <w:pPr>
              <w:widowControl/>
              <w:spacing w:line="320" w:lineRule="exact"/>
              <w:jc w:val="center"/>
              <w:rPr>
                <w:rFonts w:hint="default" w:ascii="Times New Roman Regular" w:hAnsi="Times New Roman Regular" w:cs="Times New Roman Regular"/>
                <w:snapToGrid w:val="0"/>
                <w:color w:val="auto"/>
                <w:kern w:val="18"/>
                <w:sz w:val="21"/>
                <w:szCs w:val="21"/>
              </w:rPr>
            </w:pPr>
            <w:r>
              <w:rPr>
                <w:rFonts w:hint="default" w:ascii="Times New Roman Regular" w:hAnsi="Times New Roman Regular" w:cs="Times New Roman Regular"/>
                <w:snapToGrid w:val="0"/>
                <w:color w:val="auto"/>
                <w:kern w:val="18"/>
                <w:sz w:val="21"/>
                <w:szCs w:val="21"/>
              </w:rPr>
              <w:t>数量（台/套）</w:t>
            </w:r>
          </w:p>
        </w:tc>
        <w:tc>
          <w:tcPr>
            <w:tcW w:w="1659" w:type="dxa"/>
            <w:vAlign w:val="center"/>
          </w:tcPr>
          <w:p>
            <w:pPr>
              <w:widowControl/>
              <w:spacing w:line="320" w:lineRule="exact"/>
              <w:jc w:val="center"/>
              <w:rPr>
                <w:rFonts w:hint="default" w:ascii="Times New Roman Regular" w:hAnsi="Times New Roman Regular" w:cs="Times New Roman Regular"/>
                <w:snapToGrid w:val="0"/>
                <w:color w:val="auto"/>
                <w:kern w:val="18"/>
                <w:sz w:val="21"/>
                <w:szCs w:val="21"/>
              </w:rPr>
            </w:pPr>
            <w:r>
              <w:rPr>
                <w:rFonts w:hint="default" w:ascii="Times New Roman Regular" w:hAnsi="Times New Roman Regular" w:cs="Times New Roman Regular"/>
                <w:snapToGrid w:val="0"/>
                <w:color w:val="auto"/>
                <w:kern w:val="18"/>
                <w:sz w:val="21"/>
                <w:szCs w:val="21"/>
              </w:rPr>
              <w:t>噪声级dB(A)</w:t>
            </w:r>
          </w:p>
        </w:tc>
        <w:tc>
          <w:tcPr>
            <w:tcW w:w="1660" w:type="dxa"/>
            <w:vAlign w:val="center"/>
          </w:tcPr>
          <w:p>
            <w:pPr>
              <w:widowControl/>
              <w:autoSpaceDE w:val="0"/>
              <w:autoSpaceDN w:val="0"/>
              <w:adjustRightInd w:val="0"/>
              <w:spacing w:line="240" w:lineRule="exact"/>
              <w:jc w:val="center"/>
              <w:textAlignment w:val="baseline"/>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治理措施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8" w:type="dxa"/>
            <w:vAlign w:val="center"/>
          </w:tcPr>
          <w:p>
            <w:pPr>
              <w:widowControl/>
              <w:spacing w:line="320" w:lineRule="exact"/>
              <w:jc w:val="center"/>
              <w:rPr>
                <w:rFonts w:hint="default" w:ascii="Times New Roman Regular" w:hAnsi="Times New Roman Regular" w:cs="Times New Roman Regular"/>
                <w:snapToGrid w:val="0"/>
                <w:color w:val="auto"/>
                <w:kern w:val="18"/>
                <w:sz w:val="21"/>
                <w:szCs w:val="21"/>
              </w:rPr>
            </w:pPr>
            <w:r>
              <w:rPr>
                <w:rFonts w:hint="default" w:ascii="Times New Roman Regular" w:hAnsi="Times New Roman Regular" w:cs="Times New Roman Regular"/>
                <w:snapToGrid w:val="0"/>
                <w:color w:val="auto"/>
                <w:kern w:val="18"/>
                <w:sz w:val="21"/>
                <w:szCs w:val="21"/>
              </w:rPr>
              <w:t>1</w:t>
            </w:r>
          </w:p>
        </w:tc>
        <w:tc>
          <w:tcPr>
            <w:tcW w:w="1920" w:type="dxa"/>
            <w:vAlign w:val="center"/>
          </w:tcPr>
          <w:p>
            <w:pPr>
              <w:widowControl/>
              <w:spacing w:line="320" w:lineRule="exact"/>
              <w:jc w:val="center"/>
              <w:rPr>
                <w:rFonts w:hint="default" w:ascii="Times New Roman Regular" w:hAnsi="Times New Roman Regular" w:eastAsia="宋体" w:cs="Times New Roman Regular"/>
                <w:snapToGrid w:val="0"/>
                <w:color w:val="auto"/>
                <w:kern w:val="18"/>
                <w:sz w:val="21"/>
                <w:szCs w:val="21"/>
                <w:lang w:val="en-US" w:eastAsia="zh-Hans"/>
              </w:rPr>
            </w:pPr>
            <w:r>
              <w:rPr>
                <w:rFonts w:hint="default" w:ascii="Times New Roman Regular" w:hAnsi="Times New Roman Regular" w:cs="Times New Roman Regular"/>
                <w:snapToGrid w:val="0"/>
                <w:color w:val="auto"/>
                <w:kern w:val="18"/>
                <w:sz w:val="21"/>
                <w:szCs w:val="21"/>
                <w:lang w:val="en-US" w:eastAsia="zh-Hans"/>
              </w:rPr>
              <w:t>立式镗铣加工中心</w:t>
            </w:r>
          </w:p>
        </w:tc>
        <w:tc>
          <w:tcPr>
            <w:tcW w:w="1659" w:type="dxa"/>
            <w:vAlign w:val="center"/>
          </w:tcPr>
          <w:p>
            <w:pPr>
              <w:widowControl/>
              <w:spacing w:line="320" w:lineRule="exact"/>
              <w:jc w:val="center"/>
              <w:rPr>
                <w:rFonts w:hint="default" w:ascii="Times New Roman Regular" w:hAnsi="Times New Roman Regular" w:cs="Times New Roman Regular"/>
                <w:snapToGrid w:val="0"/>
                <w:color w:val="auto"/>
                <w:kern w:val="18"/>
                <w:sz w:val="21"/>
                <w:szCs w:val="21"/>
              </w:rPr>
            </w:pPr>
            <w:r>
              <w:rPr>
                <w:rFonts w:hint="default" w:ascii="Times New Roman Regular" w:hAnsi="Times New Roman Regular" w:cs="Times New Roman Regular"/>
                <w:snapToGrid w:val="0"/>
                <w:color w:val="auto"/>
                <w:kern w:val="18"/>
                <w:sz w:val="21"/>
                <w:szCs w:val="21"/>
              </w:rPr>
              <w:t>2</w:t>
            </w:r>
          </w:p>
        </w:tc>
        <w:tc>
          <w:tcPr>
            <w:tcW w:w="1659" w:type="dxa"/>
            <w:vAlign w:val="center"/>
          </w:tcPr>
          <w:p>
            <w:pPr>
              <w:widowControl/>
              <w:spacing w:line="320" w:lineRule="exact"/>
              <w:jc w:val="center"/>
              <w:rPr>
                <w:rFonts w:hint="default" w:ascii="Times New Roman Regular" w:hAnsi="Times New Roman Regular" w:cs="Times New Roman Regular"/>
                <w:snapToGrid w:val="0"/>
                <w:color w:val="auto"/>
                <w:kern w:val="18"/>
                <w:sz w:val="21"/>
                <w:szCs w:val="21"/>
              </w:rPr>
            </w:pPr>
            <w:r>
              <w:rPr>
                <w:rFonts w:hint="default" w:ascii="Times New Roman Regular" w:hAnsi="Times New Roman Regular" w:cs="Times New Roman Regular"/>
                <w:snapToGrid w:val="0"/>
                <w:color w:val="auto"/>
                <w:kern w:val="18"/>
                <w:sz w:val="21"/>
                <w:szCs w:val="21"/>
              </w:rPr>
              <w:t>80～85</w:t>
            </w:r>
          </w:p>
        </w:tc>
        <w:tc>
          <w:tcPr>
            <w:tcW w:w="1660" w:type="dxa"/>
            <w:vMerge w:val="restart"/>
            <w:vAlign w:val="center"/>
          </w:tcPr>
          <w:p>
            <w:pPr>
              <w:widowControl/>
              <w:autoSpaceDE w:val="0"/>
              <w:autoSpaceDN w:val="0"/>
              <w:adjustRightInd w:val="0"/>
              <w:spacing w:line="240" w:lineRule="exact"/>
              <w:jc w:val="center"/>
              <w:textAlignment w:val="baseline"/>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基础减震、厂房隔声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8" w:type="dxa"/>
            <w:vAlign w:val="center"/>
          </w:tcPr>
          <w:p>
            <w:pPr>
              <w:widowControl/>
              <w:spacing w:line="320" w:lineRule="exact"/>
              <w:jc w:val="center"/>
              <w:rPr>
                <w:rFonts w:hint="default" w:ascii="Times New Roman Regular" w:hAnsi="Times New Roman Regular" w:cs="Times New Roman Regular"/>
                <w:snapToGrid w:val="0"/>
                <w:color w:val="auto"/>
                <w:kern w:val="18"/>
                <w:sz w:val="21"/>
                <w:szCs w:val="21"/>
              </w:rPr>
            </w:pPr>
            <w:r>
              <w:rPr>
                <w:rFonts w:hint="default" w:ascii="Times New Roman Regular" w:hAnsi="Times New Roman Regular" w:cs="Times New Roman Regular"/>
                <w:snapToGrid w:val="0"/>
                <w:color w:val="auto"/>
                <w:kern w:val="18"/>
                <w:sz w:val="21"/>
                <w:szCs w:val="21"/>
              </w:rPr>
              <w:t>2</w:t>
            </w:r>
          </w:p>
        </w:tc>
        <w:tc>
          <w:tcPr>
            <w:tcW w:w="1920" w:type="dxa"/>
            <w:vAlign w:val="center"/>
          </w:tcPr>
          <w:p>
            <w:pPr>
              <w:widowControl/>
              <w:spacing w:line="320" w:lineRule="exact"/>
              <w:jc w:val="center"/>
              <w:rPr>
                <w:rFonts w:hint="default" w:ascii="Times New Roman Regular" w:hAnsi="Times New Roman Regular" w:eastAsia="宋体" w:cs="Times New Roman Regular"/>
                <w:snapToGrid w:val="0"/>
                <w:color w:val="auto"/>
                <w:kern w:val="18"/>
                <w:sz w:val="21"/>
                <w:szCs w:val="21"/>
                <w:lang w:val="en-US" w:eastAsia="zh-Hans"/>
              </w:rPr>
            </w:pPr>
            <w:r>
              <w:rPr>
                <w:rFonts w:hint="default" w:ascii="Times New Roman Regular" w:hAnsi="Times New Roman Regular" w:cs="Times New Roman Regular"/>
                <w:snapToGrid w:val="0"/>
                <w:color w:val="auto"/>
                <w:kern w:val="18"/>
                <w:sz w:val="21"/>
                <w:szCs w:val="21"/>
                <w:lang w:val="en-US" w:eastAsia="zh-Hans"/>
              </w:rPr>
              <w:t>数控车床</w:t>
            </w:r>
          </w:p>
        </w:tc>
        <w:tc>
          <w:tcPr>
            <w:tcW w:w="1659" w:type="dxa"/>
            <w:vAlign w:val="center"/>
          </w:tcPr>
          <w:p>
            <w:pPr>
              <w:widowControl/>
              <w:spacing w:line="320" w:lineRule="exact"/>
              <w:jc w:val="center"/>
              <w:rPr>
                <w:rFonts w:hint="default" w:ascii="Times New Roman Regular" w:hAnsi="Times New Roman Regular" w:cs="Times New Roman Regular"/>
                <w:snapToGrid w:val="0"/>
                <w:color w:val="auto"/>
                <w:kern w:val="18"/>
                <w:sz w:val="21"/>
                <w:szCs w:val="21"/>
              </w:rPr>
            </w:pPr>
            <w:r>
              <w:rPr>
                <w:rFonts w:hint="default" w:ascii="Times New Roman Regular" w:hAnsi="Times New Roman Regular" w:cs="Times New Roman Regular"/>
                <w:snapToGrid w:val="0"/>
                <w:color w:val="auto"/>
                <w:kern w:val="18"/>
                <w:sz w:val="21"/>
                <w:szCs w:val="21"/>
              </w:rPr>
              <w:t>2</w:t>
            </w:r>
          </w:p>
        </w:tc>
        <w:tc>
          <w:tcPr>
            <w:tcW w:w="1659" w:type="dxa"/>
            <w:vAlign w:val="center"/>
          </w:tcPr>
          <w:p>
            <w:pPr>
              <w:widowControl/>
              <w:spacing w:line="320" w:lineRule="exact"/>
              <w:jc w:val="center"/>
              <w:rPr>
                <w:rFonts w:hint="default" w:ascii="Times New Roman Regular" w:hAnsi="Times New Roman Regular" w:cs="Times New Roman Regular"/>
                <w:snapToGrid w:val="0"/>
                <w:color w:val="auto"/>
                <w:kern w:val="18"/>
                <w:sz w:val="21"/>
                <w:szCs w:val="21"/>
              </w:rPr>
            </w:pPr>
            <w:r>
              <w:rPr>
                <w:rFonts w:hint="default" w:ascii="Times New Roman Regular" w:hAnsi="Times New Roman Regular" w:cs="Times New Roman Regular"/>
                <w:snapToGrid w:val="0"/>
                <w:color w:val="auto"/>
                <w:kern w:val="18"/>
                <w:sz w:val="21"/>
                <w:szCs w:val="21"/>
              </w:rPr>
              <w:t>75～80</w:t>
            </w:r>
          </w:p>
        </w:tc>
        <w:tc>
          <w:tcPr>
            <w:tcW w:w="1660" w:type="dxa"/>
            <w:vMerge w:val="continue"/>
            <w:vAlign w:val="center"/>
          </w:tcPr>
          <w:p>
            <w:pPr>
              <w:widowControl/>
              <w:autoSpaceDE w:val="0"/>
              <w:autoSpaceDN w:val="0"/>
              <w:adjustRightInd w:val="0"/>
              <w:spacing w:line="240" w:lineRule="exact"/>
              <w:jc w:val="center"/>
              <w:textAlignment w:val="baseline"/>
              <w:rPr>
                <w:rFonts w:hint="default" w:ascii="Times New Roman Regular" w:hAnsi="Times New Roman Regular" w:cs="Times New Roman Regula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8" w:type="dxa"/>
            <w:vAlign w:val="center"/>
          </w:tcPr>
          <w:p>
            <w:pPr>
              <w:widowControl/>
              <w:spacing w:line="320" w:lineRule="exact"/>
              <w:jc w:val="center"/>
              <w:rPr>
                <w:rFonts w:hint="default" w:ascii="Times New Roman Regular" w:hAnsi="Times New Roman Regular" w:cs="Times New Roman Regular"/>
                <w:snapToGrid w:val="0"/>
                <w:color w:val="auto"/>
                <w:kern w:val="18"/>
                <w:sz w:val="21"/>
                <w:szCs w:val="21"/>
              </w:rPr>
            </w:pPr>
            <w:r>
              <w:rPr>
                <w:rFonts w:hint="default" w:ascii="Times New Roman Regular" w:hAnsi="Times New Roman Regular" w:cs="Times New Roman Regular"/>
                <w:snapToGrid w:val="0"/>
                <w:color w:val="auto"/>
                <w:kern w:val="18"/>
                <w:sz w:val="21"/>
                <w:szCs w:val="21"/>
              </w:rPr>
              <w:t>3</w:t>
            </w:r>
          </w:p>
        </w:tc>
        <w:tc>
          <w:tcPr>
            <w:tcW w:w="1920" w:type="dxa"/>
            <w:vAlign w:val="center"/>
          </w:tcPr>
          <w:p>
            <w:pPr>
              <w:widowControl/>
              <w:spacing w:line="320" w:lineRule="exact"/>
              <w:jc w:val="center"/>
              <w:rPr>
                <w:rFonts w:hint="default" w:ascii="Times New Roman Regular" w:hAnsi="Times New Roman Regular" w:eastAsia="宋体" w:cs="Times New Roman Regular"/>
                <w:snapToGrid w:val="0"/>
                <w:color w:val="auto"/>
                <w:kern w:val="18"/>
                <w:sz w:val="21"/>
                <w:szCs w:val="21"/>
                <w:lang w:val="en-US" w:eastAsia="zh-Hans"/>
              </w:rPr>
            </w:pPr>
            <w:r>
              <w:rPr>
                <w:rFonts w:hint="default" w:ascii="Times New Roman Regular" w:hAnsi="Times New Roman Regular" w:cs="Times New Roman Regular"/>
                <w:snapToGrid w:val="0"/>
                <w:color w:val="auto"/>
                <w:kern w:val="18"/>
                <w:sz w:val="21"/>
                <w:szCs w:val="21"/>
                <w:lang w:val="en-US" w:eastAsia="zh-Hans"/>
              </w:rPr>
              <w:t>台式钻床</w:t>
            </w:r>
          </w:p>
        </w:tc>
        <w:tc>
          <w:tcPr>
            <w:tcW w:w="1659" w:type="dxa"/>
            <w:vAlign w:val="center"/>
          </w:tcPr>
          <w:p>
            <w:pPr>
              <w:widowControl/>
              <w:spacing w:line="320" w:lineRule="exact"/>
              <w:jc w:val="center"/>
              <w:rPr>
                <w:rFonts w:hint="default" w:ascii="Times New Roman Regular" w:hAnsi="Times New Roman Regular" w:cs="Times New Roman Regular"/>
                <w:snapToGrid w:val="0"/>
                <w:color w:val="auto"/>
                <w:kern w:val="18"/>
                <w:sz w:val="21"/>
                <w:szCs w:val="21"/>
              </w:rPr>
            </w:pPr>
            <w:r>
              <w:rPr>
                <w:rFonts w:hint="default" w:ascii="Times New Roman Regular" w:hAnsi="Times New Roman Regular" w:cs="Times New Roman Regular"/>
                <w:snapToGrid w:val="0"/>
                <w:color w:val="auto"/>
                <w:kern w:val="18"/>
                <w:sz w:val="21"/>
                <w:szCs w:val="21"/>
              </w:rPr>
              <w:t>1</w:t>
            </w:r>
          </w:p>
        </w:tc>
        <w:tc>
          <w:tcPr>
            <w:tcW w:w="1659" w:type="dxa"/>
            <w:vAlign w:val="center"/>
          </w:tcPr>
          <w:p>
            <w:pPr>
              <w:widowControl/>
              <w:spacing w:line="320" w:lineRule="exact"/>
              <w:jc w:val="center"/>
              <w:rPr>
                <w:rFonts w:hint="default" w:ascii="Times New Roman Regular" w:hAnsi="Times New Roman Regular" w:eastAsia="宋体" w:cs="Times New Roman Regular"/>
                <w:snapToGrid w:val="0"/>
                <w:color w:val="auto"/>
                <w:kern w:val="18"/>
                <w:sz w:val="21"/>
                <w:szCs w:val="21"/>
                <w:lang w:val="en-US" w:eastAsia="zh-CN" w:bidi="ar-SA"/>
              </w:rPr>
            </w:pPr>
            <w:r>
              <w:rPr>
                <w:rFonts w:hint="default" w:ascii="Times New Roman Regular" w:hAnsi="Times New Roman Regular" w:cs="Times New Roman Regular"/>
                <w:snapToGrid w:val="0"/>
                <w:color w:val="auto"/>
                <w:kern w:val="18"/>
                <w:sz w:val="21"/>
                <w:szCs w:val="21"/>
              </w:rPr>
              <w:t>80～85</w:t>
            </w:r>
          </w:p>
        </w:tc>
        <w:tc>
          <w:tcPr>
            <w:tcW w:w="1660" w:type="dxa"/>
            <w:vMerge w:val="continue"/>
            <w:vAlign w:val="center"/>
          </w:tcPr>
          <w:p>
            <w:pPr>
              <w:widowControl/>
              <w:autoSpaceDE w:val="0"/>
              <w:autoSpaceDN w:val="0"/>
              <w:adjustRightInd w:val="0"/>
              <w:spacing w:line="240" w:lineRule="exact"/>
              <w:jc w:val="center"/>
              <w:textAlignment w:val="baseline"/>
              <w:rPr>
                <w:rFonts w:hint="default" w:ascii="Times New Roman Regular" w:hAnsi="Times New Roman Regular" w:cs="Times New Roman Regular"/>
                <w:color w:val="auto"/>
                <w:sz w:val="21"/>
                <w:szCs w:val="21"/>
              </w:rPr>
            </w:pPr>
          </w:p>
        </w:tc>
      </w:tr>
    </w:tbl>
    <w:p>
      <w:pPr>
        <w:pStyle w:val="128"/>
        <w:keepNext/>
        <w:spacing w:before="163" w:beforeLines="50"/>
        <w:outlineLvl w:val="2"/>
        <w:rPr>
          <w:rFonts w:hint="default" w:ascii="Times New Roman Regular" w:hAnsi="Times New Roman Regular" w:cs="Times New Roman Regular"/>
          <w:color w:val="auto"/>
        </w:rPr>
      </w:pPr>
      <w:bookmarkStart w:id="201" w:name="_Toc46314222"/>
      <w:bookmarkStart w:id="202" w:name="_Toc44272288"/>
      <w:bookmarkStart w:id="203" w:name="_Toc47618331"/>
      <w:bookmarkStart w:id="204" w:name="_Toc44275444"/>
      <w:bookmarkStart w:id="205" w:name="_Toc563916305"/>
      <w:r>
        <w:rPr>
          <w:rFonts w:hint="default" w:ascii="Times New Roman Regular" w:hAnsi="Times New Roman Regular" w:cs="Times New Roman Regular"/>
          <w:color w:val="auto"/>
        </w:rPr>
        <w:t>5.8.4 固废</w:t>
      </w:r>
      <w:bookmarkEnd w:id="201"/>
      <w:bookmarkEnd w:id="202"/>
      <w:bookmarkEnd w:id="203"/>
      <w:bookmarkEnd w:id="204"/>
      <w:bookmarkEnd w:id="205"/>
    </w:p>
    <w:p>
      <w:pPr>
        <w:adjustRightInd w:val="0"/>
        <w:snapToGrid w:val="0"/>
        <w:ind w:firstLine="480"/>
        <w:rPr>
          <w:rFonts w:hint="default" w:ascii="Times New Roman Regular" w:hAnsi="Times New Roman Regular" w:cs="Times New Roman Regular"/>
          <w:color w:val="auto"/>
          <w:szCs w:val="22"/>
        </w:rPr>
      </w:pPr>
      <w:r>
        <w:rPr>
          <w:rFonts w:hint="default" w:ascii="Times New Roman Regular" w:hAnsi="Times New Roman Regular" w:cs="Times New Roman Regular"/>
          <w:color w:val="auto"/>
          <w:szCs w:val="22"/>
        </w:rPr>
        <w:t>（1）生活垃圾</w:t>
      </w:r>
    </w:p>
    <w:p>
      <w:pPr>
        <w:adjustRightInd w:val="0"/>
        <w:snapToGrid w:val="0"/>
        <w:ind w:firstLine="480"/>
        <w:rPr>
          <w:rFonts w:hint="default" w:ascii="Times New Roman Regular" w:hAnsi="Times New Roman Regular" w:cs="Times New Roman Regular"/>
          <w:color w:val="auto"/>
          <w:szCs w:val="22"/>
        </w:rPr>
      </w:pPr>
      <w:r>
        <w:rPr>
          <w:rFonts w:hint="default" w:ascii="Times New Roman Regular" w:hAnsi="Times New Roman Regular" w:cs="Times New Roman Regular"/>
          <w:color w:val="auto"/>
          <w:szCs w:val="22"/>
        </w:rPr>
        <w:t>本项目职工定员25人，年工作300天，无住宿。依照我国生活污染物排放系数，非住宿员工取0.5kg/（人·d），则员工生活垃圾产生量约15kg/d（3</w:t>
      </w:r>
      <w:r>
        <w:rPr>
          <w:rFonts w:hint="default" w:ascii="Times New Roman Regular" w:hAnsi="Times New Roman Regular" w:cs="Times New Roman Regular"/>
          <w:color w:val="auto"/>
          <w:szCs w:val="22"/>
          <w:lang w:val="en-US" w:eastAsia="zh-Hans"/>
        </w:rPr>
        <w:t>.</w:t>
      </w:r>
      <w:r>
        <w:rPr>
          <w:rFonts w:hint="default" w:ascii="Times New Roman Regular" w:hAnsi="Times New Roman Regular" w:cs="Times New Roman Regular"/>
          <w:color w:val="auto"/>
          <w:szCs w:val="22"/>
          <w:lang w:eastAsia="zh-Hans"/>
        </w:rPr>
        <w:t>75</w:t>
      </w:r>
      <w:r>
        <w:rPr>
          <w:rFonts w:hint="default" w:ascii="Times New Roman Regular" w:hAnsi="Times New Roman Regular" w:cs="Times New Roman Regular"/>
          <w:color w:val="auto"/>
          <w:szCs w:val="22"/>
        </w:rPr>
        <w:t>t/a）。生活垃圾采取袋装分类收集，投放指定地点，然后由环卫部门每日及时统一清运、处置。</w:t>
      </w:r>
    </w:p>
    <w:p>
      <w:pPr>
        <w:adjustRightInd w:val="0"/>
        <w:snapToGrid w:val="0"/>
        <w:ind w:firstLine="480"/>
        <w:rPr>
          <w:rFonts w:hint="default" w:ascii="Times New Roman Regular" w:hAnsi="Times New Roman Regular" w:cs="Times New Roman Regular"/>
          <w:color w:val="auto"/>
          <w:szCs w:val="22"/>
        </w:rPr>
      </w:pPr>
      <w:r>
        <w:rPr>
          <w:rFonts w:hint="default" w:ascii="Times New Roman Regular" w:hAnsi="Times New Roman Regular" w:cs="Times New Roman Regular"/>
          <w:color w:val="auto"/>
          <w:szCs w:val="22"/>
        </w:rPr>
        <w:t>（2）一般固废</w:t>
      </w:r>
    </w:p>
    <w:p>
      <w:pPr>
        <w:adjustRightInd w:val="0"/>
        <w:snapToGrid w:val="0"/>
        <w:ind w:firstLine="480"/>
        <w:rPr>
          <w:rFonts w:hint="default" w:ascii="Times New Roman Regular" w:hAnsi="Times New Roman Regular" w:cs="Times New Roman Regular"/>
          <w:b/>
          <w:color w:val="FF0000"/>
        </w:rPr>
      </w:pPr>
      <w:r>
        <w:rPr>
          <w:rFonts w:hint="default" w:ascii="Times New Roman Regular" w:hAnsi="Times New Roman Regular" w:cs="Times New Roman Regular"/>
          <w:color w:val="auto"/>
          <w:szCs w:val="22"/>
        </w:rPr>
        <w:t>本项目产生的工业固体废物为生产过程中产生的</w:t>
      </w:r>
      <w:r>
        <w:rPr>
          <w:rFonts w:hint="default" w:ascii="Times New Roman Regular" w:hAnsi="Times New Roman Regular" w:cs="Times New Roman Regular"/>
          <w:color w:val="auto"/>
          <w:szCs w:val="22"/>
          <w:lang w:val="en-US" w:eastAsia="zh-Hans"/>
        </w:rPr>
        <w:t>残次品</w:t>
      </w:r>
      <w:r>
        <w:rPr>
          <w:rFonts w:hint="default" w:ascii="Times New Roman Regular" w:hAnsi="Times New Roman Regular" w:cs="Times New Roman Regular"/>
          <w:color w:val="auto"/>
          <w:szCs w:val="22"/>
          <w:lang w:eastAsia="zh-Hans"/>
        </w:rPr>
        <w:t>、</w:t>
      </w:r>
      <w:r>
        <w:rPr>
          <w:rFonts w:hint="default" w:ascii="Times New Roman Regular" w:hAnsi="Times New Roman Regular" w:cs="Times New Roman Regular"/>
          <w:color w:val="auto"/>
          <w:szCs w:val="22"/>
          <w:lang w:val="en-US" w:eastAsia="zh-Hans"/>
        </w:rPr>
        <w:t>下脚料</w:t>
      </w:r>
      <w:r>
        <w:rPr>
          <w:rFonts w:hint="default" w:ascii="Times New Roman Regular" w:hAnsi="Times New Roman Regular" w:cs="Times New Roman Regular"/>
          <w:color w:val="auto"/>
          <w:szCs w:val="22"/>
        </w:rPr>
        <w:t>等，</w:t>
      </w:r>
      <w:r>
        <w:rPr>
          <w:rFonts w:hint="default" w:ascii="Times New Roman Regular" w:hAnsi="Times New Roman Regular" w:cs="Times New Roman Regular"/>
          <w:color w:val="auto"/>
          <w:szCs w:val="22"/>
          <w:lang w:val="en-US" w:eastAsia="zh-Hans"/>
        </w:rPr>
        <w:t>根据业主提供资料</w:t>
      </w:r>
      <w:r>
        <w:rPr>
          <w:rFonts w:hint="default" w:ascii="Times New Roman Regular" w:hAnsi="Times New Roman Regular" w:cs="Times New Roman Regular"/>
          <w:color w:val="auto"/>
          <w:szCs w:val="22"/>
          <w:lang w:eastAsia="zh-Hans"/>
        </w:rPr>
        <w:t>，</w:t>
      </w:r>
      <w:r>
        <w:rPr>
          <w:rFonts w:hint="default" w:ascii="Times New Roman Regular" w:hAnsi="Times New Roman Regular" w:cs="Times New Roman Regular"/>
          <w:color w:val="auto"/>
          <w:szCs w:val="22"/>
          <w:lang w:val="en-US" w:eastAsia="zh-Hans"/>
        </w:rPr>
        <w:t>残次品以及下脚料占原材料</w:t>
      </w:r>
      <w:r>
        <w:rPr>
          <w:rFonts w:hint="default" w:ascii="Times New Roman Regular" w:hAnsi="Times New Roman Regular" w:cs="Times New Roman Regular"/>
          <w:color w:val="auto"/>
          <w:szCs w:val="22"/>
          <w:lang w:eastAsia="zh-Hans"/>
        </w:rPr>
        <w:t>（45</w:t>
      </w:r>
      <w:r>
        <w:rPr>
          <w:rFonts w:hint="default" w:ascii="Times New Roman Regular" w:hAnsi="Times New Roman Regular" w:cs="Times New Roman Regular"/>
          <w:color w:val="auto"/>
          <w:szCs w:val="22"/>
          <w:lang w:val="en-US" w:eastAsia="zh-Hans"/>
        </w:rPr>
        <w:t>t</w:t>
      </w:r>
      <w:r>
        <w:rPr>
          <w:rFonts w:hint="default" w:ascii="Times New Roman Regular" w:hAnsi="Times New Roman Regular" w:cs="Times New Roman Regular"/>
          <w:color w:val="auto"/>
          <w:szCs w:val="22"/>
          <w:lang w:eastAsia="zh-Hans"/>
        </w:rPr>
        <w:t>/</w:t>
      </w:r>
      <w:r>
        <w:rPr>
          <w:rFonts w:hint="default" w:ascii="Times New Roman Regular" w:hAnsi="Times New Roman Regular" w:cs="Times New Roman Regular"/>
          <w:color w:val="auto"/>
          <w:szCs w:val="22"/>
          <w:lang w:val="en-US" w:eastAsia="zh-Hans"/>
        </w:rPr>
        <w:t>a</w:t>
      </w:r>
      <w:r>
        <w:rPr>
          <w:rFonts w:hint="default" w:ascii="Times New Roman Regular" w:hAnsi="Times New Roman Regular" w:cs="Times New Roman Regular"/>
          <w:color w:val="auto"/>
          <w:szCs w:val="22"/>
          <w:lang w:eastAsia="zh-Hans"/>
        </w:rPr>
        <w:t>）</w:t>
      </w:r>
      <w:r>
        <w:rPr>
          <w:rFonts w:hint="default" w:ascii="Times New Roman Regular" w:hAnsi="Times New Roman Regular" w:cs="Times New Roman Regular"/>
          <w:color w:val="auto"/>
          <w:szCs w:val="22"/>
          <w:lang w:val="en-US" w:eastAsia="zh-Hans"/>
        </w:rPr>
        <w:t>的</w:t>
      </w:r>
      <w:r>
        <w:rPr>
          <w:rFonts w:hint="default" w:ascii="Times New Roman Regular" w:hAnsi="Times New Roman Regular" w:cs="Times New Roman Regular"/>
          <w:color w:val="auto"/>
          <w:szCs w:val="22"/>
          <w:lang w:eastAsia="zh-Hans"/>
        </w:rPr>
        <w:t>0</w:t>
      </w:r>
      <w:r>
        <w:rPr>
          <w:rFonts w:hint="default" w:ascii="Times New Roman Regular" w:hAnsi="Times New Roman Regular" w:cs="Times New Roman Regular"/>
          <w:color w:val="auto"/>
          <w:szCs w:val="22"/>
          <w:lang w:val="en-US" w:eastAsia="zh-Hans"/>
        </w:rPr>
        <w:t>.</w:t>
      </w:r>
      <w:r>
        <w:rPr>
          <w:rFonts w:hint="default" w:ascii="Times New Roman Regular" w:hAnsi="Times New Roman Regular" w:cs="Times New Roman Regular"/>
          <w:color w:val="auto"/>
          <w:szCs w:val="22"/>
          <w:lang w:eastAsia="zh-Hans"/>
        </w:rPr>
        <w:t>5%，</w:t>
      </w:r>
      <w:r>
        <w:rPr>
          <w:rFonts w:hint="default" w:ascii="Times New Roman Regular" w:hAnsi="Times New Roman Regular" w:cs="Times New Roman Regular"/>
          <w:color w:val="auto"/>
          <w:szCs w:val="22"/>
          <w:lang w:val="en-US" w:eastAsia="zh-Hans"/>
        </w:rPr>
        <w:t>产生量为</w:t>
      </w:r>
      <w:r>
        <w:rPr>
          <w:rFonts w:hint="default" w:ascii="Times New Roman Regular" w:hAnsi="Times New Roman Regular" w:cs="Times New Roman Regular"/>
          <w:color w:val="auto"/>
          <w:szCs w:val="22"/>
          <w:lang w:eastAsia="zh-Hans"/>
        </w:rPr>
        <w:t>0</w:t>
      </w:r>
      <w:r>
        <w:rPr>
          <w:rFonts w:hint="default" w:ascii="Times New Roman Regular" w:hAnsi="Times New Roman Regular" w:cs="Times New Roman Regular"/>
          <w:color w:val="auto"/>
          <w:szCs w:val="22"/>
          <w:lang w:val="en-US" w:eastAsia="zh-Hans"/>
        </w:rPr>
        <w:t>.</w:t>
      </w:r>
      <w:r>
        <w:rPr>
          <w:rFonts w:hint="default" w:ascii="Times New Roman Regular" w:hAnsi="Times New Roman Regular" w:cs="Times New Roman Regular"/>
          <w:color w:val="auto"/>
          <w:szCs w:val="22"/>
          <w:lang w:eastAsia="zh-Hans"/>
        </w:rPr>
        <w:t>225</w:t>
      </w:r>
      <w:r>
        <w:rPr>
          <w:rFonts w:hint="default" w:ascii="Times New Roman Regular" w:hAnsi="Times New Roman Regular" w:cs="Times New Roman Regular"/>
          <w:color w:val="auto"/>
          <w:szCs w:val="22"/>
          <w:lang w:val="en-US" w:eastAsia="zh-Hans"/>
        </w:rPr>
        <w:t>t</w:t>
      </w:r>
      <w:r>
        <w:rPr>
          <w:rFonts w:hint="default" w:ascii="Times New Roman Regular" w:hAnsi="Times New Roman Regular" w:cs="Times New Roman Regular"/>
          <w:color w:val="auto"/>
          <w:szCs w:val="22"/>
          <w:lang w:eastAsia="zh-Hans"/>
        </w:rPr>
        <w:t>/</w:t>
      </w:r>
      <w:r>
        <w:rPr>
          <w:rFonts w:hint="default" w:ascii="Times New Roman Regular" w:hAnsi="Times New Roman Regular" w:cs="Times New Roman Regular"/>
          <w:color w:val="auto"/>
          <w:szCs w:val="22"/>
          <w:lang w:val="en-US" w:eastAsia="zh-Hans"/>
        </w:rPr>
        <w:t>a</w:t>
      </w:r>
      <w:r>
        <w:rPr>
          <w:rFonts w:hint="default" w:ascii="Times New Roman Regular" w:hAnsi="Times New Roman Regular" w:cs="Times New Roman Regular"/>
          <w:color w:val="auto"/>
          <w:szCs w:val="22"/>
          <w:lang w:eastAsia="zh-Hans"/>
        </w:rPr>
        <w:t>，</w:t>
      </w:r>
      <w:r>
        <w:rPr>
          <w:rFonts w:hint="default" w:ascii="Times New Roman Regular" w:hAnsi="Times New Roman Regular" w:cs="Times New Roman Regular"/>
          <w:color w:val="auto"/>
          <w:szCs w:val="22"/>
          <w:lang w:val="en-US" w:eastAsia="zh-Hans"/>
        </w:rPr>
        <w:t>残次品和下脚料</w:t>
      </w:r>
      <w:r>
        <w:rPr>
          <w:rFonts w:hint="default" w:ascii="Times New Roman Regular" w:hAnsi="Times New Roman Regular" w:cs="Times New Roman Regular"/>
          <w:color w:val="auto"/>
          <w:szCs w:val="22"/>
        </w:rPr>
        <w:t>外售综合利用。</w:t>
      </w:r>
      <w:r>
        <w:rPr>
          <w:rFonts w:hint="eastAsia" w:ascii="Times New Roman Regular" w:hAnsi="Times New Roman Regular" w:cs="Times New Roman Regular"/>
          <w:color w:val="auto"/>
          <w:szCs w:val="22"/>
          <w:lang w:val="en-US" w:eastAsia="zh-Hans"/>
        </w:rPr>
        <w:t>胶水包装桶年产生量为</w:t>
      </w:r>
      <w:r>
        <w:rPr>
          <w:rFonts w:hint="default" w:ascii="Times New Roman Regular" w:hAnsi="Times New Roman Regular" w:cs="Times New Roman Regular"/>
          <w:color w:val="auto"/>
          <w:szCs w:val="22"/>
          <w:lang w:eastAsia="zh-Hans"/>
        </w:rPr>
        <w:t>1</w:t>
      </w:r>
      <w:r>
        <w:rPr>
          <w:rFonts w:hint="eastAsia" w:ascii="Times New Roman Regular" w:hAnsi="Times New Roman Regular" w:cs="Times New Roman Regular"/>
          <w:color w:val="auto"/>
          <w:szCs w:val="22"/>
          <w:lang w:val="en-US" w:eastAsia="zh-Hans"/>
        </w:rPr>
        <w:t>只</w:t>
      </w:r>
      <w:r>
        <w:rPr>
          <w:rFonts w:hint="default" w:ascii="Times New Roman Regular" w:hAnsi="Times New Roman Regular" w:cs="Times New Roman Regular"/>
          <w:color w:val="auto"/>
          <w:szCs w:val="22"/>
          <w:lang w:eastAsia="zh-Hans"/>
        </w:rPr>
        <w:t>，</w:t>
      </w:r>
      <w:r>
        <w:rPr>
          <w:rFonts w:hint="eastAsia" w:ascii="Times New Roman Regular" w:hAnsi="Times New Roman Regular" w:cs="Times New Roman Regular"/>
          <w:color w:val="auto"/>
          <w:szCs w:val="22"/>
          <w:lang w:val="en-US" w:eastAsia="zh-Hans"/>
        </w:rPr>
        <w:t>由出售公司回收</w:t>
      </w:r>
      <w:r>
        <w:rPr>
          <w:rFonts w:hint="default" w:ascii="Times New Roman Regular" w:hAnsi="Times New Roman Regular" w:cs="Times New Roman Regular"/>
          <w:color w:val="auto"/>
          <w:szCs w:val="22"/>
          <w:lang w:eastAsia="zh-Hans"/>
        </w:rPr>
        <w:t>。</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表5.8-3 固体废物产生量及处置措施</w:t>
      </w:r>
    </w:p>
    <w:tbl>
      <w:tblPr>
        <w:tblStyle w:val="36"/>
        <w:tblW w:w="8528" w:type="dxa"/>
        <w:tblInd w:w="0" w:type="dxa"/>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8"/>
        <w:gridCol w:w="739"/>
        <w:gridCol w:w="1732"/>
        <w:gridCol w:w="1057"/>
        <w:gridCol w:w="704"/>
        <w:gridCol w:w="1028"/>
        <w:gridCol w:w="901"/>
        <w:gridCol w:w="1939"/>
      </w:tblGrid>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8" w:type="dxa"/>
            <w:tcBorders>
              <w:top w:val="single" w:color="auto" w:sz="12" w:space="0"/>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序号</w:t>
            </w:r>
          </w:p>
        </w:tc>
        <w:tc>
          <w:tcPr>
            <w:tcW w:w="739" w:type="dxa"/>
            <w:tcBorders>
              <w:top w:val="single" w:color="auto" w:sz="12" w:space="0"/>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性质</w:t>
            </w:r>
          </w:p>
        </w:tc>
        <w:tc>
          <w:tcPr>
            <w:tcW w:w="1732" w:type="dxa"/>
            <w:tcBorders>
              <w:top w:val="single" w:color="auto" w:sz="12" w:space="0"/>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固废名称</w:t>
            </w:r>
          </w:p>
        </w:tc>
        <w:tc>
          <w:tcPr>
            <w:tcW w:w="1057" w:type="dxa"/>
            <w:tcBorders>
              <w:top w:val="single" w:color="auto" w:sz="12" w:space="0"/>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危废编码</w:t>
            </w:r>
          </w:p>
        </w:tc>
        <w:tc>
          <w:tcPr>
            <w:tcW w:w="704" w:type="dxa"/>
            <w:tcBorders>
              <w:top w:val="single" w:color="auto" w:sz="12" w:space="0"/>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形态</w:t>
            </w:r>
          </w:p>
        </w:tc>
        <w:tc>
          <w:tcPr>
            <w:tcW w:w="1028" w:type="dxa"/>
            <w:tcBorders>
              <w:top w:val="single" w:color="auto" w:sz="12" w:space="0"/>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危险特性</w:t>
            </w:r>
          </w:p>
        </w:tc>
        <w:tc>
          <w:tcPr>
            <w:tcW w:w="901" w:type="dxa"/>
            <w:tcBorders>
              <w:top w:val="single" w:color="auto" w:sz="12" w:space="0"/>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产生量t/a</w:t>
            </w:r>
          </w:p>
        </w:tc>
        <w:tc>
          <w:tcPr>
            <w:tcW w:w="1939" w:type="dxa"/>
            <w:tcBorders>
              <w:top w:val="single" w:color="auto" w:sz="12" w:space="0"/>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处置措施</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8" w:type="dxa"/>
            <w:vMerge w:val="restar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w:t>
            </w:r>
          </w:p>
        </w:tc>
        <w:tc>
          <w:tcPr>
            <w:tcW w:w="739" w:type="dxa"/>
            <w:vMerge w:val="restar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一般固废</w:t>
            </w:r>
          </w:p>
        </w:tc>
        <w:tc>
          <w:tcPr>
            <w:tcW w:w="1732" w:type="dxa"/>
            <w:tcBorders>
              <w:bottom w:val="single" w:color="auto" w:sz="4" w:space="0"/>
            </w:tcBorders>
            <w:vAlign w:val="center"/>
          </w:tcPr>
          <w:p>
            <w:pPr>
              <w:pStyle w:val="135"/>
              <w:rPr>
                <w:rFonts w:hint="default" w:ascii="Times New Roman Regular" w:hAnsi="Times New Roman Regular" w:eastAsia="宋体" w:cs="Times New Roman Regular"/>
                <w:color w:val="auto"/>
                <w:lang w:val="en-US" w:eastAsia="zh-Hans"/>
              </w:rPr>
            </w:pPr>
            <w:r>
              <w:rPr>
                <w:rFonts w:hint="default" w:ascii="Times New Roman Regular" w:hAnsi="Times New Roman Regular" w:cs="Times New Roman Regular"/>
                <w:color w:val="auto"/>
                <w:lang w:val="en-US" w:eastAsia="zh-Hans"/>
              </w:rPr>
              <w:t>残次品和下脚料</w:t>
            </w:r>
          </w:p>
        </w:tc>
        <w:tc>
          <w:tcPr>
            <w:tcW w:w="1057"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w:t>
            </w:r>
          </w:p>
        </w:tc>
        <w:tc>
          <w:tcPr>
            <w:tcW w:w="704"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固</w:t>
            </w:r>
          </w:p>
        </w:tc>
        <w:tc>
          <w:tcPr>
            <w:tcW w:w="1028" w:type="dxa"/>
            <w:tcBorders>
              <w:bottom w:val="single" w:color="auto" w:sz="4" w:space="0"/>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w:t>
            </w:r>
          </w:p>
        </w:tc>
        <w:tc>
          <w:tcPr>
            <w:tcW w:w="901"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225</w:t>
            </w:r>
          </w:p>
        </w:tc>
        <w:tc>
          <w:tcPr>
            <w:tcW w:w="1939"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外售综合利用</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8" w:type="dxa"/>
            <w:vMerge w:val="continue"/>
            <w:vAlign w:val="center"/>
          </w:tcPr>
          <w:p>
            <w:pPr>
              <w:pStyle w:val="135"/>
              <w:rPr>
                <w:rFonts w:hint="default" w:ascii="Times New Roman Regular" w:hAnsi="Times New Roman Regular" w:cs="Times New Roman Regular"/>
                <w:color w:val="auto"/>
              </w:rPr>
            </w:pPr>
          </w:p>
        </w:tc>
        <w:tc>
          <w:tcPr>
            <w:tcW w:w="739" w:type="dxa"/>
            <w:vMerge w:val="continue"/>
            <w:vAlign w:val="center"/>
          </w:tcPr>
          <w:p>
            <w:pPr>
              <w:pStyle w:val="135"/>
              <w:rPr>
                <w:rFonts w:hint="default" w:ascii="Times New Roman Regular" w:hAnsi="Times New Roman Regular" w:cs="Times New Roman Regular"/>
                <w:color w:val="auto"/>
              </w:rPr>
            </w:pPr>
          </w:p>
        </w:tc>
        <w:tc>
          <w:tcPr>
            <w:tcW w:w="1732" w:type="dxa"/>
            <w:tcBorders>
              <w:bottom w:val="single" w:color="auto" w:sz="4" w:space="0"/>
            </w:tcBorders>
            <w:vAlign w:val="center"/>
          </w:tcPr>
          <w:p>
            <w:pPr>
              <w:pStyle w:val="135"/>
              <w:rPr>
                <w:rFonts w:hint="default" w:ascii="Times New Roman Regular" w:hAnsi="Times New Roman Regular" w:cs="Times New Roman Regular"/>
                <w:color w:val="auto"/>
                <w:lang w:val="en-US" w:eastAsia="zh-Hans"/>
              </w:rPr>
            </w:pPr>
            <w:r>
              <w:rPr>
                <w:rFonts w:hint="eastAsia" w:ascii="Times New Roman Regular" w:hAnsi="Times New Roman Regular" w:cs="Times New Roman Regular"/>
                <w:color w:val="auto"/>
                <w:lang w:val="en-US" w:eastAsia="zh-Hans"/>
              </w:rPr>
              <w:t>胶水包装桶</w:t>
            </w:r>
          </w:p>
        </w:tc>
        <w:tc>
          <w:tcPr>
            <w:tcW w:w="1057"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w:t>
            </w:r>
          </w:p>
        </w:tc>
        <w:tc>
          <w:tcPr>
            <w:tcW w:w="704"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固</w:t>
            </w:r>
          </w:p>
        </w:tc>
        <w:tc>
          <w:tcPr>
            <w:tcW w:w="1028" w:type="dxa"/>
            <w:tcBorders>
              <w:bottom w:val="single" w:color="auto" w:sz="4" w:space="0"/>
            </w:tcBorders>
            <w:vAlign w:val="center"/>
          </w:tcPr>
          <w:p>
            <w:pPr>
              <w:pStyle w:val="135"/>
              <w:rPr>
                <w:rFonts w:hint="default" w:ascii="Times New Roman Regular" w:hAnsi="Times New Roman Regular" w:cs="Times New Roman Regular"/>
                <w:color w:val="auto"/>
              </w:rPr>
            </w:pPr>
          </w:p>
        </w:tc>
        <w:tc>
          <w:tcPr>
            <w:tcW w:w="901"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w:t>
            </w:r>
            <w:r>
              <w:rPr>
                <w:rFonts w:hint="eastAsia" w:ascii="Times New Roman Regular" w:hAnsi="Times New Roman Regular" w:cs="Times New Roman Regular"/>
                <w:color w:val="auto"/>
                <w:lang w:val="en-US" w:eastAsia="zh-Hans"/>
              </w:rPr>
              <w:t>只</w:t>
            </w:r>
            <w:r>
              <w:rPr>
                <w:rFonts w:hint="default" w:ascii="Times New Roman Regular" w:hAnsi="Times New Roman Regular" w:cs="Times New Roman Regular"/>
                <w:color w:val="auto"/>
                <w:lang w:eastAsia="zh-Hans"/>
              </w:rPr>
              <w:t>/</w:t>
            </w:r>
            <w:r>
              <w:rPr>
                <w:rFonts w:hint="eastAsia" w:ascii="Times New Roman Regular" w:hAnsi="Times New Roman Regular" w:cs="Times New Roman Regular"/>
                <w:color w:val="auto"/>
                <w:lang w:val="en-US" w:eastAsia="zh-Hans"/>
              </w:rPr>
              <w:t>a</w:t>
            </w:r>
          </w:p>
        </w:tc>
        <w:tc>
          <w:tcPr>
            <w:tcW w:w="1939" w:type="dxa"/>
            <w:vAlign w:val="center"/>
          </w:tcPr>
          <w:p>
            <w:pPr>
              <w:pStyle w:val="135"/>
              <w:rPr>
                <w:rFonts w:hint="default" w:ascii="Times New Roman Regular" w:hAnsi="Times New Roman Regular" w:cs="Times New Roman Regular"/>
                <w:color w:val="auto"/>
              </w:rPr>
            </w:pPr>
            <w:r>
              <w:rPr>
                <w:rFonts w:hint="eastAsia" w:ascii="Times New Roman Regular" w:hAnsi="Times New Roman Regular" w:cs="Times New Roman Regular"/>
                <w:color w:val="auto"/>
                <w:szCs w:val="22"/>
                <w:lang w:val="en-US" w:eastAsia="zh-Hans"/>
              </w:rPr>
              <w:t>由出售公司回收</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8" w:type="dxa"/>
            <w:vMerge w:val="continue"/>
            <w:vAlign w:val="center"/>
          </w:tcPr>
          <w:p>
            <w:pPr>
              <w:pStyle w:val="135"/>
              <w:rPr>
                <w:rFonts w:hint="default" w:ascii="Times New Roman Regular" w:hAnsi="Times New Roman Regular" w:cs="Times New Roman Regular"/>
                <w:color w:val="FF0000"/>
              </w:rPr>
            </w:pPr>
          </w:p>
        </w:tc>
        <w:tc>
          <w:tcPr>
            <w:tcW w:w="2471" w:type="dxa"/>
            <w:gridSpan w:val="2"/>
            <w:vAlign w:val="center"/>
          </w:tcPr>
          <w:p>
            <w:pPr>
              <w:pStyle w:val="135"/>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生活垃圾</w:t>
            </w:r>
          </w:p>
        </w:tc>
        <w:tc>
          <w:tcPr>
            <w:tcW w:w="1057" w:type="dxa"/>
            <w:vAlign w:val="center"/>
          </w:tcPr>
          <w:p>
            <w:pPr>
              <w:pStyle w:val="135"/>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w:t>
            </w:r>
          </w:p>
        </w:tc>
        <w:tc>
          <w:tcPr>
            <w:tcW w:w="704" w:type="dxa"/>
            <w:vAlign w:val="center"/>
          </w:tcPr>
          <w:p>
            <w:pPr>
              <w:pStyle w:val="135"/>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固</w:t>
            </w:r>
          </w:p>
        </w:tc>
        <w:tc>
          <w:tcPr>
            <w:tcW w:w="1028" w:type="dxa"/>
            <w:vAlign w:val="center"/>
          </w:tcPr>
          <w:p>
            <w:pPr>
              <w:pStyle w:val="135"/>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w:t>
            </w:r>
          </w:p>
        </w:tc>
        <w:tc>
          <w:tcPr>
            <w:tcW w:w="901" w:type="dxa"/>
            <w:vAlign w:val="center"/>
          </w:tcPr>
          <w:p>
            <w:pPr>
              <w:pStyle w:val="135"/>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3</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75</w:t>
            </w:r>
          </w:p>
        </w:tc>
        <w:tc>
          <w:tcPr>
            <w:tcW w:w="1939" w:type="dxa"/>
            <w:vAlign w:val="center"/>
          </w:tcPr>
          <w:p>
            <w:pPr>
              <w:pStyle w:val="135"/>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委托环卫部门处置</w:t>
            </w:r>
          </w:p>
        </w:tc>
      </w:tr>
    </w:tbl>
    <w:p>
      <w:pPr>
        <w:pStyle w:val="128"/>
        <w:keepNext/>
        <w:spacing w:before="163" w:beforeLines="50"/>
        <w:outlineLvl w:val="2"/>
        <w:rPr>
          <w:rFonts w:hint="default" w:ascii="Times New Roman Regular" w:hAnsi="Times New Roman Regular" w:eastAsia="宋体" w:cs="Times New Roman Regular"/>
          <w:color w:val="auto"/>
        </w:rPr>
      </w:pPr>
      <w:bookmarkStart w:id="206" w:name="_Toc47618332"/>
      <w:r>
        <w:rPr>
          <w:rFonts w:hint="default" w:ascii="Times New Roman Regular" w:hAnsi="Times New Roman Regular" w:eastAsia="宋体" w:cs="Times New Roman Regular"/>
          <w:color w:val="auto"/>
        </w:rPr>
        <w:t>5.8.5 污染物排放量汇总</w:t>
      </w:r>
    </w:p>
    <w:p>
      <w:pPr>
        <w:widowControl w:val="0"/>
        <w:ind w:firstLine="480" w:firstLineChars="200"/>
        <w:rPr>
          <w:rFonts w:hint="default" w:ascii="Times New Roman Regular" w:hAnsi="Times New Roman Regular" w:cs="Times New Roman Regular"/>
          <w:b/>
          <w:color w:val="auto"/>
        </w:rPr>
      </w:pPr>
      <w:r>
        <w:rPr>
          <w:rFonts w:hint="default" w:ascii="Times New Roman Regular" w:hAnsi="Times New Roman Regular" w:cs="Times New Roman Regular"/>
          <w:color w:val="auto"/>
        </w:rPr>
        <w:t>根据上述污染物产生情况分析，结合本项目已采取的污染防治措施，项目运营期间各类污染物处理削减及排放状况见表</w:t>
      </w:r>
      <w:r>
        <w:rPr>
          <w:rFonts w:hint="default" w:ascii="Times New Roman Regular" w:hAnsi="Times New Roman Regular" w:cs="Times New Roman Regular"/>
          <w:bCs/>
          <w:color w:val="auto"/>
        </w:rPr>
        <w:t>5.8-4</w:t>
      </w:r>
      <w:r>
        <w:rPr>
          <w:rFonts w:hint="default" w:ascii="Times New Roman Regular" w:hAnsi="Times New Roman Regular" w:cs="Times New Roman Regular"/>
          <w:color w:val="auto"/>
        </w:rPr>
        <w:t>。</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表5.8-4 本项目各类污染物处理削减及排放状况</w:t>
      </w:r>
    </w:p>
    <w:tbl>
      <w:tblPr>
        <w:tblStyle w:val="3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0"/>
        <w:gridCol w:w="1091"/>
        <w:gridCol w:w="1818"/>
        <w:gridCol w:w="926"/>
        <w:gridCol w:w="975"/>
        <w:gridCol w:w="932"/>
        <w:gridCol w:w="21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0" w:type="pct"/>
            <w:tcBorders>
              <w:left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类别</w:t>
            </w:r>
          </w:p>
        </w:tc>
        <w:tc>
          <w:tcPr>
            <w:tcW w:w="1707" w:type="pct"/>
            <w:gridSpan w:val="2"/>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污染物种类</w:t>
            </w:r>
          </w:p>
        </w:tc>
        <w:tc>
          <w:tcPr>
            <w:tcW w:w="543"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产生量</w:t>
            </w:r>
          </w:p>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（t/a）</w:t>
            </w:r>
          </w:p>
        </w:tc>
        <w:tc>
          <w:tcPr>
            <w:tcW w:w="572"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削减量（t/a）</w:t>
            </w:r>
          </w:p>
        </w:tc>
        <w:tc>
          <w:tcPr>
            <w:tcW w:w="547"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排放量</w:t>
            </w:r>
          </w:p>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（t/a）</w:t>
            </w:r>
          </w:p>
        </w:tc>
        <w:tc>
          <w:tcPr>
            <w:tcW w:w="1288"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处理方式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0" w:type="pct"/>
            <w:vMerge w:val="restart"/>
            <w:tcBorders>
              <w:left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废水</w:t>
            </w:r>
          </w:p>
        </w:tc>
        <w:tc>
          <w:tcPr>
            <w:tcW w:w="640" w:type="pct"/>
            <w:vMerge w:val="restar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生活污水</w:t>
            </w:r>
          </w:p>
        </w:tc>
        <w:tc>
          <w:tcPr>
            <w:tcW w:w="1067"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废水量</w:t>
            </w:r>
          </w:p>
        </w:tc>
        <w:tc>
          <w:tcPr>
            <w:tcW w:w="543"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318</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75</w:t>
            </w:r>
          </w:p>
        </w:tc>
        <w:tc>
          <w:tcPr>
            <w:tcW w:w="572"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p>
        </w:tc>
        <w:tc>
          <w:tcPr>
            <w:tcW w:w="547" w:type="pct"/>
            <w:tcBorders>
              <w:right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318</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75</w:t>
            </w:r>
          </w:p>
        </w:tc>
        <w:tc>
          <w:tcPr>
            <w:tcW w:w="1288" w:type="pct"/>
            <w:vMerge w:val="restart"/>
            <w:tcBorders>
              <w:right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生活污水经化粪池处理后进入</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青口新区污水处理厂处理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0" w:type="pct"/>
            <w:vMerge w:val="continue"/>
            <w:tcBorders>
              <w:left w:val="nil"/>
            </w:tcBorders>
            <w:vAlign w:val="center"/>
          </w:tcPr>
          <w:p>
            <w:pPr>
              <w:pStyle w:val="135"/>
              <w:rPr>
                <w:rFonts w:hint="default" w:ascii="Times New Roman Regular" w:hAnsi="Times New Roman Regular" w:cs="Times New Roman Regular"/>
                <w:color w:val="FF0000"/>
              </w:rPr>
            </w:pPr>
          </w:p>
        </w:tc>
        <w:tc>
          <w:tcPr>
            <w:tcW w:w="640" w:type="pct"/>
            <w:vMerge w:val="continue"/>
            <w:vAlign w:val="center"/>
          </w:tcPr>
          <w:p>
            <w:pPr>
              <w:pStyle w:val="135"/>
              <w:rPr>
                <w:rFonts w:hint="default" w:ascii="Times New Roman Regular" w:hAnsi="Times New Roman Regular" w:cs="Times New Roman Regular"/>
                <w:color w:val="FF0000"/>
              </w:rPr>
            </w:pPr>
          </w:p>
        </w:tc>
        <w:tc>
          <w:tcPr>
            <w:tcW w:w="1067"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CODcr</w:t>
            </w:r>
          </w:p>
        </w:tc>
        <w:tc>
          <w:tcPr>
            <w:tcW w:w="543"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0.128</w:t>
            </w:r>
          </w:p>
        </w:tc>
        <w:tc>
          <w:tcPr>
            <w:tcW w:w="572"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048</w:t>
            </w:r>
          </w:p>
        </w:tc>
        <w:tc>
          <w:tcPr>
            <w:tcW w:w="547" w:type="pct"/>
            <w:tcBorders>
              <w:right w:val="nil"/>
            </w:tcBorders>
            <w:vAlign w:val="center"/>
          </w:tcPr>
          <w:p>
            <w:pPr>
              <w:pStyle w:val="135"/>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0</w:t>
            </w:r>
            <w:r>
              <w:rPr>
                <w:rFonts w:hint="default" w:ascii="Times New Roman Regular" w:hAnsi="Times New Roman Regular" w:cs="Times New Roman Regular"/>
                <w:color w:val="auto"/>
                <w:lang w:eastAsia="zh-Hans"/>
              </w:rPr>
              <w:t>.08</w:t>
            </w:r>
          </w:p>
        </w:tc>
        <w:tc>
          <w:tcPr>
            <w:tcW w:w="1288" w:type="pct"/>
            <w:vMerge w:val="continue"/>
            <w:tcBorders>
              <w:right w:val="nil"/>
            </w:tcBorders>
            <w:vAlign w:val="center"/>
          </w:tcPr>
          <w:p>
            <w:pPr>
              <w:pStyle w:val="135"/>
              <w:rPr>
                <w:rFonts w:hint="default" w:ascii="Times New Roman Regular" w:hAnsi="Times New Roman Regular" w:cs="Times New Roman Regula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0" w:type="pct"/>
            <w:vMerge w:val="continue"/>
            <w:tcBorders>
              <w:left w:val="nil"/>
            </w:tcBorders>
            <w:vAlign w:val="center"/>
          </w:tcPr>
          <w:p>
            <w:pPr>
              <w:pStyle w:val="135"/>
              <w:rPr>
                <w:rFonts w:hint="default" w:ascii="Times New Roman Regular" w:hAnsi="Times New Roman Regular" w:cs="Times New Roman Regular"/>
                <w:color w:val="FF0000"/>
              </w:rPr>
            </w:pPr>
          </w:p>
        </w:tc>
        <w:tc>
          <w:tcPr>
            <w:tcW w:w="640" w:type="pct"/>
            <w:vMerge w:val="continue"/>
            <w:vAlign w:val="center"/>
          </w:tcPr>
          <w:p>
            <w:pPr>
              <w:pStyle w:val="135"/>
              <w:rPr>
                <w:rFonts w:hint="default" w:ascii="Times New Roman Regular" w:hAnsi="Times New Roman Regular" w:cs="Times New Roman Regular"/>
                <w:color w:val="FF0000"/>
              </w:rPr>
            </w:pPr>
          </w:p>
        </w:tc>
        <w:tc>
          <w:tcPr>
            <w:tcW w:w="1067"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BOD</w:t>
            </w:r>
            <w:r>
              <w:rPr>
                <w:rFonts w:hint="default" w:ascii="Times New Roman Regular" w:hAnsi="Times New Roman Regular" w:cs="Times New Roman Regular"/>
                <w:color w:val="auto"/>
                <w:vertAlign w:val="subscript"/>
              </w:rPr>
              <w:t>5</w:t>
            </w:r>
          </w:p>
        </w:tc>
        <w:tc>
          <w:tcPr>
            <w:tcW w:w="543"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0.064</w:t>
            </w:r>
          </w:p>
        </w:tc>
        <w:tc>
          <w:tcPr>
            <w:tcW w:w="572"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012</w:t>
            </w:r>
          </w:p>
        </w:tc>
        <w:tc>
          <w:tcPr>
            <w:tcW w:w="547" w:type="pct"/>
            <w:tcBorders>
              <w:right w:val="nil"/>
            </w:tcBorders>
            <w:vAlign w:val="center"/>
          </w:tcPr>
          <w:p>
            <w:pPr>
              <w:pStyle w:val="135"/>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0</w:t>
            </w:r>
            <w:r>
              <w:rPr>
                <w:rFonts w:hint="default" w:ascii="Times New Roman Regular" w:hAnsi="Times New Roman Regular" w:cs="Times New Roman Regular"/>
                <w:color w:val="auto"/>
                <w:lang w:eastAsia="zh-Hans"/>
              </w:rPr>
              <w:t>.052</w:t>
            </w:r>
          </w:p>
        </w:tc>
        <w:tc>
          <w:tcPr>
            <w:tcW w:w="1288" w:type="pct"/>
            <w:vMerge w:val="continue"/>
            <w:tcBorders>
              <w:right w:val="nil"/>
            </w:tcBorders>
            <w:vAlign w:val="center"/>
          </w:tcPr>
          <w:p>
            <w:pPr>
              <w:pStyle w:val="135"/>
              <w:rPr>
                <w:rFonts w:hint="default" w:ascii="Times New Roman Regular" w:hAnsi="Times New Roman Regular" w:cs="Times New Roman Regula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0" w:type="pct"/>
            <w:vMerge w:val="continue"/>
            <w:tcBorders>
              <w:left w:val="nil"/>
            </w:tcBorders>
            <w:vAlign w:val="center"/>
          </w:tcPr>
          <w:p>
            <w:pPr>
              <w:pStyle w:val="135"/>
              <w:rPr>
                <w:rFonts w:hint="default" w:ascii="Times New Roman Regular" w:hAnsi="Times New Roman Regular" w:cs="Times New Roman Regular"/>
                <w:color w:val="FF0000"/>
              </w:rPr>
            </w:pPr>
          </w:p>
        </w:tc>
        <w:tc>
          <w:tcPr>
            <w:tcW w:w="640" w:type="pct"/>
            <w:vMerge w:val="continue"/>
            <w:vAlign w:val="center"/>
          </w:tcPr>
          <w:p>
            <w:pPr>
              <w:pStyle w:val="135"/>
              <w:rPr>
                <w:rFonts w:hint="default" w:ascii="Times New Roman Regular" w:hAnsi="Times New Roman Regular" w:cs="Times New Roman Regular"/>
                <w:color w:val="FF0000"/>
              </w:rPr>
            </w:pPr>
          </w:p>
        </w:tc>
        <w:tc>
          <w:tcPr>
            <w:tcW w:w="1067"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NH</w:t>
            </w:r>
            <w:r>
              <w:rPr>
                <w:rFonts w:hint="default" w:ascii="Times New Roman Regular" w:hAnsi="Times New Roman Regular" w:cs="Times New Roman Regular"/>
                <w:color w:val="auto"/>
                <w:vertAlign w:val="subscript"/>
              </w:rPr>
              <w:t>3</w:t>
            </w:r>
            <w:r>
              <w:rPr>
                <w:rFonts w:hint="default" w:ascii="Times New Roman Regular" w:hAnsi="Times New Roman Regular" w:cs="Times New Roman Regular"/>
                <w:color w:val="auto"/>
              </w:rPr>
              <w:t>-N</w:t>
            </w:r>
          </w:p>
        </w:tc>
        <w:tc>
          <w:tcPr>
            <w:tcW w:w="543"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0.011</w:t>
            </w:r>
          </w:p>
        </w:tc>
        <w:tc>
          <w:tcPr>
            <w:tcW w:w="572"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003</w:t>
            </w:r>
          </w:p>
        </w:tc>
        <w:tc>
          <w:tcPr>
            <w:tcW w:w="547" w:type="pct"/>
            <w:tcBorders>
              <w:right w:val="nil"/>
            </w:tcBorders>
            <w:vAlign w:val="center"/>
          </w:tcPr>
          <w:p>
            <w:pPr>
              <w:pStyle w:val="135"/>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0</w:t>
            </w:r>
            <w:r>
              <w:rPr>
                <w:rFonts w:hint="default" w:ascii="Times New Roman Regular" w:hAnsi="Times New Roman Regular" w:cs="Times New Roman Regular"/>
                <w:color w:val="auto"/>
                <w:lang w:eastAsia="zh-Hans"/>
              </w:rPr>
              <w:t>.008</w:t>
            </w:r>
          </w:p>
        </w:tc>
        <w:tc>
          <w:tcPr>
            <w:tcW w:w="1288" w:type="pct"/>
            <w:vMerge w:val="continue"/>
            <w:tcBorders>
              <w:right w:val="nil"/>
            </w:tcBorders>
            <w:vAlign w:val="center"/>
          </w:tcPr>
          <w:p>
            <w:pPr>
              <w:pStyle w:val="135"/>
              <w:rPr>
                <w:rFonts w:hint="default" w:ascii="Times New Roman Regular" w:hAnsi="Times New Roman Regular" w:cs="Times New Roman Regula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0" w:type="pct"/>
            <w:vMerge w:val="continue"/>
            <w:tcBorders>
              <w:left w:val="nil"/>
            </w:tcBorders>
            <w:vAlign w:val="center"/>
          </w:tcPr>
          <w:p>
            <w:pPr>
              <w:pStyle w:val="135"/>
              <w:rPr>
                <w:rFonts w:hint="default" w:ascii="Times New Roman Regular" w:hAnsi="Times New Roman Regular" w:cs="Times New Roman Regular"/>
                <w:color w:val="FF0000"/>
              </w:rPr>
            </w:pPr>
          </w:p>
        </w:tc>
        <w:tc>
          <w:tcPr>
            <w:tcW w:w="640" w:type="pct"/>
            <w:vMerge w:val="continue"/>
            <w:vAlign w:val="center"/>
          </w:tcPr>
          <w:p>
            <w:pPr>
              <w:pStyle w:val="135"/>
              <w:rPr>
                <w:rFonts w:hint="default" w:ascii="Times New Roman Regular" w:hAnsi="Times New Roman Regular" w:cs="Times New Roman Regular"/>
                <w:color w:val="FF0000"/>
              </w:rPr>
            </w:pPr>
          </w:p>
        </w:tc>
        <w:tc>
          <w:tcPr>
            <w:tcW w:w="1067"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SS</w:t>
            </w:r>
          </w:p>
        </w:tc>
        <w:tc>
          <w:tcPr>
            <w:tcW w:w="543"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0.08</w:t>
            </w:r>
          </w:p>
        </w:tc>
        <w:tc>
          <w:tcPr>
            <w:tcW w:w="572"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058</w:t>
            </w:r>
          </w:p>
        </w:tc>
        <w:tc>
          <w:tcPr>
            <w:tcW w:w="547" w:type="pct"/>
            <w:tcBorders>
              <w:right w:val="nil"/>
            </w:tcBorders>
            <w:vAlign w:val="center"/>
          </w:tcPr>
          <w:p>
            <w:pPr>
              <w:pStyle w:val="135"/>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0</w:t>
            </w:r>
            <w:r>
              <w:rPr>
                <w:rFonts w:hint="default" w:ascii="Times New Roman Regular" w:hAnsi="Times New Roman Regular" w:cs="Times New Roman Regular"/>
                <w:color w:val="auto"/>
                <w:lang w:eastAsia="zh-Hans"/>
              </w:rPr>
              <w:t>.022</w:t>
            </w:r>
          </w:p>
        </w:tc>
        <w:tc>
          <w:tcPr>
            <w:tcW w:w="1288" w:type="pct"/>
            <w:vMerge w:val="continue"/>
            <w:tcBorders>
              <w:right w:val="nil"/>
            </w:tcBorders>
            <w:vAlign w:val="center"/>
          </w:tcPr>
          <w:p>
            <w:pPr>
              <w:pStyle w:val="135"/>
              <w:rPr>
                <w:rFonts w:hint="default" w:ascii="Times New Roman Regular" w:hAnsi="Times New Roman Regular" w:cs="Times New Roman Regula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0" w:type="pct"/>
            <w:tcBorders>
              <w:left w:val="nil"/>
            </w:tcBorders>
            <w:vAlign w:val="center"/>
          </w:tcPr>
          <w:p>
            <w:pPr>
              <w:pStyle w:val="135"/>
              <w:rPr>
                <w:rFonts w:hint="eastAsia" w:ascii="Times New Roman Regular" w:hAnsi="Times New Roman Regular" w:eastAsia="宋体" w:cs="Times New Roman Regular"/>
                <w:color w:val="auto"/>
                <w:lang w:val="en-US" w:eastAsia="zh-Hans"/>
              </w:rPr>
            </w:pPr>
            <w:r>
              <w:rPr>
                <w:rFonts w:hint="eastAsia" w:ascii="Times New Roman Regular" w:hAnsi="Times New Roman Regular" w:cs="Times New Roman Regular"/>
                <w:color w:val="auto"/>
                <w:lang w:val="en-US" w:eastAsia="zh-Hans"/>
              </w:rPr>
              <w:t>废气</w:t>
            </w:r>
          </w:p>
        </w:tc>
        <w:tc>
          <w:tcPr>
            <w:tcW w:w="640" w:type="pct"/>
            <w:vAlign w:val="center"/>
          </w:tcPr>
          <w:p>
            <w:pPr>
              <w:pStyle w:val="135"/>
              <w:rPr>
                <w:rFonts w:hint="eastAsia" w:ascii="Times New Roman Regular" w:hAnsi="Times New Roman Regular" w:eastAsia="宋体" w:cs="Times New Roman Regular"/>
                <w:color w:val="auto"/>
                <w:lang w:val="en-US" w:eastAsia="zh-Hans"/>
              </w:rPr>
            </w:pPr>
            <w:r>
              <w:rPr>
                <w:rFonts w:hint="eastAsia" w:ascii="Times New Roman Regular" w:hAnsi="Times New Roman Regular" w:cs="Times New Roman Regular"/>
                <w:color w:val="auto"/>
                <w:lang w:val="en-US" w:eastAsia="zh-Hans"/>
              </w:rPr>
              <w:t>粉尘</w:t>
            </w:r>
          </w:p>
        </w:tc>
        <w:tc>
          <w:tcPr>
            <w:tcW w:w="1067" w:type="pct"/>
            <w:vAlign w:val="center"/>
          </w:tcPr>
          <w:p>
            <w:pPr>
              <w:pStyle w:val="135"/>
              <w:rPr>
                <w:rFonts w:hint="eastAsia" w:ascii="Times New Roman Regular" w:hAnsi="Times New Roman Regular" w:eastAsia="宋体" w:cs="Times New Roman Regular"/>
                <w:color w:val="auto"/>
                <w:lang w:val="en-US" w:eastAsia="zh-Hans"/>
              </w:rPr>
            </w:pPr>
            <w:r>
              <w:rPr>
                <w:rFonts w:hint="eastAsia" w:ascii="Times New Roman Regular" w:hAnsi="Times New Roman Regular" w:cs="Times New Roman Regular"/>
                <w:color w:val="auto"/>
                <w:lang w:val="en-US" w:eastAsia="zh-Hans"/>
              </w:rPr>
              <w:t>无组织颗粒物</w:t>
            </w:r>
          </w:p>
        </w:tc>
        <w:tc>
          <w:tcPr>
            <w:tcW w:w="543"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045</w:t>
            </w:r>
          </w:p>
        </w:tc>
        <w:tc>
          <w:tcPr>
            <w:tcW w:w="572"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045</w:t>
            </w:r>
          </w:p>
        </w:tc>
        <w:tc>
          <w:tcPr>
            <w:tcW w:w="547" w:type="pct"/>
            <w:tcBorders>
              <w:right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p>
        </w:tc>
        <w:tc>
          <w:tcPr>
            <w:tcW w:w="1288" w:type="pct"/>
            <w:tcBorders>
              <w:right w:val="nil"/>
            </w:tcBorders>
            <w:vAlign w:val="center"/>
          </w:tcPr>
          <w:p>
            <w:pPr>
              <w:pStyle w:val="135"/>
              <w:rPr>
                <w:rFonts w:hint="eastAsia" w:ascii="Times New Roman Regular" w:hAnsi="Times New Roman Regular" w:eastAsia="宋体" w:cs="Times New Roman Regular"/>
                <w:color w:val="auto"/>
                <w:lang w:val="en-US" w:eastAsia="zh-Hans"/>
              </w:rPr>
            </w:pPr>
            <w:r>
              <w:rPr>
                <w:rFonts w:hint="eastAsia" w:ascii="Times New Roman Regular" w:hAnsi="Times New Roman Regular" w:cs="Times New Roman Regular"/>
                <w:color w:val="auto"/>
                <w:lang w:val="en-US" w:eastAsia="zh-Hans"/>
              </w:rPr>
              <w:t>车间通风换气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0" w:type="pct"/>
            <w:vMerge w:val="restart"/>
            <w:tcBorders>
              <w:left w:val="nil"/>
            </w:tcBorders>
            <w:vAlign w:val="center"/>
          </w:tcPr>
          <w:p>
            <w:pPr>
              <w:pStyle w:val="135"/>
              <w:rPr>
                <w:rFonts w:hint="default" w:ascii="Times New Roman Regular" w:hAnsi="Times New Roman Regular" w:eastAsia="宋体" w:cs="Times New Roman Regular"/>
                <w:color w:val="FF0000"/>
                <w:lang w:val="en-US" w:eastAsia="zh-Hans"/>
              </w:rPr>
            </w:pPr>
            <w:r>
              <w:rPr>
                <w:rFonts w:hint="default" w:ascii="Times New Roman Regular" w:hAnsi="Times New Roman Regular" w:cs="Times New Roman Regular"/>
                <w:color w:val="auto"/>
                <w:lang w:val="en-US" w:eastAsia="zh-Hans"/>
              </w:rPr>
              <w:t>固废</w:t>
            </w:r>
          </w:p>
        </w:tc>
        <w:tc>
          <w:tcPr>
            <w:tcW w:w="640" w:type="pct"/>
            <w:vMerge w:val="restart"/>
            <w:vAlign w:val="center"/>
          </w:tcPr>
          <w:p>
            <w:pPr>
              <w:pStyle w:val="135"/>
              <w:rPr>
                <w:rFonts w:hint="default" w:ascii="Times New Roman Regular" w:hAnsi="Times New Roman Regular" w:cs="Times New Roman Regular"/>
                <w:color w:val="auto"/>
                <w:lang w:eastAsia="zh-Hans"/>
              </w:rPr>
            </w:pPr>
            <w:r>
              <w:rPr>
                <w:rFonts w:hint="default" w:ascii="Times New Roman Regular" w:hAnsi="Times New Roman Regular" w:cs="Times New Roman Regular"/>
                <w:color w:val="auto"/>
                <w:lang w:eastAsia="zh-Hans"/>
              </w:rPr>
              <w:t>一般固废</w:t>
            </w:r>
          </w:p>
        </w:tc>
        <w:tc>
          <w:tcPr>
            <w:tcW w:w="1067" w:type="pct"/>
            <w:vAlign w:val="center"/>
          </w:tcPr>
          <w:p>
            <w:pPr>
              <w:pStyle w:val="135"/>
              <w:rPr>
                <w:rFonts w:hint="default" w:ascii="Times New Roman Regular" w:hAnsi="Times New Roman Regular" w:eastAsia="宋体" w:cs="Times New Roman Regular"/>
                <w:color w:val="auto"/>
                <w:lang w:val="en-US" w:eastAsia="zh-Hans"/>
              </w:rPr>
            </w:pPr>
            <w:r>
              <w:rPr>
                <w:rFonts w:hint="default" w:ascii="Times New Roman Regular" w:hAnsi="Times New Roman Regular" w:cs="Times New Roman Regular"/>
                <w:color w:val="auto"/>
                <w:lang w:val="en-US" w:eastAsia="zh-Hans"/>
              </w:rPr>
              <w:t>残次品和下脚料</w:t>
            </w:r>
          </w:p>
        </w:tc>
        <w:tc>
          <w:tcPr>
            <w:tcW w:w="543"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lang w:eastAsia="zh-Hans"/>
              </w:rPr>
              <w:t>0</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225</w:t>
            </w:r>
          </w:p>
        </w:tc>
        <w:tc>
          <w:tcPr>
            <w:tcW w:w="572"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lang w:eastAsia="zh-Hans"/>
              </w:rPr>
              <w:t>0</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225</w:t>
            </w:r>
          </w:p>
        </w:tc>
        <w:tc>
          <w:tcPr>
            <w:tcW w:w="547" w:type="pct"/>
            <w:tcBorders>
              <w:right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p>
        </w:tc>
        <w:tc>
          <w:tcPr>
            <w:tcW w:w="1288" w:type="pct"/>
            <w:tcBorders>
              <w:right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0" w:type="pct"/>
            <w:vMerge w:val="continue"/>
            <w:tcBorders>
              <w:left w:val="nil"/>
            </w:tcBorders>
            <w:vAlign w:val="center"/>
          </w:tcPr>
          <w:p>
            <w:pPr>
              <w:pStyle w:val="135"/>
              <w:rPr>
                <w:rFonts w:hint="default" w:ascii="Times New Roman Regular" w:hAnsi="Times New Roman Regular" w:cs="Times New Roman Regular"/>
                <w:color w:val="auto"/>
                <w:lang w:val="en-US" w:eastAsia="zh-Hans"/>
              </w:rPr>
            </w:pPr>
          </w:p>
        </w:tc>
        <w:tc>
          <w:tcPr>
            <w:tcW w:w="640" w:type="pct"/>
            <w:vMerge w:val="continue"/>
            <w:vAlign w:val="center"/>
          </w:tcPr>
          <w:p>
            <w:pPr>
              <w:pStyle w:val="135"/>
              <w:rPr>
                <w:rFonts w:hint="default" w:ascii="Times New Roman Regular" w:hAnsi="Times New Roman Regular" w:cs="Times New Roman Regular"/>
                <w:color w:val="auto"/>
                <w:lang w:eastAsia="zh-Hans"/>
              </w:rPr>
            </w:pPr>
          </w:p>
        </w:tc>
        <w:tc>
          <w:tcPr>
            <w:tcW w:w="1067" w:type="pct"/>
            <w:vAlign w:val="center"/>
          </w:tcPr>
          <w:p>
            <w:pPr>
              <w:pStyle w:val="135"/>
              <w:rPr>
                <w:rFonts w:hint="default" w:ascii="Times New Roman Regular" w:hAnsi="Times New Roman Regular" w:cs="Times New Roman Regular"/>
                <w:color w:val="auto"/>
                <w:lang w:val="en-US" w:eastAsia="zh-Hans"/>
              </w:rPr>
            </w:pPr>
            <w:r>
              <w:rPr>
                <w:rFonts w:hint="eastAsia" w:ascii="Times New Roman Regular" w:hAnsi="Times New Roman Regular" w:cs="Times New Roman Regular"/>
                <w:color w:val="auto"/>
                <w:lang w:val="en-US" w:eastAsia="zh-Hans"/>
              </w:rPr>
              <w:t>胶水包装桶</w:t>
            </w:r>
          </w:p>
        </w:tc>
        <w:tc>
          <w:tcPr>
            <w:tcW w:w="543" w:type="pct"/>
            <w:vAlign w:val="center"/>
          </w:tcPr>
          <w:p>
            <w:pPr>
              <w:pStyle w:val="135"/>
              <w:rPr>
                <w:rFonts w:hint="default" w:ascii="Times New Roman Regular" w:hAnsi="Times New Roman Regular" w:cs="Times New Roman Regular"/>
                <w:color w:val="auto"/>
                <w:lang w:eastAsia="zh-Hans"/>
              </w:rPr>
            </w:pPr>
            <w:r>
              <w:rPr>
                <w:rFonts w:hint="default" w:ascii="Times New Roman Regular" w:hAnsi="Times New Roman Regular" w:cs="Times New Roman Regular"/>
                <w:color w:val="auto"/>
                <w:lang w:eastAsia="zh-Hans"/>
              </w:rPr>
              <w:t>1</w:t>
            </w:r>
            <w:r>
              <w:rPr>
                <w:rFonts w:hint="eastAsia" w:ascii="Times New Roman Regular" w:hAnsi="Times New Roman Regular" w:cs="Times New Roman Regular"/>
                <w:color w:val="auto"/>
                <w:lang w:val="en-US" w:eastAsia="zh-Hans"/>
              </w:rPr>
              <w:t>只</w:t>
            </w:r>
            <w:r>
              <w:rPr>
                <w:rFonts w:hint="default" w:ascii="Times New Roman Regular" w:hAnsi="Times New Roman Regular" w:cs="Times New Roman Regular"/>
                <w:color w:val="auto"/>
                <w:lang w:eastAsia="zh-Hans"/>
              </w:rPr>
              <w:t>/</w:t>
            </w:r>
            <w:r>
              <w:rPr>
                <w:rFonts w:hint="eastAsia" w:ascii="Times New Roman Regular" w:hAnsi="Times New Roman Regular" w:cs="Times New Roman Regular"/>
                <w:color w:val="auto"/>
                <w:lang w:val="en-US" w:eastAsia="zh-Hans"/>
              </w:rPr>
              <w:t>a</w:t>
            </w:r>
          </w:p>
        </w:tc>
        <w:tc>
          <w:tcPr>
            <w:tcW w:w="572" w:type="pct"/>
            <w:vAlign w:val="center"/>
          </w:tcPr>
          <w:p>
            <w:pPr>
              <w:pStyle w:val="135"/>
              <w:rPr>
                <w:rFonts w:hint="default" w:ascii="Times New Roman Regular" w:hAnsi="Times New Roman Regular" w:cs="Times New Roman Regular"/>
                <w:color w:val="auto"/>
                <w:lang w:eastAsia="zh-Hans"/>
              </w:rPr>
            </w:pPr>
            <w:r>
              <w:rPr>
                <w:rFonts w:hint="default" w:ascii="Times New Roman Regular" w:hAnsi="Times New Roman Regular" w:cs="Times New Roman Regular"/>
                <w:color w:val="auto"/>
                <w:lang w:eastAsia="zh-Hans"/>
              </w:rPr>
              <w:t>1</w:t>
            </w:r>
            <w:r>
              <w:rPr>
                <w:rFonts w:hint="eastAsia" w:ascii="Times New Roman Regular" w:hAnsi="Times New Roman Regular" w:cs="Times New Roman Regular"/>
                <w:color w:val="auto"/>
                <w:lang w:val="en-US" w:eastAsia="zh-Hans"/>
              </w:rPr>
              <w:t>只</w:t>
            </w:r>
            <w:r>
              <w:rPr>
                <w:rFonts w:hint="default" w:ascii="Times New Roman Regular" w:hAnsi="Times New Roman Regular" w:cs="Times New Roman Regular"/>
                <w:color w:val="auto"/>
                <w:lang w:eastAsia="zh-Hans"/>
              </w:rPr>
              <w:t>/</w:t>
            </w:r>
            <w:r>
              <w:rPr>
                <w:rFonts w:hint="eastAsia" w:ascii="Times New Roman Regular" w:hAnsi="Times New Roman Regular" w:cs="Times New Roman Regular"/>
                <w:color w:val="auto"/>
                <w:lang w:val="en-US" w:eastAsia="zh-Hans"/>
              </w:rPr>
              <w:t>a</w:t>
            </w:r>
          </w:p>
        </w:tc>
        <w:tc>
          <w:tcPr>
            <w:tcW w:w="547" w:type="pct"/>
            <w:tcBorders>
              <w:right w:val="nil"/>
            </w:tcBorders>
            <w:vAlign w:val="center"/>
          </w:tcPr>
          <w:p>
            <w:pPr>
              <w:pStyle w:val="135"/>
              <w:jc w:val="cente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p>
        </w:tc>
        <w:tc>
          <w:tcPr>
            <w:tcW w:w="1288" w:type="pct"/>
            <w:tcBorders>
              <w:right w:val="nil"/>
            </w:tcBorders>
            <w:vAlign w:val="center"/>
          </w:tcPr>
          <w:p>
            <w:pPr>
              <w:pStyle w:val="135"/>
              <w:rPr>
                <w:rFonts w:hint="eastAsia" w:ascii="Times New Roman Regular" w:hAnsi="Times New Roman Regular" w:eastAsia="宋体" w:cs="Times New Roman Regular"/>
                <w:color w:val="auto"/>
                <w:lang w:val="en-US" w:eastAsia="zh-Hans"/>
              </w:rPr>
            </w:pPr>
            <w:r>
              <w:rPr>
                <w:rFonts w:hint="eastAsia" w:ascii="Times New Roman Regular" w:hAnsi="Times New Roman Regular" w:cs="Times New Roman Regular"/>
                <w:color w:val="auto"/>
                <w:lang w:val="en-US" w:eastAsia="zh-Hans"/>
              </w:rPr>
              <w:t>出售公司回收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0" w:type="pct"/>
            <w:vMerge w:val="continue"/>
            <w:tcBorders>
              <w:left w:val="nil"/>
            </w:tcBorders>
            <w:vAlign w:val="center"/>
          </w:tcPr>
          <w:p>
            <w:pPr>
              <w:pStyle w:val="135"/>
              <w:rPr>
                <w:rFonts w:hint="default" w:ascii="Times New Roman Regular" w:hAnsi="Times New Roman Regular" w:cs="Times New Roman Regular"/>
                <w:color w:val="FF0000"/>
              </w:rPr>
            </w:pPr>
          </w:p>
        </w:tc>
        <w:tc>
          <w:tcPr>
            <w:tcW w:w="640"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生活垃圾</w:t>
            </w:r>
          </w:p>
        </w:tc>
        <w:tc>
          <w:tcPr>
            <w:tcW w:w="1067"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食品包装袋、水果残核、废纸等</w:t>
            </w:r>
          </w:p>
        </w:tc>
        <w:tc>
          <w:tcPr>
            <w:tcW w:w="543"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75</w:t>
            </w:r>
          </w:p>
        </w:tc>
        <w:tc>
          <w:tcPr>
            <w:tcW w:w="572"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75</w:t>
            </w:r>
          </w:p>
        </w:tc>
        <w:tc>
          <w:tcPr>
            <w:tcW w:w="547" w:type="pct"/>
            <w:tcBorders>
              <w:right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p>
        </w:tc>
        <w:tc>
          <w:tcPr>
            <w:tcW w:w="1288" w:type="pct"/>
            <w:tcBorders>
              <w:right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由环卫部门清运</w:t>
            </w:r>
          </w:p>
        </w:tc>
      </w:tr>
    </w:tbl>
    <w:p>
      <w:pPr>
        <w:pStyle w:val="4"/>
        <w:keepNext/>
        <w:keepLines/>
        <w:widowControl w:val="0"/>
        <w:spacing w:before="163" w:beforeLines="50" w:after="163" w:afterLines="50"/>
        <w:outlineLvl w:val="1"/>
        <w:rPr>
          <w:rFonts w:hint="default" w:ascii="Times New Roman Regular" w:hAnsi="Times New Roman Regular" w:cs="Times New Roman Regular"/>
          <w:color w:val="auto"/>
        </w:rPr>
      </w:pPr>
      <w:bookmarkStart w:id="207" w:name="_Toc579940228_WPSOffice_Level2"/>
      <w:bookmarkStart w:id="208" w:name="_Toc896003924"/>
      <w:r>
        <w:rPr>
          <w:rFonts w:hint="default" w:ascii="Times New Roman Regular" w:hAnsi="Times New Roman Regular" w:cs="Times New Roman Regular"/>
          <w:bCs w:val="0"/>
          <w:color w:val="auto"/>
          <w:kern w:val="2"/>
        </w:rPr>
        <w:t>5.</w:t>
      </w:r>
      <w:bookmarkEnd w:id="206"/>
      <w:bookmarkStart w:id="209" w:name="_Toc44272290"/>
      <w:bookmarkStart w:id="210" w:name="_Toc46314224"/>
      <w:bookmarkStart w:id="211" w:name="_Toc44275446"/>
      <w:bookmarkStart w:id="212" w:name="_Toc47618333"/>
      <w:r>
        <w:rPr>
          <w:rFonts w:hint="default" w:ascii="Times New Roman Regular" w:hAnsi="Times New Roman Regular" w:cs="Times New Roman Regular"/>
          <w:bCs w:val="0"/>
          <w:color w:val="auto"/>
          <w:kern w:val="2"/>
        </w:rPr>
        <w:t xml:space="preserve">9 </w:t>
      </w:r>
      <w:r>
        <w:rPr>
          <w:rFonts w:hint="default" w:ascii="Times New Roman Regular" w:hAnsi="Times New Roman Regular" w:cs="Times New Roman Regular"/>
          <w:color w:val="auto"/>
        </w:rPr>
        <w:t>产业政策适宜性分析</w:t>
      </w:r>
      <w:bookmarkEnd w:id="207"/>
      <w:bookmarkEnd w:id="208"/>
      <w:bookmarkEnd w:id="209"/>
      <w:bookmarkEnd w:id="210"/>
      <w:bookmarkEnd w:id="211"/>
      <w:bookmarkEnd w:id="212"/>
    </w:p>
    <w:p>
      <w:pPr>
        <w:spacing w:line="480" w:lineRule="exact"/>
        <w:ind w:firstLine="480" w:firstLineChars="200"/>
        <w:rPr>
          <w:rFonts w:hint="default" w:ascii="Times New Roman Regular" w:hAnsi="Times New Roman Regular" w:cs="Times New Roman Regular"/>
          <w:color w:val="auto"/>
        </w:rPr>
      </w:pPr>
      <w:bookmarkStart w:id="213" w:name="_Toc47618336"/>
      <w:r>
        <w:rPr>
          <w:rFonts w:hint="default" w:ascii="Times New Roman Regular" w:hAnsi="Times New Roman Regular" w:cs="Times New Roman Regular"/>
          <w:color w:val="auto"/>
        </w:rPr>
        <w:t>本项目为</w:t>
      </w:r>
      <w:r>
        <w:rPr>
          <w:rFonts w:hint="eastAsia" w:ascii="Times New Roman Regular" w:hAnsi="Times New Roman Regular" w:cs="Times New Roman Regular"/>
          <w:color w:val="auto"/>
          <w:lang w:val="en-US" w:eastAsia="zh-Hans"/>
        </w:rPr>
        <w:t>机电设备</w:t>
      </w:r>
      <w:r>
        <w:rPr>
          <w:rFonts w:hint="default" w:ascii="Times New Roman Regular" w:hAnsi="Times New Roman Regular" w:cs="Times New Roman Regular"/>
          <w:color w:val="auto"/>
          <w:lang w:val="en-US" w:eastAsia="zh-Hans"/>
        </w:rPr>
        <w:t>生产加工</w:t>
      </w:r>
      <w:r>
        <w:rPr>
          <w:rFonts w:hint="default" w:ascii="Times New Roman Regular" w:hAnsi="Times New Roman Regular" w:cs="Times New Roman Regular"/>
          <w:color w:val="auto"/>
        </w:rPr>
        <w:t>项目，根据《产业结构调整指导目录（2011 年本）（修正）》相关规定，本项目不属于国家鼓励类、限制类和淘汰类产业，属于允许类项目，因此本项目建设符合国家现行产业政策。</w:t>
      </w:r>
    </w:p>
    <w:p>
      <w:pPr>
        <w:pStyle w:val="4"/>
        <w:keepNext/>
        <w:keepLines/>
        <w:widowControl w:val="0"/>
        <w:spacing w:before="163" w:beforeLines="50" w:after="163" w:afterLines="50"/>
        <w:outlineLvl w:val="1"/>
        <w:rPr>
          <w:rFonts w:hint="default" w:ascii="Times New Roman Regular" w:hAnsi="Times New Roman Regular" w:cs="Times New Roman Regular"/>
          <w:bCs w:val="0"/>
          <w:color w:val="auto"/>
          <w:kern w:val="2"/>
        </w:rPr>
      </w:pPr>
      <w:bookmarkStart w:id="214" w:name="_Toc1774621910_WPSOffice_Level2"/>
      <w:bookmarkStart w:id="215" w:name="_Toc982617904"/>
      <w:r>
        <w:rPr>
          <w:rFonts w:hint="default" w:ascii="Times New Roman Regular" w:hAnsi="Times New Roman Regular" w:cs="Times New Roman Regular"/>
          <w:bCs w:val="0"/>
          <w:color w:val="auto"/>
          <w:kern w:val="2"/>
        </w:rPr>
        <w:t>5.10 选址合理性分析</w:t>
      </w:r>
      <w:bookmarkEnd w:id="213"/>
      <w:bookmarkEnd w:id="214"/>
      <w:bookmarkEnd w:id="215"/>
    </w:p>
    <w:p>
      <w:pPr>
        <w:pStyle w:val="128"/>
        <w:keepNext/>
        <w:spacing w:before="163" w:beforeLines="50"/>
        <w:outlineLvl w:val="2"/>
        <w:rPr>
          <w:rFonts w:hint="default" w:ascii="Times New Roman Regular" w:hAnsi="Times New Roman Regular" w:cs="Times New Roman Regular"/>
          <w:color w:val="auto"/>
        </w:rPr>
      </w:pPr>
      <w:bookmarkStart w:id="216" w:name="_Toc46314229"/>
      <w:bookmarkStart w:id="217" w:name="_Toc709867098"/>
      <w:bookmarkStart w:id="218" w:name="_Toc44272295"/>
      <w:bookmarkStart w:id="219" w:name="_Toc44275451"/>
      <w:bookmarkStart w:id="220" w:name="_Toc47618338"/>
      <w:r>
        <w:rPr>
          <w:rFonts w:hint="default" w:ascii="Times New Roman Regular" w:hAnsi="Times New Roman Regular" w:cs="Times New Roman Regular"/>
          <w:color w:val="auto"/>
        </w:rPr>
        <w:t>5.10.1 与周边环境相容性分析</w:t>
      </w:r>
      <w:bookmarkEnd w:id="216"/>
      <w:bookmarkEnd w:id="217"/>
      <w:bookmarkEnd w:id="218"/>
      <w:bookmarkEnd w:id="219"/>
      <w:bookmarkEnd w:id="220"/>
    </w:p>
    <w:p>
      <w:pPr>
        <w:pStyle w:val="10"/>
        <w:numPr>
          <w:ilvl w:val="0"/>
          <w:numId w:val="0"/>
        </w:numPr>
        <w:adjustRightInd w:val="0"/>
        <w:snapToGrid w:val="0"/>
        <w:ind w:firstLine="480" w:firstLineChars="200"/>
        <w:jc w:val="left"/>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项目位于</w:t>
      </w:r>
      <w:r>
        <w:rPr>
          <w:rFonts w:hint="default" w:ascii="Times New Roman Regular" w:hAnsi="Times New Roman Regular" w:cs="Times New Roman Regular"/>
          <w:color w:val="auto"/>
          <w:lang w:val="en-US" w:eastAsia="zh-Hans"/>
        </w:rPr>
        <w:t>青口投资区</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租赁</w:t>
      </w:r>
      <w:r>
        <w:rPr>
          <w:rFonts w:hint="default" w:ascii="Times New Roman Regular" w:hAnsi="Times New Roman Regular" w:cs="Times New Roman Regular"/>
          <w:color w:val="auto"/>
          <w:lang w:eastAsia="zh-Hans"/>
        </w:rPr>
        <w:t>福州东郁机械包装有限公司</w:t>
      </w:r>
      <w:r>
        <w:rPr>
          <w:rFonts w:hint="default" w:ascii="Times New Roman Regular" w:hAnsi="Times New Roman Regular" w:cs="Times New Roman Regular"/>
          <w:color w:val="auto"/>
          <w:lang w:val="en-US" w:eastAsia="zh-Hans"/>
        </w:rPr>
        <w:t>厂房</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项目北</w:t>
      </w:r>
      <w:r>
        <w:rPr>
          <w:rFonts w:hint="default" w:ascii="Times New Roman Regular" w:hAnsi="Times New Roman Regular" w:cs="Times New Roman Regular"/>
          <w:color w:val="auto"/>
        </w:rPr>
        <w:t>侧</w:t>
      </w:r>
      <w:r>
        <w:rPr>
          <w:rFonts w:hint="default" w:ascii="Times New Roman Regular" w:hAnsi="Times New Roman Regular" w:cs="Times New Roman Regular"/>
          <w:color w:val="auto"/>
          <w:lang w:val="en-US" w:eastAsia="zh-Hans"/>
        </w:rPr>
        <w:t>隔</w:t>
      </w:r>
      <w:r>
        <w:rPr>
          <w:rFonts w:hint="default" w:ascii="Times New Roman Regular" w:hAnsi="Times New Roman Regular" w:cs="Times New Roman Regular"/>
          <w:color w:val="auto"/>
          <w:lang w:eastAsia="zh-Hans"/>
        </w:rPr>
        <w:t>104</w:t>
      </w:r>
      <w:r>
        <w:rPr>
          <w:rFonts w:hint="default" w:ascii="Times New Roman Regular" w:hAnsi="Times New Roman Regular" w:cs="Times New Roman Regular"/>
          <w:color w:val="auto"/>
          <w:lang w:val="en-US" w:eastAsia="zh-Hans"/>
        </w:rPr>
        <w:t>国道为</w:t>
      </w:r>
      <w:r>
        <w:rPr>
          <w:rFonts w:hint="default" w:ascii="Times New Roman Regular" w:hAnsi="Times New Roman Regular" w:cs="Times New Roman Regular"/>
          <w:color w:val="auto"/>
        </w:rPr>
        <w:t>福州小糸大亿车灯有限公司，东侧为</w:t>
      </w:r>
      <w:r>
        <w:rPr>
          <w:rFonts w:hint="default" w:ascii="Times New Roman Regular" w:hAnsi="Times New Roman Regular" w:cs="Times New Roman Regular"/>
          <w:color w:val="auto"/>
          <w:lang w:val="en-US" w:eastAsia="zh-Hans"/>
        </w:rPr>
        <w:t>福州新易制模有限公司</w:t>
      </w:r>
      <w:r>
        <w:rPr>
          <w:rFonts w:hint="default" w:ascii="Times New Roman Regular" w:hAnsi="Times New Roman Regular" w:cs="Times New Roman Regular"/>
          <w:color w:val="auto"/>
        </w:rPr>
        <w:t>，</w:t>
      </w:r>
      <w:r>
        <w:rPr>
          <w:rFonts w:hint="default" w:ascii="Times New Roman Regular" w:hAnsi="Times New Roman Regular" w:cs="Times New Roman Regular"/>
          <w:color w:val="auto"/>
          <w:lang w:val="en-US" w:eastAsia="zh-Hans"/>
        </w:rPr>
        <w:t>南侧为福州泰鸿机械有限公司</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西侧隔东长路为正道汽车配件</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有限公司</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rPr>
        <w:t>项目四周以工业企业为主，卫生防护距离内无环境敏感目标。周边企业污染物排放可实现厂界达标，对本项目的正常生产影响很小，项目在此生产基本可行，其建设与周围环境基本相容。</w:t>
      </w:r>
      <w:r>
        <w:rPr>
          <w:rFonts w:hint="default" w:ascii="Times New Roman Regular" w:hAnsi="Times New Roman Regular" w:cs="Times New Roman Regular"/>
          <w:color w:val="auto"/>
          <w:sz w:val="23"/>
        </w:rPr>
        <w:t xml:space="preserve"> </w:t>
      </w:r>
    </w:p>
    <w:p>
      <w:pPr>
        <w:pStyle w:val="128"/>
        <w:keepNext/>
        <w:spacing w:before="163" w:beforeLines="50"/>
        <w:outlineLvl w:val="2"/>
        <w:rPr>
          <w:rFonts w:hint="default" w:ascii="Times New Roman Regular" w:hAnsi="Times New Roman Regular" w:cs="Times New Roman Regular"/>
          <w:color w:val="auto"/>
        </w:rPr>
      </w:pPr>
      <w:bookmarkStart w:id="221" w:name="_Toc44275452"/>
      <w:bookmarkStart w:id="222" w:name="_Toc46314230"/>
      <w:bookmarkStart w:id="223" w:name="_Toc47618339"/>
      <w:bookmarkStart w:id="224" w:name="_Toc44272296"/>
      <w:bookmarkStart w:id="225" w:name="_Toc1464657001"/>
      <w:r>
        <w:rPr>
          <w:rFonts w:hint="default" w:ascii="Times New Roman Regular" w:hAnsi="Times New Roman Regular" w:cs="Times New Roman Regular"/>
          <w:color w:val="auto"/>
        </w:rPr>
        <w:t xml:space="preserve">5.10.2 </w:t>
      </w:r>
      <w:bookmarkEnd w:id="221"/>
      <w:bookmarkEnd w:id="222"/>
      <w:bookmarkEnd w:id="223"/>
      <w:bookmarkEnd w:id="224"/>
      <w:r>
        <w:rPr>
          <w:rFonts w:hint="default" w:ascii="Times New Roman Regular" w:hAnsi="Times New Roman Regular" w:cs="Times New Roman Regular"/>
          <w:bCs/>
          <w:color w:val="auto"/>
        </w:rPr>
        <w:t>功能区划符合性分析</w:t>
      </w:r>
      <w:bookmarkEnd w:id="225"/>
    </w:p>
    <w:p>
      <w:pPr>
        <w:spacing w:line="480" w:lineRule="exact"/>
        <w:ind w:firstLine="480" w:firstLineChars="200"/>
        <w:rPr>
          <w:rFonts w:hint="default" w:ascii="Times New Roman Regular" w:hAnsi="Times New Roman Regular" w:cs="Times New Roman Regular"/>
          <w:color w:val="auto"/>
        </w:rPr>
      </w:pPr>
      <w:bookmarkStart w:id="226" w:name="_Toc31501"/>
      <w:bookmarkStart w:id="227" w:name="_Toc47618341"/>
      <w:r>
        <w:rPr>
          <w:rFonts w:hint="default" w:ascii="Times New Roman Regular" w:hAnsi="Times New Roman Regular" w:cs="Times New Roman Regular"/>
          <w:color w:val="auto"/>
        </w:rPr>
        <w:t>（1）项目位于</w:t>
      </w:r>
      <w:r>
        <w:rPr>
          <w:rFonts w:hint="default" w:ascii="Times New Roman Regular" w:hAnsi="Times New Roman Regular" w:cs="Times New Roman Regular"/>
          <w:color w:val="auto"/>
          <w:lang w:val="en-US" w:eastAsia="zh-Hans"/>
        </w:rPr>
        <w:t>青口投资区</w:t>
      </w:r>
      <w:r>
        <w:rPr>
          <w:rFonts w:hint="default" w:ascii="Times New Roman Regular" w:hAnsi="Times New Roman Regular" w:cs="Times New Roman Regular"/>
          <w:color w:val="auto"/>
        </w:rPr>
        <w:t>，在</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青口新区污水处理厂规划的服务范围内，项目生活污水经化粪池处理后纳入</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青口新区污水处理厂处理。项目排放废水量较少，水质简单，对纳污水域影响较小，不影响水环境达功能区标准。因此项目排水符合</w:t>
      </w:r>
      <w:r>
        <w:rPr>
          <w:rFonts w:hint="default" w:ascii="Times New Roman Regular" w:hAnsi="Times New Roman Regular" w:cs="Times New Roman Regular"/>
          <w:color w:val="auto"/>
          <w:lang w:val="en-US" w:eastAsia="zh-Hans"/>
        </w:rPr>
        <w:t>青口投资区</w:t>
      </w:r>
      <w:r>
        <w:rPr>
          <w:rFonts w:hint="default" w:ascii="Times New Roman Regular" w:hAnsi="Times New Roman Regular" w:cs="Times New Roman Regular"/>
          <w:color w:val="auto"/>
        </w:rPr>
        <w:t>排污规划要求。</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（2）评价区环境空气现状质量较好，项目正常生产运营阶段，区域大气环境质量仍能满足大气环境功能区划要求，故项目选址与大气环境功能区划相适应。</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（3）评价区声环境质量良好，符合《声环境质量标准》（GB3096-2008）3类、4a类标准要求，生产噪声经厂房隔声、距离衰减后周边环境影响不大。故项目选址与声环境功能区划相适应。</w:t>
      </w:r>
    </w:p>
    <w:p>
      <w:pPr>
        <w:pStyle w:val="128"/>
        <w:keepNext/>
        <w:spacing w:before="163" w:beforeLines="50"/>
        <w:outlineLvl w:val="2"/>
        <w:rPr>
          <w:rFonts w:hint="default" w:ascii="Times New Roman Regular" w:hAnsi="Times New Roman Regular" w:cs="Times New Roman Regular"/>
          <w:bCs/>
          <w:color w:val="auto"/>
        </w:rPr>
      </w:pPr>
      <w:bookmarkStart w:id="228" w:name="_Toc2032653893"/>
      <w:r>
        <w:rPr>
          <w:rFonts w:hint="default" w:ascii="Times New Roman Regular" w:hAnsi="Times New Roman Regular" w:cs="Times New Roman Regular"/>
          <w:color w:val="auto"/>
        </w:rPr>
        <w:t xml:space="preserve">5.10.3 </w:t>
      </w:r>
      <w:r>
        <w:rPr>
          <w:rFonts w:hint="default" w:ascii="Times New Roman Regular" w:hAnsi="Times New Roman Regular" w:cs="Times New Roman Regular"/>
          <w:bCs/>
          <w:color w:val="auto"/>
        </w:rPr>
        <w:t>城市土地利用规划符合性分析</w:t>
      </w:r>
      <w:bookmarkEnd w:id="228"/>
    </w:p>
    <w:p>
      <w:pPr>
        <w:spacing w:line="480" w:lineRule="exact"/>
        <w:ind w:firstLine="480" w:firstLineChars="200"/>
        <w:rPr>
          <w:rFonts w:hint="default" w:ascii="Times New Roman Regular" w:hAnsi="Times New Roman Regular" w:cs="Times New Roman Regular"/>
          <w:color w:val="FF0000"/>
          <w:lang w:val="en-US" w:eastAsia="zh-CN"/>
        </w:rPr>
      </w:pPr>
      <w:r>
        <w:rPr>
          <w:rFonts w:hint="default" w:ascii="Times New Roman Regular" w:hAnsi="Times New Roman Regular" w:cs="Times New Roman Regular"/>
          <w:color w:val="auto"/>
          <w:szCs w:val="21"/>
        </w:rPr>
        <w:t>根据建设单位提供的土地证（</w:t>
      </w:r>
      <w:r>
        <w:rPr>
          <w:rFonts w:hint="default" w:ascii="Times New Roman Regular" w:hAnsi="Times New Roman Regular" w:cs="Times New Roman Regular"/>
          <w:color w:val="auto"/>
          <w:szCs w:val="21"/>
          <w:lang w:val="en-US" w:eastAsia="zh-Hans"/>
        </w:rPr>
        <w:t>侯</w:t>
      </w:r>
      <w:r>
        <w:rPr>
          <w:rFonts w:hint="default" w:ascii="Times New Roman Regular" w:hAnsi="Times New Roman Regular" w:cs="Times New Roman Regular"/>
          <w:color w:val="auto"/>
          <w:szCs w:val="21"/>
        </w:rPr>
        <w:t>（</w:t>
      </w:r>
      <w:r>
        <w:rPr>
          <w:rFonts w:hint="default" w:ascii="Times New Roman Regular" w:hAnsi="Times New Roman Regular" w:cs="Times New Roman Regular"/>
          <w:color w:val="auto"/>
          <w:szCs w:val="21"/>
          <w:lang w:val="en-US" w:eastAsia="zh-Hans"/>
        </w:rPr>
        <w:t>房权证H字</w:t>
      </w:r>
      <w:r>
        <w:rPr>
          <w:rFonts w:hint="default" w:ascii="Times New Roman Regular" w:hAnsi="Times New Roman Regular" w:cs="Times New Roman Regular"/>
          <w:color w:val="auto"/>
          <w:szCs w:val="21"/>
        </w:rPr>
        <w:t>第0100700号））（见附件5），项目用地规划为工业用地。根据《</w:t>
      </w:r>
      <w:r>
        <w:rPr>
          <w:rFonts w:hint="default" w:ascii="Times New Roman Regular" w:hAnsi="Times New Roman Regular" w:cs="Times New Roman Regular"/>
          <w:color w:val="auto"/>
          <w:szCs w:val="21"/>
          <w:lang w:val="en-US" w:eastAsia="zh-Hans"/>
        </w:rPr>
        <w:t>福州市闽侯县青口镇总体规划</w:t>
      </w:r>
      <w:r>
        <w:rPr>
          <w:rFonts w:hint="default" w:ascii="Times New Roman Regular" w:hAnsi="Times New Roman Regular" w:cs="Times New Roman Regular"/>
          <w:color w:val="auto"/>
          <w:szCs w:val="21"/>
        </w:rPr>
        <w:t>（2011-2030）》（</w:t>
      </w:r>
      <w:r>
        <w:rPr>
          <w:rFonts w:hint="default" w:ascii="Times New Roman Regular" w:hAnsi="Times New Roman Regular" w:cs="Times New Roman Regular"/>
          <w:color w:val="auto"/>
          <w:szCs w:val="21"/>
          <w:lang w:val="en-US" w:eastAsia="zh-Hans"/>
        </w:rPr>
        <w:t>详见图</w:t>
      </w:r>
      <w:r>
        <w:rPr>
          <w:rFonts w:hint="default" w:ascii="Times New Roman Regular" w:hAnsi="Times New Roman Regular" w:cs="Times New Roman Regular"/>
          <w:color w:val="auto"/>
          <w:szCs w:val="21"/>
          <w:lang w:eastAsia="zh-Hans"/>
        </w:rPr>
        <w:t>5</w:t>
      </w:r>
      <w:r>
        <w:rPr>
          <w:rFonts w:hint="default" w:ascii="Times New Roman Regular" w:hAnsi="Times New Roman Regular" w:cs="Times New Roman Regular"/>
          <w:color w:val="auto"/>
          <w:szCs w:val="21"/>
          <w:lang w:val="en-US" w:eastAsia="zh-Hans"/>
        </w:rPr>
        <w:t>.</w:t>
      </w:r>
      <w:r>
        <w:rPr>
          <w:rFonts w:hint="default" w:ascii="Times New Roman Regular" w:hAnsi="Times New Roman Regular" w:cs="Times New Roman Regular"/>
          <w:color w:val="auto"/>
          <w:szCs w:val="21"/>
          <w:lang w:eastAsia="zh-Hans"/>
        </w:rPr>
        <w:t>10-1）</w:t>
      </w:r>
      <w:r>
        <w:rPr>
          <w:rFonts w:hint="default" w:ascii="Times New Roman Regular" w:hAnsi="Times New Roman Regular" w:cs="Times New Roman Regular"/>
          <w:color w:val="auto"/>
          <w:szCs w:val="21"/>
        </w:rPr>
        <w:t>，本项目所在地规划为二类工业用地，因此项目建设符合土地利用规划要求。</w:t>
      </w:r>
    </w:p>
    <w:p>
      <w:pPr>
        <w:pStyle w:val="128"/>
        <w:keepNext/>
        <w:spacing w:before="163" w:beforeLines="50"/>
        <w:outlineLvl w:val="2"/>
        <w:rPr>
          <w:rFonts w:hint="default" w:ascii="Times New Roman Regular" w:hAnsi="Times New Roman Regular" w:cs="Times New Roman Regular"/>
          <w:color w:val="auto"/>
        </w:rPr>
      </w:pPr>
      <w:bookmarkStart w:id="229" w:name="_Toc644123175"/>
      <w:r>
        <w:rPr>
          <w:rFonts w:hint="default" w:ascii="Times New Roman Regular" w:hAnsi="Times New Roman Regular" w:cs="Times New Roman Regular"/>
          <w:color w:val="auto"/>
        </w:rPr>
        <w:t>5.10.4小结</w:t>
      </w:r>
      <w:bookmarkEnd w:id="229"/>
    </w:p>
    <w:p>
      <w:pPr>
        <w:spacing w:line="480" w:lineRule="exact"/>
        <w:ind w:firstLine="480" w:firstLineChars="200"/>
        <w:rPr>
          <w:rFonts w:hint="default" w:ascii="Times New Roman Regular" w:hAnsi="Times New Roman Regular" w:cs="Times New Roman Regular"/>
          <w:bCs/>
          <w:color w:val="auto"/>
        </w:rPr>
      </w:pPr>
      <w:r>
        <w:rPr>
          <w:rFonts w:hint="default" w:ascii="Times New Roman Regular" w:hAnsi="Times New Roman Regular" w:cs="Times New Roman Regular"/>
          <w:color w:val="auto"/>
          <w:szCs w:val="21"/>
        </w:rPr>
        <w:t>综上，项目建设运营符合当地规划要求，与周边环境可相适宜，符合区域环境功能区划要求。</w:t>
      </w:r>
    </w:p>
    <w:p>
      <w:pPr>
        <w:pStyle w:val="10"/>
        <w:widowControl w:val="0"/>
        <w:numPr>
          <w:ilvl w:val="4"/>
          <w:numId w:val="0"/>
        </w:numPr>
        <w:jc w:val="center"/>
        <w:rPr>
          <w:rFonts w:hint="default" w:ascii="Times New Roman Regular" w:hAnsi="Times New Roman Regular" w:cs="Times New Roman Regular"/>
          <w:color w:val="FF0000"/>
        </w:rPr>
      </w:pPr>
      <w:r>
        <w:rPr>
          <w:rFonts w:hint="default" w:ascii="Times New Roman Regular" w:hAnsi="Times New Roman Regular" w:cs="Times New Roman Regular"/>
          <w:color w:val="FF0000"/>
          <w:sz w:val="24"/>
        </w:rPr>
        <mc:AlternateContent>
          <mc:Choice Requires="wps">
            <w:drawing>
              <wp:anchor distT="0" distB="0" distL="114300" distR="114300" simplePos="0" relativeHeight="252188672" behindDoc="0" locked="0" layoutInCell="1" allowOverlap="1">
                <wp:simplePos x="0" y="0"/>
                <wp:positionH relativeFrom="column">
                  <wp:posOffset>3006725</wp:posOffset>
                </wp:positionH>
                <wp:positionV relativeFrom="paragraph">
                  <wp:posOffset>4407535</wp:posOffset>
                </wp:positionV>
                <wp:extent cx="175260" cy="175260"/>
                <wp:effectExtent l="19050" t="21590" r="34290" b="31750"/>
                <wp:wrapNone/>
                <wp:docPr id="77" name="五角星 77"/>
                <wp:cNvGraphicFramePr/>
                <a:graphic xmlns:a="http://schemas.openxmlformats.org/drawingml/2006/main">
                  <a:graphicData uri="http://schemas.microsoft.com/office/word/2010/wordprocessingShape">
                    <wps:wsp>
                      <wps:cNvSpPr/>
                      <wps:spPr>
                        <a:xfrm>
                          <a:off x="4237355" y="6294120"/>
                          <a:ext cx="175260" cy="175260"/>
                        </a:xfrm>
                        <a:prstGeom prst="star5">
                          <a:avLst/>
                        </a:prstGeom>
                        <a:solidFill>
                          <a:srgbClr val="FF0000"/>
                        </a:solid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6.75pt;margin-top:347.05pt;height:13.8pt;width:13.8pt;z-index:252188672;v-text-anchor:middle;mso-width-relative:page;mso-height-relative:page;" fillcolor="#FF0000" filled="t" stroked="t" coordsize="175260,175260" o:gfxdata="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JWJGObaAAAACwEAAA8AAAAAAAAA&#10;AQAgAAAAIgAAAGRycy9kb3ducmV2LnhtbFBLAQIUABQAAAAIAIdO4kA5KlPYgQIAAAUFAAAOAAAA&#10;AAAAAAEAIAAAACkBAABkcnMvZTJvRG9jLnhtbFBLBQYAAAAABgAGAFkBAAAcBgAAAAA=&#10;" path="m0,66943l66943,66943,87630,0,108316,66943,175259,66943,121101,108316,141788,175259,87630,133885,33471,175259,54158,108316xe">
                <v:path o:connectlocs="87630,0;0,66943;33471,175259;141788,175259;175259,66943" o:connectangles="247,164,82,82,0"/>
                <v:fill on="t" focussize="0,0"/>
                <v:stroke weight="1pt" color="#000000 [3213]" miterlimit="8" joinstyle="miter"/>
                <v:imagedata o:title=""/>
                <o:lock v:ext="edit" aspectratio="f"/>
              </v:shap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2118016" behindDoc="0" locked="0" layoutInCell="1" allowOverlap="1">
                <wp:simplePos x="0" y="0"/>
                <wp:positionH relativeFrom="column">
                  <wp:posOffset>3869690</wp:posOffset>
                </wp:positionH>
                <wp:positionV relativeFrom="paragraph">
                  <wp:posOffset>2940685</wp:posOffset>
                </wp:positionV>
                <wp:extent cx="1110615" cy="339090"/>
                <wp:effectExtent l="793750" t="6350" r="26035" b="1254760"/>
                <wp:wrapNone/>
                <wp:docPr id="7" name="矩形标注 7"/>
                <wp:cNvGraphicFramePr/>
                <a:graphic xmlns:a="http://schemas.openxmlformats.org/drawingml/2006/main">
                  <a:graphicData uri="http://schemas.microsoft.com/office/word/2010/wordprocessingShape">
                    <wps:wsp>
                      <wps:cNvSpPr/>
                      <wps:spPr>
                        <a:xfrm>
                          <a:off x="0" y="0"/>
                          <a:ext cx="1110615" cy="339090"/>
                        </a:xfrm>
                        <a:prstGeom prst="wedgeRectCallout">
                          <a:avLst>
                            <a:gd name="adj1" fmla="val -118210"/>
                            <a:gd name="adj2" fmla="val 404307"/>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本项目所在地</w:t>
                            </w:r>
                          </w:p>
                        </w:txbxContent>
                      </wps:txbx>
                      <wps:bodyPr upright="1"/>
                    </wps:wsp>
                  </a:graphicData>
                </a:graphic>
              </wp:anchor>
            </w:drawing>
          </mc:Choice>
          <mc:Fallback>
            <w:pict>
              <v:shape id="_x0000_s1026" o:spid="_x0000_s1026" o:spt="61" type="#_x0000_t61" style="position:absolute;left:0pt;margin-left:304.7pt;margin-top:231.55pt;height:26.7pt;width:87.45pt;z-index:252118016;mso-width-relative:page;mso-height-relative:page;" fillcolor="#FFFFFF" filled="t" stroked="t" coordsize="21600,21600" o:gfxdata="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&#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IPXaHaAAAACwEAAA8AAAAAAAAAAQAgAAAAIgAAAGRy&#10;cy9kb3ducmV2LnhtbFBLAQIUABQAAAAIAIdO4kBsI1qNPAIAAI8EAAAOAAAAAAAAAAEAIAAAACkB&#10;AABkcnMvZTJvRG9jLnhtbFBLBQYAAAAABgAGAFkBAADXBQAAAAA=&#10;" adj="-14733,98130">
                <v:fill on="t" focussize="0,0"/>
                <v:stroke color="#000000" joinstyle="miter"/>
                <v:imagedata o:title=""/>
                <o:lock v:ext="edit" aspectratio="f"/>
                <v:textbox>
                  <w:txbxContent>
                    <w:p>
                      <w:r>
                        <w:rPr>
                          <w:rFonts w:hint="eastAsia"/>
                        </w:rPr>
                        <w:t>本项目所在地</w:t>
                      </w:r>
                    </w:p>
                  </w:txbxContent>
                </v:textbox>
              </v:shape>
            </w:pict>
          </mc:Fallback>
        </mc:AlternateContent>
      </w:r>
      <w:r>
        <w:rPr>
          <w:rFonts w:hint="default" w:ascii="Times New Roman Regular" w:hAnsi="Times New Roman Regular" w:cs="Times New Roman Regular"/>
          <w:color w:val="FF0000"/>
        </w:rPr>
        <w:drawing>
          <wp:inline distT="0" distB="0" distL="114300" distR="114300">
            <wp:extent cx="5269865" cy="7452995"/>
            <wp:effectExtent l="0" t="0" r="13335" b="14605"/>
            <wp:docPr id="3" name="图片 3" descr="青口镇总体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青口镇总体规划"/>
                    <pic:cNvPicPr>
                      <a:picLocks noChangeAspect="1"/>
                    </pic:cNvPicPr>
                  </pic:nvPicPr>
                  <pic:blipFill>
                    <a:blip r:embed="rId17"/>
                    <a:stretch>
                      <a:fillRect/>
                    </a:stretch>
                  </pic:blipFill>
                  <pic:spPr>
                    <a:xfrm>
                      <a:off x="0" y="0"/>
                      <a:ext cx="5269865" cy="7452995"/>
                    </a:xfrm>
                    <a:prstGeom prst="rect">
                      <a:avLst/>
                    </a:prstGeom>
                  </pic:spPr>
                </pic:pic>
              </a:graphicData>
            </a:graphic>
          </wp:inline>
        </w:drawing>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图5.10-1《</w:t>
      </w:r>
      <w:r>
        <w:rPr>
          <w:rFonts w:hint="default" w:ascii="Times New Roman Regular" w:hAnsi="Times New Roman Regular" w:cs="Times New Roman Regular"/>
          <w:b/>
          <w:color w:val="auto"/>
          <w:lang w:val="en-US" w:eastAsia="zh-Hans"/>
        </w:rPr>
        <w:t>福州市闽侯县青口镇</w:t>
      </w:r>
      <w:r>
        <w:rPr>
          <w:rFonts w:hint="default" w:ascii="Times New Roman Regular" w:hAnsi="Times New Roman Regular" w:cs="Times New Roman Regular"/>
          <w:b/>
          <w:color w:val="auto"/>
        </w:rPr>
        <w:t>总体规划（2011-2030）》</w:t>
      </w:r>
    </w:p>
    <w:p>
      <w:pPr>
        <w:pStyle w:val="128"/>
        <w:keepNext/>
        <w:spacing w:before="163" w:beforeLines="50"/>
        <w:outlineLvl w:val="9"/>
        <w:rPr>
          <w:rFonts w:hint="default" w:ascii="Times New Roman Regular" w:hAnsi="Times New Roman Regular" w:cs="Times New Roman Regular"/>
          <w:bCs/>
          <w:color w:val="FF0000"/>
        </w:rPr>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pPr>
        <w:pStyle w:val="4"/>
        <w:keepNext/>
        <w:keepLines/>
        <w:widowControl w:val="0"/>
        <w:spacing w:before="156" w:beforeLines="50" w:after="156" w:afterLines="50"/>
        <w:outlineLvl w:val="1"/>
        <w:rPr>
          <w:rFonts w:hint="default" w:ascii="Times New Roman Regular" w:hAnsi="Times New Roman Regular" w:cs="Times New Roman Regular"/>
          <w:bCs w:val="0"/>
          <w:color w:val="auto"/>
          <w:kern w:val="2"/>
        </w:rPr>
      </w:pPr>
      <w:bookmarkStart w:id="230" w:name="_Toc313137698"/>
      <w:bookmarkStart w:id="231" w:name="_Toc1817551834_WPSOffice_Level2"/>
      <w:r>
        <w:rPr>
          <w:rFonts w:hint="default" w:ascii="Times New Roman Regular" w:hAnsi="Times New Roman Regular" w:cs="Times New Roman Regular"/>
          <w:bCs w:val="0"/>
          <w:color w:val="auto"/>
          <w:kern w:val="2"/>
        </w:rPr>
        <w:t xml:space="preserve">5.11  </w:t>
      </w:r>
      <w:bookmarkEnd w:id="226"/>
      <w:r>
        <w:rPr>
          <w:rFonts w:hint="default" w:ascii="Times New Roman Regular" w:hAnsi="Times New Roman Regular" w:cs="Times New Roman Regular"/>
          <w:color w:val="auto"/>
        </w:rPr>
        <w:t>“三线一单”控制要求符合性分析</w:t>
      </w:r>
      <w:bookmarkEnd w:id="227"/>
      <w:bookmarkEnd w:id="230"/>
      <w:bookmarkEnd w:id="231"/>
    </w:p>
    <w:p>
      <w:pPr>
        <w:spacing w:line="480" w:lineRule="exact"/>
        <w:ind w:firstLine="480" w:firstLineChars="200"/>
        <w:rPr>
          <w:rFonts w:hint="default" w:ascii="Times New Roman Regular" w:hAnsi="Times New Roman Regular" w:cs="Times New Roman Regular"/>
          <w:color w:val="auto"/>
          <w:szCs w:val="21"/>
        </w:rPr>
      </w:pPr>
      <w:r>
        <w:rPr>
          <w:rFonts w:hint="default" w:ascii="Times New Roman Regular" w:hAnsi="Times New Roman Regular" w:cs="Times New Roman Regular"/>
          <w:color w:val="auto"/>
          <w:szCs w:val="21"/>
        </w:rPr>
        <w:t>本项目与“三线一单”文件符合性分析具体见表5.11-1。</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表5.11-1 项目与“三线一单”文件相符性分析</w:t>
      </w:r>
    </w:p>
    <w:tbl>
      <w:tblPr>
        <w:tblStyle w:val="37"/>
        <w:tblW w:w="902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1134"/>
        <w:gridCol w:w="5954"/>
        <w:gridCol w:w="8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“通知”文号</w:t>
            </w:r>
          </w:p>
        </w:tc>
        <w:tc>
          <w:tcPr>
            <w:tcW w:w="1134"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类别</w:t>
            </w:r>
          </w:p>
        </w:tc>
        <w:tc>
          <w:tcPr>
            <w:tcW w:w="5954"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项目与“三线一单”相符性分析</w:t>
            </w:r>
          </w:p>
        </w:tc>
        <w:tc>
          <w:tcPr>
            <w:tcW w:w="803"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Merge w:val="restart"/>
            <w:vAlign w:val="center"/>
          </w:tcPr>
          <w:p>
            <w:pPr>
              <w:pStyle w:val="136"/>
              <w:spacing w:line="276" w:lineRule="auto"/>
              <w:rPr>
                <w:rFonts w:hint="default" w:ascii="Times New Roman Regular" w:hAnsi="Times New Roman Regular" w:cs="Times New Roman Regular"/>
                <w:color w:val="auto"/>
                <w:szCs w:val="20"/>
              </w:rPr>
            </w:pPr>
          </w:p>
          <w:p>
            <w:pPr>
              <w:widowControl w:val="0"/>
              <w:jc w:val="center"/>
              <w:rPr>
                <w:rFonts w:hint="default" w:ascii="Times New Roman Regular" w:hAnsi="Times New Roman Regular" w:cs="Times New Roman Regular"/>
                <w:color w:val="auto"/>
                <w:sz w:val="20"/>
                <w:szCs w:val="20"/>
              </w:rPr>
            </w:pPr>
          </w:p>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《“十三五”环境影响评价改革实施方案》（环环评[2016]95号）</w:t>
            </w:r>
          </w:p>
        </w:tc>
        <w:tc>
          <w:tcPr>
            <w:tcW w:w="1134"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生态保护红线</w:t>
            </w:r>
          </w:p>
        </w:tc>
        <w:tc>
          <w:tcPr>
            <w:tcW w:w="5954"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项目位于</w:t>
            </w:r>
            <w:r>
              <w:rPr>
                <w:rFonts w:hint="default" w:ascii="Times New Roman Regular" w:hAnsi="Times New Roman Regular" w:cs="Times New Roman Regular"/>
                <w:color w:val="auto"/>
                <w:szCs w:val="20"/>
                <w:lang w:val="en-US" w:eastAsia="zh-Hans"/>
              </w:rPr>
              <w:t>青口投资</w:t>
            </w:r>
            <w:r>
              <w:rPr>
                <w:rFonts w:hint="default" w:ascii="Times New Roman Regular" w:hAnsi="Times New Roman Regular" w:cs="Times New Roman Regular"/>
                <w:color w:val="auto"/>
                <w:szCs w:val="20"/>
              </w:rPr>
              <w:t>区，根据</w:t>
            </w:r>
            <w:r>
              <w:rPr>
                <w:rFonts w:hint="default" w:ascii="Times New Roman Regular" w:hAnsi="Times New Roman Regular" w:cs="Times New Roman Regular"/>
                <w:color w:val="auto"/>
                <w:szCs w:val="20"/>
                <w:lang w:val="en-US" w:eastAsia="zh-Hans"/>
              </w:rPr>
              <w:t>福州</w:t>
            </w:r>
            <w:r>
              <w:rPr>
                <w:rFonts w:hint="default" w:ascii="Times New Roman Regular" w:hAnsi="Times New Roman Regular" w:cs="Times New Roman Regular"/>
                <w:color w:val="auto"/>
                <w:szCs w:val="20"/>
              </w:rPr>
              <w:t>市</w:t>
            </w:r>
            <w:r>
              <w:rPr>
                <w:rFonts w:hint="default" w:ascii="Times New Roman Regular" w:hAnsi="Times New Roman Regular" w:cs="Times New Roman Regular"/>
                <w:color w:val="auto"/>
                <w:szCs w:val="20"/>
                <w:lang w:val="en-US" w:eastAsia="zh-Hans"/>
              </w:rPr>
              <w:t>闽侯县青口镇</w:t>
            </w:r>
            <w:r>
              <w:rPr>
                <w:rFonts w:hint="default" w:ascii="Times New Roman Regular" w:hAnsi="Times New Roman Regular" w:cs="Times New Roman Regular"/>
                <w:color w:val="auto"/>
                <w:szCs w:val="20"/>
              </w:rPr>
              <w:t>城市总体规划，项目选址不涉及自然保护区、风景名胜区、重要湿地、生态公益林、重要自然与人文景观、文物古迹及其他需要特别保护的区域，项目用地红线不在饮用水源保护区范围内。项目选址符合生态保护红线要求。</w:t>
            </w:r>
          </w:p>
        </w:tc>
        <w:tc>
          <w:tcPr>
            <w:tcW w:w="803"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Merge w:val="continue"/>
            <w:vAlign w:val="center"/>
          </w:tcPr>
          <w:p>
            <w:pPr>
              <w:pStyle w:val="136"/>
              <w:spacing w:line="276" w:lineRule="auto"/>
              <w:rPr>
                <w:rFonts w:hint="default" w:ascii="Times New Roman Regular" w:hAnsi="Times New Roman Regular" w:cs="Times New Roman Regular"/>
                <w:color w:val="auto"/>
                <w:szCs w:val="20"/>
              </w:rPr>
            </w:pPr>
          </w:p>
        </w:tc>
        <w:tc>
          <w:tcPr>
            <w:tcW w:w="1134"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环境质量底线</w:t>
            </w:r>
          </w:p>
        </w:tc>
        <w:tc>
          <w:tcPr>
            <w:tcW w:w="5954"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项目所在区域的环境质量底线为：大气环境质量目标为《环境空气质量标准》（GB3095-2012）及其修改单二级标准；地表水环境目标为《地表水环境质量标准》（GB3838-2002）III类标准；声环境质量目标为《声环境质量标准》（GB3096-2008）3类标准。根据项目所在地环境质量现状调查和污染排放影响预测可知，本项目运营后对区域内环境影响较小，环境质量可以保持现有水平，不会对区域环境质量底线造成冲击。</w:t>
            </w:r>
          </w:p>
        </w:tc>
        <w:tc>
          <w:tcPr>
            <w:tcW w:w="803"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Merge w:val="continue"/>
            <w:vAlign w:val="center"/>
          </w:tcPr>
          <w:p>
            <w:pPr>
              <w:pStyle w:val="136"/>
              <w:spacing w:line="276" w:lineRule="auto"/>
              <w:rPr>
                <w:rFonts w:hint="default" w:ascii="Times New Roman Regular" w:hAnsi="Times New Roman Regular" w:cs="Times New Roman Regular"/>
                <w:color w:val="auto"/>
                <w:szCs w:val="20"/>
              </w:rPr>
            </w:pPr>
          </w:p>
        </w:tc>
        <w:tc>
          <w:tcPr>
            <w:tcW w:w="1134"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资源利用上线</w:t>
            </w:r>
          </w:p>
        </w:tc>
        <w:tc>
          <w:tcPr>
            <w:tcW w:w="5954"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项目用水、用电为区域集中供应，项目运行过程通过内部管理、设备选择、原辅材料的选用和管理、废物回收利用、污染治理等多方面采取合理可行的防治措施，以“节能、降耗、减污”为目标，有效的控制污染。项目的水、气等资源利用不会突破区域的资源利用上线。</w:t>
            </w:r>
          </w:p>
        </w:tc>
        <w:tc>
          <w:tcPr>
            <w:tcW w:w="803" w:type="dxa"/>
            <w:vAlign w:val="center"/>
          </w:tcPr>
          <w:p>
            <w:pPr>
              <w:widowControl w:val="0"/>
              <w:spacing w:line="240" w:lineRule="auto"/>
              <w:jc w:val="center"/>
              <w:rPr>
                <w:rFonts w:hint="default" w:ascii="Times New Roman Regular" w:hAnsi="Times New Roman Regular" w:cs="Times New Roman Regular"/>
                <w:color w:val="auto"/>
                <w:sz w:val="21"/>
                <w:szCs w:val="20"/>
              </w:rPr>
            </w:pPr>
          </w:p>
          <w:p>
            <w:pPr>
              <w:widowControl w:val="0"/>
              <w:spacing w:line="240" w:lineRule="auto"/>
              <w:jc w:val="center"/>
              <w:rPr>
                <w:rFonts w:hint="default" w:ascii="Times New Roman Regular" w:hAnsi="Times New Roman Regular" w:cs="Times New Roman Regular"/>
                <w:color w:val="auto"/>
                <w:sz w:val="21"/>
                <w:szCs w:val="20"/>
              </w:rPr>
            </w:pPr>
          </w:p>
          <w:p>
            <w:pPr>
              <w:widowControl w:val="0"/>
              <w:spacing w:line="240" w:lineRule="auto"/>
              <w:jc w:val="center"/>
              <w:rPr>
                <w:rFonts w:hint="default" w:ascii="Times New Roman Regular" w:hAnsi="Times New Roman Regular" w:cs="Times New Roman Regular"/>
                <w:color w:val="auto"/>
                <w:sz w:val="21"/>
                <w:szCs w:val="20"/>
              </w:rPr>
            </w:pPr>
            <w:r>
              <w:rPr>
                <w:rFonts w:hint="default" w:ascii="Times New Roman Regular" w:hAnsi="Times New Roman Regular" w:cs="Times New Roman Regular"/>
                <w:color w:val="auto"/>
                <w:sz w:val="21"/>
                <w:szCs w:val="20"/>
              </w:rPr>
              <w:t>符合</w:t>
            </w:r>
          </w:p>
          <w:p>
            <w:pPr>
              <w:widowControl w:val="0"/>
              <w:spacing w:line="240" w:lineRule="auto"/>
              <w:jc w:val="center"/>
              <w:rPr>
                <w:rFonts w:hint="default" w:ascii="Times New Roman Regular" w:hAnsi="Times New Roman Regular" w:cs="Times New Roman Regular"/>
                <w:color w:val="auto"/>
                <w:sz w:val="21"/>
                <w:szCs w:val="20"/>
              </w:rPr>
            </w:pPr>
          </w:p>
          <w:p>
            <w:pPr>
              <w:pStyle w:val="136"/>
              <w:spacing w:line="276" w:lineRule="auto"/>
              <w:rPr>
                <w:rFonts w:hint="default" w:ascii="Times New Roman Regular" w:hAnsi="Times New Roman Regular" w:cs="Times New Roman Regular"/>
                <w:color w:val="auto"/>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Merge w:val="continue"/>
            <w:vAlign w:val="center"/>
          </w:tcPr>
          <w:p>
            <w:pPr>
              <w:pStyle w:val="136"/>
              <w:spacing w:line="276" w:lineRule="auto"/>
              <w:rPr>
                <w:rFonts w:hint="default" w:ascii="Times New Roman Regular" w:hAnsi="Times New Roman Regular" w:cs="Times New Roman Regular"/>
                <w:color w:val="auto"/>
                <w:szCs w:val="20"/>
              </w:rPr>
            </w:pPr>
          </w:p>
        </w:tc>
        <w:tc>
          <w:tcPr>
            <w:tcW w:w="1134"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生态环境准入清单</w:t>
            </w:r>
          </w:p>
        </w:tc>
        <w:tc>
          <w:tcPr>
            <w:tcW w:w="5954" w:type="dxa"/>
            <w:vAlign w:val="center"/>
          </w:tcPr>
          <w:p>
            <w:pPr>
              <w:pStyle w:val="136"/>
              <w:spacing w:line="276" w:lineRule="auto"/>
              <w:rPr>
                <w:rFonts w:hint="default" w:ascii="Times New Roman Regular" w:hAnsi="Times New Roman Regular" w:cs="Times New Roman Regular"/>
                <w:color w:val="auto"/>
                <w:szCs w:val="21"/>
              </w:rPr>
            </w:pPr>
            <w:r>
              <w:rPr>
                <w:rFonts w:hint="default" w:ascii="Times New Roman Regular" w:hAnsi="Times New Roman Regular" w:cs="Times New Roman Regular"/>
                <w:color w:val="auto"/>
                <w:szCs w:val="21"/>
              </w:rPr>
              <w:t>项目符合国家产业政策，不属于《市场准人负面清单》</w:t>
            </w:r>
          </w:p>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1"/>
              </w:rPr>
              <w:t>（2019年版）中禁止准入类的项目。</w:t>
            </w:r>
          </w:p>
        </w:tc>
        <w:tc>
          <w:tcPr>
            <w:tcW w:w="803" w:type="dxa"/>
            <w:vAlign w:val="center"/>
          </w:tcPr>
          <w:p>
            <w:pPr>
              <w:pStyle w:val="136"/>
              <w:spacing w:line="276" w:lineRule="auto"/>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符合</w:t>
            </w:r>
          </w:p>
        </w:tc>
      </w:tr>
    </w:tbl>
    <w:p>
      <w:pPr>
        <w:ind w:firstLine="480"/>
        <w:rPr>
          <w:rFonts w:hint="default" w:ascii="Times New Roman Regular" w:hAnsi="Times New Roman Regular" w:cs="Times New Roman Regular"/>
          <w:color w:val="auto"/>
          <w:szCs w:val="21"/>
        </w:rPr>
      </w:pPr>
      <w:r>
        <w:rPr>
          <w:rFonts w:hint="default" w:ascii="Times New Roman Regular" w:hAnsi="Times New Roman Regular" w:cs="Times New Roman Regular"/>
          <w:color w:val="auto"/>
          <w:szCs w:val="21"/>
        </w:rPr>
        <w:t>由上表可知，本项目符合“三线一单”的相关控制要求。</w:t>
      </w:r>
    </w:p>
    <w:p>
      <w:pPr>
        <w:pStyle w:val="4"/>
        <w:keepNext/>
        <w:keepLines/>
        <w:widowControl w:val="0"/>
        <w:spacing w:before="156" w:beforeLines="50" w:after="156" w:afterLines="50"/>
        <w:outlineLvl w:val="1"/>
        <w:rPr>
          <w:rFonts w:hint="default" w:ascii="Times New Roman Regular" w:hAnsi="Times New Roman Regular" w:cs="Times New Roman Regular"/>
          <w:color w:val="auto"/>
        </w:rPr>
      </w:pPr>
      <w:bookmarkStart w:id="232" w:name="_Toc1786279110_WPSOffice_Level2"/>
      <w:bookmarkStart w:id="233" w:name="_Toc1570355136"/>
      <w:r>
        <w:rPr>
          <w:rFonts w:hint="default" w:ascii="Times New Roman Regular" w:hAnsi="Times New Roman Regular" w:cs="Times New Roman Regular"/>
          <w:color w:val="auto"/>
        </w:rPr>
        <w:t xml:space="preserve">5.12 </w:t>
      </w:r>
      <w:r>
        <w:rPr>
          <w:rFonts w:hint="default" w:ascii="Times New Roman Regular" w:hAnsi="Times New Roman Regular" w:cs="Times New Roman Regular"/>
          <w:color w:val="auto"/>
          <w:lang w:eastAsia="zh-Hans"/>
        </w:rPr>
        <w:t>平面布置合理性分析</w:t>
      </w:r>
      <w:bookmarkEnd w:id="232"/>
      <w:bookmarkEnd w:id="233"/>
    </w:p>
    <w:p>
      <w:pPr>
        <w:pStyle w:val="110"/>
        <w:spacing w:line="360" w:lineRule="auto"/>
        <w:ind w:firstLine="480" w:firstLineChars="200"/>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color w:val="auto"/>
          <w:sz w:val="24"/>
          <w:szCs w:val="24"/>
        </w:rPr>
        <w:t>项目位于</w:t>
      </w:r>
      <w:r>
        <w:rPr>
          <w:rFonts w:hint="default" w:ascii="Times New Roman Regular" w:hAnsi="Times New Roman Regular" w:eastAsia="宋体" w:cs="Times New Roman Regular"/>
          <w:color w:val="auto"/>
          <w:sz w:val="24"/>
          <w:szCs w:val="24"/>
          <w:lang w:val="en-US" w:eastAsia="zh-Hans"/>
        </w:rPr>
        <w:t>青口投资区</w:t>
      </w:r>
      <w:r>
        <w:rPr>
          <w:rFonts w:hint="default" w:ascii="Times New Roman Regular" w:hAnsi="Times New Roman Regular" w:eastAsia="宋体" w:cs="Times New Roman Regular"/>
          <w:color w:val="auto"/>
          <w:sz w:val="24"/>
          <w:szCs w:val="24"/>
          <w:lang w:eastAsia="zh-Hans"/>
        </w:rPr>
        <w:t>（</w:t>
      </w:r>
      <w:r>
        <w:rPr>
          <w:rFonts w:hint="default" w:ascii="Times New Roman Regular" w:hAnsi="Times New Roman Regular" w:eastAsia="宋体" w:cs="Times New Roman Regular"/>
          <w:color w:val="auto"/>
          <w:sz w:val="24"/>
          <w:szCs w:val="24"/>
          <w:lang w:val="en-US" w:eastAsia="zh-Hans"/>
        </w:rPr>
        <w:t>租赁</w:t>
      </w:r>
      <w:r>
        <w:rPr>
          <w:rFonts w:hint="default" w:ascii="Times New Roman Regular" w:hAnsi="Times New Roman Regular" w:eastAsia="宋体" w:cs="Times New Roman Regular"/>
          <w:color w:val="auto"/>
          <w:sz w:val="24"/>
          <w:szCs w:val="24"/>
          <w:lang w:eastAsia="zh-Hans"/>
        </w:rPr>
        <w:t>福州东郁机械包装有限公司）</w:t>
      </w:r>
      <w:r>
        <w:rPr>
          <w:rFonts w:hint="default" w:ascii="Times New Roman Regular" w:hAnsi="Times New Roman Regular" w:eastAsia="宋体" w:cs="Times New Roman Regular"/>
          <w:color w:val="auto"/>
          <w:sz w:val="24"/>
          <w:szCs w:val="24"/>
        </w:rPr>
        <w:t>，根据厂区平面布置图，对厂区布局合理性分析如下：</w:t>
      </w:r>
    </w:p>
    <w:p>
      <w:pPr>
        <w:pStyle w:val="110"/>
        <w:spacing w:line="360" w:lineRule="auto"/>
        <w:ind w:firstLine="480" w:firstLineChars="200"/>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color w:val="auto"/>
          <w:sz w:val="24"/>
          <w:szCs w:val="24"/>
        </w:rPr>
        <w:t>（1）厂区总平面布置遵循国家有关规范要求。</w:t>
      </w:r>
    </w:p>
    <w:p>
      <w:pPr>
        <w:pStyle w:val="110"/>
        <w:spacing w:line="360" w:lineRule="auto"/>
        <w:ind w:firstLine="480" w:firstLineChars="200"/>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color w:val="auto"/>
          <w:sz w:val="24"/>
          <w:szCs w:val="24"/>
        </w:rPr>
        <w:t>（2）厂区总平面布置功能分区明确，</w:t>
      </w:r>
      <w:r>
        <w:rPr>
          <w:rFonts w:hint="default" w:ascii="Times New Roman Regular" w:hAnsi="Times New Roman Regular" w:eastAsia="宋体" w:cs="Times New Roman Regular"/>
          <w:color w:val="auto"/>
          <w:sz w:val="24"/>
          <w:szCs w:val="24"/>
          <w:lang w:val="en-US" w:eastAsia="zh-Hans"/>
        </w:rPr>
        <w:t>厂房共有三层</w:t>
      </w:r>
      <w:r>
        <w:rPr>
          <w:rFonts w:hint="default" w:ascii="Times New Roman Regular" w:hAnsi="Times New Roman Regular" w:eastAsia="宋体" w:cs="Times New Roman Regular"/>
          <w:color w:val="auto"/>
          <w:sz w:val="24"/>
          <w:szCs w:val="24"/>
          <w:lang w:eastAsia="zh-Hans"/>
        </w:rPr>
        <w:t>（</w:t>
      </w:r>
      <w:r>
        <w:rPr>
          <w:rFonts w:hint="default" w:ascii="Times New Roman Regular" w:hAnsi="Times New Roman Regular" w:eastAsia="宋体" w:cs="Times New Roman Regular"/>
          <w:color w:val="auto"/>
          <w:sz w:val="24"/>
          <w:szCs w:val="24"/>
          <w:lang w:val="en-US" w:eastAsia="zh-Hans"/>
        </w:rPr>
        <w:t>见附图</w:t>
      </w:r>
      <w:r>
        <w:rPr>
          <w:rFonts w:hint="default" w:ascii="Times New Roman Regular" w:hAnsi="Times New Roman Regular" w:eastAsia="宋体" w:cs="Times New Roman Regular"/>
          <w:color w:val="auto"/>
          <w:sz w:val="24"/>
          <w:szCs w:val="24"/>
          <w:lang w:eastAsia="zh-Hans"/>
        </w:rPr>
        <w:t>3）。</w:t>
      </w:r>
      <w:r>
        <w:rPr>
          <w:rFonts w:hint="default" w:ascii="Times New Roman Regular" w:hAnsi="Times New Roman Regular" w:eastAsia="宋体" w:cs="Times New Roman Regular"/>
          <w:color w:val="auto"/>
          <w:sz w:val="24"/>
          <w:szCs w:val="24"/>
          <w:lang w:val="en-US" w:eastAsia="zh-Hans"/>
        </w:rPr>
        <w:t>每层按产品类别设有物料区和待转区</w:t>
      </w:r>
      <w:r>
        <w:rPr>
          <w:rFonts w:hint="default" w:ascii="Times New Roman Regular" w:hAnsi="Times New Roman Regular" w:eastAsia="宋体" w:cs="Times New Roman Regular"/>
          <w:color w:val="auto"/>
          <w:sz w:val="24"/>
          <w:szCs w:val="24"/>
          <w:lang w:eastAsia="zh-Hans"/>
        </w:rPr>
        <w:t>。</w:t>
      </w:r>
      <w:r>
        <w:rPr>
          <w:rFonts w:hint="default" w:ascii="Times New Roman Regular" w:hAnsi="Times New Roman Regular" w:eastAsia="宋体" w:cs="Times New Roman Regular"/>
          <w:color w:val="auto"/>
          <w:sz w:val="24"/>
          <w:szCs w:val="24"/>
          <w:lang w:val="en-US" w:eastAsia="zh-Hans"/>
        </w:rPr>
        <w:t>数控加工中心位于一层</w:t>
      </w:r>
      <w:r>
        <w:rPr>
          <w:rFonts w:hint="default" w:ascii="Times New Roman Regular" w:hAnsi="Times New Roman Regular" w:eastAsia="宋体" w:cs="Times New Roman Regular"/>
          <w:color w:val="auto"/>
          <w:sz w:val="24"/>
          <w:szCs w:val="24"/>
          <w:lang w:eastAsia="zh-Hans"/>
        </w:rPr>
        <w:t>。</w:t>
      </w:r>
    </w:p>
    <w:p>
      <w:pPr>
        <w:pStyle w:val="110"/>
        <w:spacing w:line="360" w:lineRule="auto"/>
        <w:ind w:firstLine="480" w:firstLineChars="200"/>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color w:val="auto"/>
          <w:sz w:val="24"/>
          <w:szCs w:val="24"/>
        </w:rPr>
        <w:t>（3）项目总平面布置合理顺畅、厂区功能分区明确。生产区布置比较合理、减少污染的要求，同时也将适应各个工艺生产、便于交通，符合安全、消防的要求，厂区总体布置有利于生产操作和管理。</w:t>
      </w:r>
    </w:p>
    <w:p>
      <w:pPr>
        <w:pStyle w:val="110"/>
        <w:spacing w:line="360" w:lineRule="auto"/>
        <w:ind w:firstLine="480" w:firstLineChars="200"/>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color w:val="auto"/>
          <w:sz w:val="24"/>
          <w:szCs w:val="24"/>
        </w:rPr>
        <w:t>综上所述，项目厂区平面布置考虑了建、构筑物布置紧凑性等因素，功能分区明确，总图布置基本合理。</w:t>
      </w:r>
    </w:p>
    <w:p>
      <w:pPr>
        <w:pStyle w:val="4"/>
        <w:keepNext/>
        <w:keepLines/>
        <w:widowControl w:val="0"/>
        <w:spacing w:before="156" w:beforeLines="50" w:after="156" w:afterLines="50"/>
        <w:outlineLvl w:val="1"/>
        <w:rPr>
          <w:rFonts w:hint="default" w:ascii="Times New Roman Regular" w:hAnsi="Times New Roman Regular" w:cs="Times New Roman Regular"/>
          <w:color w:val="auto"/>
        </w:rPr>
      </w:pPr>
      <w:bookmarkStart w:id="234" w:name="_Toc384749122"/>
      <w:bookmarkStart w:id="235" w:name="_Toc171616710_WPSOffice_Level2"/>
      <w:r>
        <w:rPr>
          <w:rFonts w:hint="default" w:ascii="Times New Roman Regular" w:hAnsi="Times New Roman Regular" w:cs="Times New Roman Regular"/>
          <w:color w:val="auto"/>
        </w:rPr>
        <w:t>5</w:t>
      </w:r>
      <w:r>
        <w:rPr>
          <w:rFonts w:hint="default" w:ascii="Times New Roman Regular" w:hAnsi="Times New Roman Regular" w:cs="Times New Roman Regular"/>
          <w:color w:val="auto"/>
          <w:lang w:eastAsia="zh-Hans"/>
        </w:rPr>
        <w:t>.13</w:t>
      </w:r>
      <w:r>
        <w:rPr>
          <w:rFonts w:hint="default" w:ascii="Times New Roman Regular" w:hAnsi="Times New Roman Regular" w:cs="Times New Roman Regular"/>
          <w:color w:val="auto"/>
        </w:rPr>
        <w:t>清洁生产分析</w:t>
      </w:r>
      <w:bookmarkEnd w:id="234"/>
      <w:bookmarkEnd w:id="235"/>
    </w:p>
    <w:p>
      <w:pPr>
        <w:pStyle w:val="110"/>
        <w:spacing w:line="360" w:lineRule="auto"/>
        <w:ind w:firstLine="480" w:firstLineChars="200"/>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color w:val="auto"/>
          <w:sz w:val="24"/>
          <w:szCs w:val="24"/>
        </w:rPr>
        <w:t>清洁生产是一项实现经济与环境协调持续发展的环境策略，将整体预防的环境战略持续应用于生产过程、产品和服务中，提高生态效益和减少人类活动对环境影响。由于目前我国尚未颁布汽车维修业行业的清洁生产标准，因此，本评价主要从原材料、生产工艺与设备、资源、污染物等方面进行分析项目的清洁生产水平。</w:t>
      </w:r>
    </w:p>
    <w:p>
      <w:pPr>
        <w:pStyle w:val="128"/>
        <w:keepNext/>
        <w:spacing w:before="156" w:beforeLines="50"/>
        <w:outlineLvl w:val="2"/>
        <w:rPr>
          <w:rFonts w:hint="default" w:ascii="Times New Roman Regular" w:hAnsi="Times New Roman Regular" w:cs="Times New Roman Regular"/>
          <w:color w:val="auto"/>
        </w:rPr>
      </w:pPr>
      <w:bookmarkStart w:id="236" w:name="_Toc405232337"/>
      <w:r>
        <w:rPr>
          <w:rFonts w:hint="default" w:ascii="Times New Roman Regular" w:hAnsi="Times New Roman Regular" w:cs="Times New Roman Regular"/>
          <w:color w:val="auto"/>
        </w:rPr>
        <w:t>5.13.1 原辅材料分析</w:t>
      </w:r>
      <w:bookmarkEnd w:id="236"/>
    </w:p>
    <w:p>
      <w:pPr>
        <w:pStyle w:val="110"/>
        <w:spacing w:line="360" w:lineRule="auto"/>
        <w:ind w:firstLine="480" w:firstLineChars="200"/>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color w:val="auto"/>
          <w:sz w:val="24"/>
          <w:szCs w:val="24"/>
        </w:rPr>
        <w:t>项目生产所需主要原材料为45#</w:t>
      </w:r>
      <w:r>
        <w:rPr>
          <w:rFonts w:hint="default" w:ascii="Times New Roman Regular" w:hAnsi="Times New Roman Regular" w:eastAsia="宋体" w:cs="Times New Roman Regular"/>
          <w:color w:val="auto"/>
          <w:sz w:val="24"/>
          <w:szCs w:val="24"/>
          <w:lang w:val="en-US" w:eastAsia="zh-Hans"/>
        </w:rPr>
        <w:t>钢</w:t>
      </w:r>
      <w:r>
        <w:rPr>
          <w:rFonts w:hint="default" w:ascii="Times New Roman Regular" w:hAnsi="Times New Roman Regular" w:eastAsia="宋体" w:cs="Times New Roman Regular"/>
          <w:color w:val="auto"/>
          <w:sz w:val="24"/>
          <w:szCs w:val="24"/>
          <w:lang w:eastAsia="zh-Hans"/>
        </w:rPr>
        <w:t>，</w:t>
      </w:r>
      <w:r>
        <w:rPr>
          <w:rFonts w:hint="default" w:ascii="Times New Roman Regular" w:hAnsi="Times New Roman Regular" w:eastAsia="宋体" w:cs="Times New Roman Regular"/>
          <w:color w:val="auto"/>
          <w:sz w:val="24"/>
          <w:szCs w:val="24"/>
          <w:lang w:val="en-US" w:eastAsia="zh-Hans"/>
        </w:rPr>
        <w:t>项目只涉及立式镗铣加工中心</w:t>
      </w:r>
      <w:r>
        <w:rPr>
          <w:rFonts w:hint="default" w:ascii="Times New Roman Regular" w:hAnsi="Times New Roman Regular" w:eastAsia="宋体" w:cs="Times New Roman Regular"/>
          <w:color w:val="auto"/>
          <w:sz w:val="24"/>
          <w:szCs w:val="24"/>
          <w:lang w:eastAsia="zh-Hans"/>
        </w:rPr>
        <w:t>、</w:t>
      </w:r>
      <w:r>
        <w:rPr>
          <w:rFonts w:hint="default" w:ascii="Times New Roman Regular" w:hAnsi="Times New Roman Regular" w:eastAsia="宋体" w:cs="Times New Roman Regular"/>
          <w:color w:val="auto"/>
          <w:sz w:val="24"/>
          <w:szCs w:val="24"/>
          <w:lang w:val="en-US" w:eastAsia="zh-Hans"/>
        </w:rPr>
        <w:t>数控车床和台式钻床等设备</w:t>
      </w:r>
      <w:r>
        <w:rPr>
          <w:rFonts w:hint="default" w:ascii="Times New Roman Regular" w:hAnsi="Times New Roman Regular" w:eastAsia="宋体" w:cs="Times New Roman Regular"/>
          <w:color w:val="auto"/>
          <w:sz w:val="24"/>
          <w:szCs w:val="24"/>
        </w:rPr>
        <w:t>的使用，符合清洁生产要求。</w:t>
      </w:r>
    </w:p>
    <w:p>
      <w:pPr>
        <w:pStyle w:val="128"/>
        <w:keepNext/>
        <w:spacing w:before="156" w:beforeLines="50"/>
        <w:outlineLvl w:val="2"/>
        <w:rPr>
          <w:rFonts w:hint="default" w:ascii="Times New Roman Regular" w:hAnsi="Times New Roman Regular" w:cs="Times New Roman Regular"/>
          <w:color w:val="auto"/>
        </w:rPr>
      </w:pPr>
      <w:bookmarkStart w:id="237" w:name="_Toc1069243322"/>
      <w:r>
        <w:rPr>
          <w:rFonts w:hint="default" w:ascii="Times New Roman Regular" w:hAnsi="Times New Roman Regular" w:cs="Times New Roman Regular"/>
          <w:color w:val="auto"/>
        </w:rPr>
        <w:t>5.13.2 生产工艺与装备的先进性</w:t>
      </w:r>
      <w:bookmarkEnd w:id="237"/>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w:t>
      </w:r>
      <w:r>
        <w:rPr>
          <w:rFonts w:hint="default" w:ascii="Times New Roman Regular" w:hAnsi="Times New Roman Regular" w:cs="Times New Roman Regular"/>
          <w:color w:val="auto"/>
          <w:lang w:val="en-US" w:eastAsia="zh-Hans"/>
        </w:rPr>
        <w:t>为</w:t>
      </w:r>
      <w:r>
        <w:rPr>
          <w:rFonts w:hint="eastAsia" w:ascii="Times New Roman Regular" w:hAnsi="Times New Roman Regular" w:cs="Times New Roman Regular"/>
          <w:color w:val="auto"/>
          <w:lang w:val="en-US" w:eastAsia="zh-Hans"/>
        </w:rPr>
        <w:t>机电设备</w:t>
      </w:r>
      <w:r>
        <w:rPr>
          <w:rFonts w:hint="default" w:ascii="Times New Roman Regular" w:hAnsi="Times New Roman Regular" w:cs="Times New Roman Regular"/>
          <w:color w:val="auto"/>
          <w:lang w:val="en-US" w:eastAsia="zh-Hans"/>
        </w:rPr>
        <w:t>的加工生产</w:t>
      </w:r>
      <w:r>
        <w:rPr>
          <w:rFonts w:hint="default" w:ascii="Times New Roman Regular" w:hAnsi="Times New Roman Regular" w:cs="Times New Roman Regular"/>
          <w:color w:val="auto"/>
        </w:rPr>
        <w:t>。项目</w:t>
      </w:r>
      <w:r>
        <w:rPr>
          <w:rFonts w:hint="default" w:ascii="Times New Roman Regular" w:hAnsi="Times New Roman Regular" w:cs="Times New Roman Regular"/>
          <w:color w:val="auto"/>
          <w:lang w:val="en-US" w:eastAsia="zh-Hans"/>
        </w:rPr>
        <w:t>生产</w:t>
      </w:r>
      <w:r>
        <w:rPr>
          <w:rFonts w:hint="default" w:ascii="Times New Roman Regular" w:hAnsi="Times New Roman Regular" w:cs="Times New Roman Regular"/>
          <w:color w:val="auto"/>
        </w:rPr>
        <w:t>工艺采用了国内较先进的生产设备，与传统设备相比较，具有生产效率高、自动化程度高、加工精度准确特点，处于同行业先进水平。</w:t>
      </w:r>
    </w:p>
    <w:p>
      <w:pPr>
        <w:pStyle w:val="128"/>
        <w:keepNext/>
        <w:spacing w:before="156" w:beforeLines="50"/>
        <w:outlineLvl w:val="2"/>
        <w:rPr>
          <w:rFonts w:hint="default" w:ascii="Times New Roman Regular" w:hAnsi="Times New Roman Regular" w:cs="Times New Roman Regular"/>
          <w:color w:val="auto"/>
        </w:rPr>
      </w:pPr>
      <w:bookmarkStart w:id="238" w:name="_Toc629354758"/>
      <w:r>
        <w:rPr>
          <w:rFonts w:hint="default" w:ascii="Times New Roman Regular" w:hAnsi="Times New Roman Regular" w:cs="Times New Roman Regular"/>
          <w:color w:val="auto"/>
        </w:rPr>
        <w:t>5.13.3 资源能源利用分析</w:t>
      </w:r>
      <w:bookmarkEnd w:id="238"/>
    </w:p>
    <w:p>
      <w:pPr>
        <w:pStyle w:val="110"/>
        <w:spacing w:line="353" w:lineRule="auto"/>
        <w:ind w:firstLine="480"/>
        <w:rPr>
          <w:rFonts w:hint="default" w:ascii="Times New Roman Regular" w:hAnsi="Times New Roman Regular" w:eastAsia="宋体" w:cs="Times New Roman Regular"/>
          <w:color w:val="auto"/>
          <w:sz w:val="24"/>
        </w:rPr>
      </w:pPr>
      <w:r>
        <w:rPr>
          <w:rFonts w:hint="default" w:ascii="Times New Roman Regular" w:hAnsi="Times New Roman Regular" w:eastAsia="宋体" w:cs="Times New Roman Regular"/>
          <w:color w:val="auto"/>
          <w:sz w:val="24"/>
          <w:szCs w:val="24"/>
        </w:rPr>
        <w:t>项目用水、用电为区域集中供应，项目水资源及电能源消耗量均不大，不属于高耗能和资源消耗型企业，</w:t>
      </w:r>
      <w:r>
        <w:rPr>
          <w:rFonts w:hint="default" w:ascii="Times New Roman Regular" w:hAnsi="Times New Roman Regular" w:eastAsia="宋体" w:cs="Times New Roman Regular"/>
          <w:color w:val="auto"/>
          <w:sz w:val="24"/>
        </w:rPr>
        <w:t>本项目</w:t>
      </w:r>
      <w:r>
        <w:rPr>
          <w:rFonts w:hint="default" w:ascii="Times New Roman Regular" w:hAnsi="Times New Roman Regular" w:eastAsia="宋体" w:cs="Times New Roman Regular"/>
          <w:color w:val="auto"/>
          <w:sz w:val="24"/>
          <w:lang w:val="en-US" w:eastAsia="zh-Hans"/>
        </w:rPr>
        <w:t>生产设备</w:t>
      </w:r>
      <w:r>
        <w:rPr>
          <w:rFonts w:hint="default" w:ascii="Times New Roman Regular" w:hAnsi="Times New Roman Regular" w:eastAsia="宋体" w:cs="Times New Roman Regular"/>
          <w:color w:val="auto"/>
          <w:sz w:val="24"/>
        </w:rPr>
        <w:t>以电能为能源，电能属于清洁能源。项目各道生产工序均制定了严格的操作规程和安全规程，采取的设备自动化程度高，资源利用率处于同行较高的水平。</w:t>
      </w:r>
    </w:p>
    <w:p>
      <w:pPr>
        <w:pStyle w:val="128"/>
        <w:keepNext/>
        <w:spacing w:before="156" w:beforeLines="50"/>
        <w:outlineLvl w:val="2"/>
        <w:rPr>
          <w:rFonts w:hint="default" w:ascii="Times New Roman Regular" w:hAnsi="Times New Roman Regular" w:cs="Times New Roman Regular"/>
          <w:color w:val="auto"/>
        </w:rPr>
      </w:pPr>
      <w:bookmarkStart w:id="239" w:name="_Toc1208456231"/>
      <w:r>
        <w:rPr>
          <w:rFonts w:hint="default" w:ascii="Times New Roman Regular" w:hAnsi="Times New Roman Regular" w:cs="Times New Roman Regular"/>
          <w:color w:val="auto"/>
        </w:rPr>
        <w:t>5.13.4 污染物产生指标分析</w:t>
      </w:r>
      <w:bookmarkEnd w:id="239"/>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（1）废水：生活污水经化粪池处理后统一由排入市政污水管网送往</w:t>
      </w:r>
      <w:r>
        <w:rPr>
          <w:rFonts w:hint="default" w:ascii="Times New Roman Regular" w:hAnsi="Times New Roman Regular" w:cs="Times New Roman Regular"/>
          <w:color w:val="auto"/>
          <w:lang w:val="en-US" w:eastAsia="zh-Hans"/>
        </w:rPr>
        <w:t>福州青口新区</w:t>
      </w:r>
      <w:r>
        <w:rPr>
          <w:rFonts w:hint="default" w:ascii="Times New Roman Regular" w:hAnsi="Times New Roman Regular" w:cs="Times New Roman Regular"/>
          <w:color w:val="auto"/>
        </w:rPr>
        <w:t>污水处理厂集中处理，几乎不会对周边水域造成影响。</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（2）废气：</w:t>
      </w:r>
      <w:r>
        <w:rPr>
          <w:rFonts w:hint="default" w:ascii="Times New Roman Regular" w:hAnsi="Times New Roman Regular" w:cs="Times New Roman Regular"/>
          <w:color w:val="auto"/>
          <w:lang w:val="en-US" w:eastAsia="zh-Hans"/>
        </w:rPr>
        <w:t>生产工序只涉及机械组装</w:t>
      </w:r>
      <w:r>
        <w:rPr>
          <w:rFonts w:hint="default" w:ascii="Times New Roman Regular" w:hAnsi="Times New Roman Regular" w:cs="Times New Roman Regular"/>
          <w:color w:val="auto"/>
          <w:lang w:eastAsia="zh-Hans"/>
        </w:rPr>
        <w:t>，</w:t>
      </w:r>
      <w:r>
        <w:rPr>
          <w:rFonts w:hint="eastAsia" w:ascii="Times New Roman Regular" w:hAnsi="Times New Roman Regular" w:cs="Times New Roman Regular"/>
          <w:color w:val="auto"/>
          <w:lang w:val="en-US" w:eastAsia="zh-Hans"/>
        </w:rPr>
        <w:t>产生对</w:t>
      </w:r>
      <w:r>
        <w:rPr>
          <w:rFonts w:hint="eastAsia" w:ascii="Times New Roman Regular" w:hAnsi="Times New Roman Regular" w:cs="Times New Roman Regular"/>
          <w:color w:val="auto"/>
          <w:sz w:val="24"/>
          <w:szCs w:val="24"/>
          <w:lang w:val="en-US" w:eastAsia="zh-Hans"/>
        </w:rPr>
        <w:t>粉尘废气无组织排放</w:t>
      </w:r>
      <w:r>
        <w:rPr>
          <w:rFonts w:hint="default" w:ascii="Times New Roman Regular" w:hAnsi="Times New Roman Regular" w:cs="Times New Roman Regular"/>
          <w:color w:val="auto"/>
          <w:sz w:val="24"/>
          <w:szCs w:val="24"/>
          <w:lang w:eastAsia="zh-Hans"/>
        </w:rPr>
        <w:t>，</w:t>
      </w:r>
      <w:r>
        <w:rPr>
          <w:rFonts w:hint="eastAsia" w:ascii="Times New Roman Regular" w:hAnsi="Times New Roman Regular" w:cs="Times New Roman Regular"/>
          <w:color w:val="auto"/>
          <w:sz w:val="24"/>
          <w:szCs w:val="24"/>
          <w:lang w:val="en-US" w:eastAsia="zh-Hans"/>
        </w:rPr>
        <w:t>不会对周边大气环境产生影响</w:t>
      </w:r>
      <w:r>
        <w:rPr>
          <w:rFonts w:hint="default" w:ascii="Times New Roman Regular" w:hAnsi="Times New Roman Regular" w:cs="Times New Roman Regular"/>
          <w:color w:val="auto"/>
          <w:sz w:val="24"/>
          <w:szCs w:val="24"/>
          <w:lang w:eastAsia="zh-Hans"/>
        </w:rPr>
        <w:t>。</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（3）固废：项目产生的可回收固废经收集全部出售给其它回收企业综合利用；不可回收固废和生活垃圾拟委托环卫部门定期外运统一处置。</w:t>
      </w:r>
    </w:p>
    <w:p>
      <w:pPr>
        <w:pStyle w:val="128"/>
        <w:keepNext/>
        <w:spacing w:before="156" w:beforeLines="50"/>
        <w:outlineLvl w:val="2"/>
        <w:rPr>
          <w:rFonts w:hint="default" w:ascii="Times New Roman Regular" w:hAnsi="Times New Roman Regular" w:cs="Times New Roman Regular"/>
          <w:color w:val="auto"/>
        </w:rPr>
      </w:pPr>
      <w:bookmarkStart w:id="240" w:name="_Toc1771024738"/>
      <w:r>
        <w:rPr>
          <w:rFonts w:hint="default" w:ascii="Times New Roman Regular" w:hAnsi="Times New Roman Regular" w:cs="Times New Roman Regular"/>
          <w:color w:val="auto"/>
        </w:rPr>
        <w:t>5.13</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rPr>
        <w:t>5 环境管理指标</w:t>
      </w:r>
      <w:bookmarkEnd w:id="240"/>
    </w:p>
    <w:p>
      <w:pPr>
        <w:ind w:firstLine="480" w:firstLineChars="200"/>
        <w:rPr>
          <w:rFonts w:hint="default" w:ascii="Times New Roman Regular" w:hAnsi="Times New Roman Regular" w:cs="Times New Roman Regular"/>
          <w:color w:val="auto"/>
          <w:lang w:val="en-GB" w:bidi="ar"/>
        </w:rPr>
      </w:pPr>
      <w:r>
        <w:rPr>
          <w:rFonts w:hint="default" w:ascii="Times New Roman Regular" w:hAnsi="Times New Roman Regular" w:cs="Times New Roman Regular"/>
          <w:color w:val="auto"/>
          <w:lang w:bidi="ar"/>
        </w:rPr>
        <w:t>（1）原材料管理</w:t>
      </w:r>
    </w:p>
    <w:p>
      <w:pPr>
        <w:ind w:firstLine="480" w:firstLineChars="200"/>
        <w:rPr>
          <w:rFonts w:hint="default" w:ascii="Times New Roman Regular" w:hAnsi="Times New Roman Regular" w:cs="Times New Roman Regular"/>
          <w:color w:val="auto"/>
          <w:lang w:bidi="ar"/>
        </w:rPr>
      </w:pPr>
      <w:r>
        <w:rPr>
          <w:rFonts w:hint="default" w:ascii="Times New Roman Regular" w:hAnsi="Times New Roman Regular" w:cs="Times New Roman Regular"/>
          <w:color w:val="auto"/>
          <w:lang w:bidi="ar"/>
        </w:rPr>
        <w:t>原材料管理不严和储运过程的损失是造成原材料消耗高的原因之一。原材料露天堆放，不仅损失原材料，造成流失，也会污染环境。本项目原材料均存放在车间设置的专门仓库内，避免了不必要的损失，而且原辅材料仓库配专人管理，对原材料的进出库进行严格登记，严格控制原料的使用量，进行原料消耗定额管理制度。</w:t>
      </w:r>
    </w:p>
    <w:p>
      <w:pPr>
        <w:ind w:firstLine="480" w:firstLineChars="200"/>
        <w:rPr>
          <w:rFonts w:hint="default" w:ascii="Times New Roman Regular" w:hAnsi="Times New Roman Regular" w:cs="Times New Roman Regular"/>
          <w:color w:val="auto"/>
          <w:lang w:bidi="ar"/>
        </w:rPr>
      </w:pPr>
      <w:r>
        <w:rPr>
          <w:rFonts w:hint="default" w:ascii="Times New Roman Regular" w:hAnsi="Times New Roman Regular" w:cs="Times New Roman Regular"/>
          <w:color w:val="auto"/>
          <w:lang w:bidi="ar"/>
        </w:rPr>
        <w:t>（2）工艺参数控制</w:t>
      </w:r>
    </w:p>
    <w:p>
      <w:pPr>
        <w:ind w:firstLine="480" w:firstLineChars="200"/>
        <w:rPr>
          <w:rFonts w:hint="default" w:ascii="Times New Roman Regular" w:hAnsi="Times New Roman Regular" w:cs="Times New Roman Regular"/>
          <w:color w:val="auto"/>
          <w:lang w:bidi="ar"/>
        </w:rPr>
      </w:pPr>
      <w:r>
        <w:rPr>
          <w:rFonts w:hint="default" w:ascii="Times New Roman Regular" w:hAnsi="Times New Roman Regular" w:cs="Times New Roman Regular"/>
          <w:color w:val="auto"/>
          <w:lang w:bidi="ar"/>
        </w:rPr>
        <w:t>项目各产品生产过程中均采用最佳的工艺参数，严格控制工艺参数对提高生产效率、减少原材料消耗极为重要。</w:t>
      </w:r>
    </w:p>
    <w:p>
      <w:pPr>
        <w:ind w:firstLine="480" w:firstLineChars="200"/>
        <w:rPr>
          <w:rFonts w:hint="default" w:ascii="Times New Roman Regular" w:hAnsi="Times New Roman Regular" w:cs="Times New Roman Regular"/>
          <w:color w:val="auto"/>
          <w:lang w:bidi="ar"/>
        </w:rPr>
      </w:pPr>
      <w:r>
        <w:rPr>
          <w:rFonts w:hint="default" w:ascii="Times New Roman Regular" w:hAnsi="Times New Roman Regular" w:cs="Times New Roman Regular"/>
          <w:color w:val="auto"/>
          <w:lang w:bidi="ar"/>
        </w:rPr>
        <w:t>综上所述，从生产原料生产工艺与装备、资源能源利用指标、产品、废物回收利用指标以及环境管理要求等方面分析，本项目的建设符合清洁生产要求。</w:t>
      </w:r>
    </w:p>
    <w:p>
      <w:pPr>
        <w:pStyle w:val="3"/>
        <w:bidi w:val="0"/>
        <w:outlineLvl w:val="0"/>
        <w:rPr>
          <w:rFonts w:hint="default" w:ascii="Times New Roman Regular" w:hAnsi="Times New Roman Regular" w:cs="Times New Roman Regular"/>
          <w:color w:val="auto"/>
        </w:rPr>
      </w:pPr>
      <w:bookmarkStart w:id="241" w:name="_Toc1730363461_WPSOffice_Level1"/>
      <w:bookmarkStart w:id="242" w:name="_Toc1489424146"/>
      <w:bookmarkStart w:id="243" w:name="_Toc47618342"/>
      <w:r>
        <w:rPr>
          <w:rFonts w:hint="default" w:ascii="Times New Roman Regular" w:hAnsi="Times New Roman Regular" w:cs="Times New Roman Regular"/>
          <w:b/>
          <w:color w:val="auto"/>
          <w:sz w:val="28"/>
          <w:szCs w:val="20"/>
        </w:rPr>
        <w:t>施</w:t>
      </w:r>
      <w:r>
        <w:rPr>
          <w:rFonts w:hint="default" w:ascii="Times New Roman Regular" w:hAnsi="Times New Roman Regular" w:cs="Times New Roman Regular"/>
          <w:b/>
          <w:color w:val="auto"/>
          <w:sz w:val="28"/>
          <w:szCs w:val="20"/>
          <w:lang w:val="en-US" w:eastAsia="zh-Hans"/>
        </w:rPr>
        <w:t>工期</w:t>
      </w:r>
      <w:r>
        <w:rPr>
          <w:rFonts w:hint="default" w:ascii="Times New Roman Regular" w:hAnsi="Times New Roman Regular" w:cs="Times New Roman Regular"/>
          <w:b/>
          <w:color w:val="auto"/>
          <w:sz w:val="28"/>
          <w:szCs w:val="20"/>
        </w:rPr>
        <w:t>环境影响分析</w:t>
      </w:r>
      <w:bookmarkEnd w:id="241"/>
      <w:bookmarkEnd w:id="242"/>
      <w:bookmarkEnd w:id="243"/>
    </w:p>
    <w:p>
      <w:pPr>
        <w:spacing w:line="480" w:lineRule="exact"/>
        <w:ind w:firstLine="480" w:firstLineChars="200"/>
        <w:rPr>
          <w:rFonts w:hint="default" w:ascii="Times New Roman Regular" w:hAnsi="Times New Roman Regular" w:cs="Times New Roman Regular"/>
          <w:color w:val="auto"/>
        </w:rPr>
      </w:pPr>
      <w:bookmarkStart w:id="244" w:name="_Toc47618343"/>
      <w:r>
        <w:rPr>
          <w:rFonts w:hint="default" w:ascii="Times New Roman Regular" w:hAnsi="Times New Roman Regular" w:cs="Times New Roman Regular"/>
          <w:color w:val="auto"/>
        </w:rPr>
        <w:t>本项目</w:t>
      </w:r>
      <w:r>
        <w:rPr>
          <w:rFonts w:hint="default" w:ascii="Times New Roman Regular" w:hAnsi="Times New Roman Regular" w:cs="Times New Roman Regular"/>
          <w:color w:val="auto"/>
          <w:lang w:val="en-US" w:eastAsia="zh-Hans"/>
        </w:rPr>
        <w:t>租用</w:t>
      </w:r>
      <w:r>
        <w:rPr>
          <w:rFonts w:hint="default" w:ascii="Times New Roman Regular" w:hAnsi="Times New Roman Regular" w:cs="Times New Roman Regular"/>
          <w:color w:val="auto"/>
          <w:lang w:eastAsia="zh-Hans"/>
        </w:rPr>
        <w:t>福州东郁机械包装有限公司</w:t>
      </w:r>
      <w:r>
        <w:rPr>
          <w:rFonts w:hint="default" w:ascii="Times New Roman Regular" w:hAnsi="Times New Roman Regular" w:cs="Times New Roman Regular"/>
          <w:color w:val="auto"/>
          <w:lang w:val="en-US" w:eastAsia="zh-Hans"/>
        </w:rPr>
        <w:t>厂房进行生产加工</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施工期产生的污染影响已消除</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经调查</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本项目无施工期遗留环境问题</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故</w:t>
      </w:r>
      <w:r>
        <w:rPr>
          <w:rFonts w:hint="default" w:ascii="Times New Roman Regular" w:hAnsi="Times New Roman Regular" w:cs="Times New Roman Regular"/>
          <w:color w:val="auto"/>
        </w:rPr>
        <w:t>本环评不对施工期</w:t>
      </w:r>
      <w:r>
        <w:rPr>
          <w:rFonts w:hint="default" w:ascii="Times New Roman Regular" w:hAnsi="Times New Roman Regular" w:cs="Times New Roman Regular"/>
          <w:color w:val="auto"/>
          <w:lang w:val="en-US" w:eastAsia="zh-Hans"/>
        </w:rPr>
        <w:t>污染物产排</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治理</w:t>
      </w:r>
      <w:r>
        <w:rPr>
          <w:rFonts w:hint="default" w:ascii="Times New Roman Regular" w:hAnsi="Times New Roman Regular" w:cs="Times New Roman Regular"/>
          <w:color w:val="auto"/>
        </w:rPr>
        <w:t>进</w:t>
      </w:r>
      <w:r>
        <w:rPr>
          <w:rFonts w:hint="default" w:ascii="Times New Roman Regular" w:hAnsi="Times New Roman Regular" w:cs="Times New Roman Regular"/>
          <w:color w:val="auto"/>
          <w:lang w:val="en-US" w:eastAsia="zh-Hans"/>
        </w:rPr>
        <w:t>行分析</w:t>
      </w:r>
      <w:r>
        <w:rPr>
          <w:rFonts w:hint="default" w:ascii="Times New Roman Regular" w:hAnsi="Times New Roman Regular" w:cs="Times New Roman Regular"/>
          <w:color w:val="auto"/>
        </w:rPr>
        <w:t>。</w:t>
      </w:r>
    </w:p>
    <w:p>
      <w:pPr>
        <w:pStyle w:val="3"/>
        <w:bidi w:val="0"/>
        <w:outlineLvl w:val="0"/>
        <w:rPr>
          <w:rFonts w:hint="default"/>
        </w:rPr>
      </w:pPr>
      <w:bookmarkStart w:id="245" w:name="_Toc995141353_WPSOffice_Level1"/>
      <w:bookmarkStart w:id="246" w:name="_Toc1682232390"/>
      <w:r>
        <w:rPr>
          <w:rFonts w:hint="default"/>
        </w:rPr>
        <w:t>运营期环境影响分析</w:t>
      </w:r>
      <w:bookmarkEnd w:id="244"/>
      <w:bookmarkEnd w:id="245"/>
      <w:bookmarkEnd w:id="246"/>
    </w:p>
    <w:p>
      <w:pPr>
        <w:pStyle w:val="4"/>
        <w:keepNext/>
        <w:keepLines/>
        <w:widowControl w:val="0"/>
        <w:spacing w:before="156" w:beforeLines="50" w:after="156" w:afterLines="50"/>
        <w:outlineLvl w:val="1"/>
        <w:rPr>
          <w:rFonts w:hint="default" w:ascii="Times New Roman Regular" w:hAnsi="Times New Roman Regular" w:cs="Times New Roman Regular"/>
          <w:bCs w:val="0"/>
          <w:color w:val="auto"/>
          <w:kern w:val="2"/>
        </w:rPr>
      </w:pPr>
      <w:bookmarkStart w:id="247" w:name="_Toc291507049_WPSOffice_Level2"/>
      <w:bookmarkStart w:id="248" w:name="_Toc47618344"/>
      <w:bookmarkStart w:id="249" w:name="_Toc1657565975"/>
      <w:r>
        <w:rPr>
          <w:rFonts w:hint="default" w:ascii="Times New Roman Regular" w:hAnsi="Times New Roman Regular" w:cs="Times New Roman Regular"/>
          <w:bCs w:val="0"/>
          <w:color w:val="auto"/>
          <w:kern w:val="2"/>
        </w:rPr>
        <w:t>7.1 水环境影响分析</w:t>
      </w:r>
      <w:bookmarkEnd w:id="247"/>
      <w:bookmarkEnd w:id="248"/>
      <w:bookmarkEnd w:id="249"/>
    </w:p>
    <w:p>
      <w:pPr>
        <w:widowControl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（1）项目废水排放方案</w:t>
      </w:r>
    </w:p>
    <w:p>
      <w:pPr>
        <w:widowControl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本项目运营期废水为职工生活污水。本项目职工定员25人，均不在厂区内食宿，年工作300天，根据工程分析，本项目运营期生活</w:t>
      </w:r>
      <w:r>
        <w:rPr>
          <w:rFonts w:hint="default" w:ascii="Times New Roman Regular" w:hAnsi="Times New Roman Regular" w:cs="Times New Roman Regular"/>
          <w:color w:val="auto"/>
          <w:lang w:val="en-US" w:eastAsia="zh-Hans"/>
        </w:rPr>
        <w:t>污水</w:t>
      </w:r>
      <w:r>
        <w:rPr>
          <w:rFonts w:hint="default" w:ascii="Times New Roman Regular" w:hAnsi="Times New Roman Regular" w:cs="Times New Roman Regular"/>
          <w:color w:val="auto"/>
        </w:rPr>
        <w:t>产生量约318</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75</w:t>
      </w:r>
      <w:r>
        <w:rPr>
          <w:rFonts w:hint="default" w:ascii="Times New Roman Regular" w:hAnsi="Times New Roman Regular" w:cs="Times New Roman Regular"/>
          <w:bCs/>
          <w:color w:val="auto"/>
        </w:rPr>
        <w:t>m³/a</w:t>
      </w:r>
      <w:r>
        <w:rPr>
          <w:rFonts w:hint="default" w:ascii="Times New Roman Regular" w:hAnsi="Times New Roman Regular" w:cs="Times New Roman Regular"/>
          <w:color w:val="auto"/>
        </w:rPr>
        <w:t>，生活污水经化粪池处理达到《污水综合排放标准》（GB8978-1996）三级排放标准后，排入市政污水管网，最后进入</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青口新区污水处理厂处理，对周边环境影响较小。</w:t>
      </w:r>
    </w:p>
    <w:p>
      <w:pPr>
        <w:widowControl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（2）等级判定依据</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依据《环境影响评价技术导则 地表水环境》（HJ2.3-2018）有关评价等级的确定方法，项目生活污水经化粪池预处理后入市政管网，最终纳入</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青口新区污水处理厂处理达标后排放，属于间接排放，评价等级为三级B。地表水环境评价工作等级分级判据见表7.1-1。</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表7.1-1  水污染影响型建设项目评价等级判定表</w:t>
      </w:r>
    </w:p>
    <w:tbl>
      <w:tblPr>
        <w:tblStyle w:val="3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11"/>
        <w:gridCol w:w="1441"/>
        <w:gridCol w:w="557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6" w:type="pct"/>
            <w:vMerge w:val="restar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评价工作等级</w:t>
            </w:r>
          </w:p>
        </w:tc>
        <w:tc>
          <w:tcPr>
            <w:tcW w:w="4113" w:type="pct"/>
            <w:gridSpan w:val="2"/>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判定依据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6" w:type="pct"/>
            <w:vMerge w:val="continue"/>
            <w:tcBorders>
              <w:tl2br w:val="nil"/>
              <w:tr2bl w:val="nil"/>
            </w:tcBorders>
            <w:vAlign w:val="center"/>
          </w:tcPr>
          <w:p>
            <w:pPr>
              <w:pStyle w:val="135"/>
              <w:rPr>
                <w:rFonts w:hint="default" w:ascii="Times New Roman Regular" w:hAnsi="Times New Roman Regular" w:cs="Times New Roman Regular"/>
                <w:color w:val="auto"/>
              </w:rPr>
            </w:pPr>
          </w:p>
        </w:tc>
        <w:tc>
          <w:tcPr>
            <w:tcW w:w="845"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排放方式</w:t>
            </w:r>
          </w:p>
        </w:tc>
        <w:tc>
          <w:tcPr>
            <w:tcW w:w="3268"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废水排放量Q/（m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/d）；水污染物当量书W/（量纲一）</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6"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一级</w:t>
            </w:r>
          </w:p>
        </w:tc>
        <w:tc>
          <w:tcPr>
            <w:tcW w:w="845"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直接排放</w:t>
            </w:r>
          </w:p>
        </w:tc>
        <w:tc>
          <w:tcPr>
            <w:tcW w:w="3268"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Q≥20000或W≥600000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6"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二级</w:t>
            </w:r>
          </w:p>
        </w:tc>
        <w:tc>
          <w:tcPr>
            <w:tcW w:w="845"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直接排放</w:t>
            </w:r>
          </w:p>
        </w:tc>
        <w:tc>
          <w:tcPr>
            <w:tcW w:w="3268"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其他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6"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三级A</w:t>
            </w:r>
          </w:p>
        </w:tc>
        <w:tc>
          <w:tcPr>
            <w:tcW w:w="845"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直接排放</w:t>
            </w:r>
          </w:p>
        </w:tc>
        <w:tc>
          <w:tcPr>
            <w:tcW w:w="3268"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Q＜200且W＜6000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6" w:type="pct"/>
            <w:tcBorders>
              <w:tl2br w:val="nil"/>
              <w:tr2bl w:val="nil"/>
            </w:tcBorders>
            <w:shd w:val="clear" w:color="auto" w:fill="D7D7D7" w:themeFill="background1" w:themeFillShade="D8"/>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三级B</w:t>
            </w:r>
          </w:p>
        </w:tc>
        <w:tc>
          <w:tcPr>
            <w:tcW w:w="845" w:type="pct"/>
            <w:tcBorders>
              <w:tl2br w:val="nil"/>
              <w:tr2bl w:val="nil"/>
            </w:tcBorders>
            <w:shd w:val="clear" w:color="auto" w:fill="D7D7D7" w:themeFill="background1" w:themeFillShade="D8"/>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间接排放</w:t>
            </w:r>
          </w:p>
        </w:tc>
        <w:tc>
          <w:tcPr>
            <w:tcW w:w="3268" w:type="pct"/>
            <w:tcBorders>
              <w:tl2br w:val="nil"/>
              <w:tr2bl w:val="nil"/>
            </w:tcBorders>
            <w:shd w:val="clear" w:color="auto" w:fill="D7D7D7" w:themeFill="background1" w:themeFillShade="D8"/>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w:t>
            </w:r>
          </w:p>
        </w:tc>
      </w:tr>
    </w:tbl>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根据上表7</w:t>
      </w:r>
      <w:r>
        <w:rPr>
          <w:rFonts w:hint="default" w:ascii="Times New Roman Regular" w:hAnsi="Times New Roman Regular" w:cs="Times New Roman Regular"/>
          <w:color w:val="auto"/>
          <w:lang w:eastAsia="zh-Hans"/>
        </w:rPr>
        <w:t>.1</w:t>
      </w:r>
      <w:r>
        <w:rPr>
          <w:rFonts w:hint="default" w:ascii="Times New Roman Regular" w:hAnsi="Times New Roman Regular" w:cs="Times New Roman Regular"/>
          <w:color w:val="auto"/>
        </w:rPr>
        <w:t>-1可知，项目水污染影响型评价等级为三级B，可不开展区域污染源调查，不进行水环境影响预测，主要调查、评价依托的污水处理设施情况。</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（3）废水纳入</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青口新区污水处理厂处理的可行性分析</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①</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青口新区污水处理厂概况</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青口新区污水处理厂</w:t>
      </w:r>
      <w:r>
        <w:rPr>
          <w:rFonts w:hint="default" w:ascii="Times New Roman Regular" w:hAnsi="Times New Roman Regular" w:cs="Times New Roman Regular"/>
          <w:color w:val="auto"/>
          <w:lang w:val="en-US" w:eastAsia="zh-Hans"/>
        </w:rPr>
        <w:t>于</w:t>
      </w:r>
      <w:r>
        <w:rPr>
          <w:rFonts w:hint="default" w:ascii="Times New Roman Regular" w:hAnsi="Times New Roman Regular" w:cs="Times New Roman Regular"/>
          <w:color w:val="auto"/>
          <w:lang w:eastAsia="zh-Hans"/>
        </w:rPr>
        <w:t>2014</w:t>
      </w:r>
      <w:r>
        <w:rPr>
          <w:rFonts w:hint="default" w:ascii="Times New Roman Regular" w:hAnsi="Times New Roman Regular" w:cs="Times New Roman Regular"/>
          <w:color w:val="auto"/>
          <w:lang w:val="en-US" w:eastAsia="zh-Hans"/>
        </w:rPr>
        <w:t>年建设</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设计</w:t>
      </w:r>
      <w:r>
        <w:rPr>
          <w:rFonts w:hint="default" w:ascii="Times New Roman Regular" w:hAnsi="Times New Roman Regular" w:cs="Times New Roman Regular"/>
          <w:color w:val="auto"/>
        </w:rPr>
        <w:t>规模为6.0万m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/d，分</w:t>
      </w:r>
      <w:r>
        <w:rPr>
          <w:rFonts w:hint="default" w:ascii="Times New Roman Regular" w:hAnsi="Times New Roman Regular" w:cs="Times New Roman Regular"/>
          <w:color w:val="auto"/>
          <w:lang w:val="en-US" w:eastAsia="zh-Hans"/>
        </w:rPr>
        <w:t>两</w:t>
      </w:r>
      <w:r>
        <w:rPr>
          <w:rFonts w:hint="default" w:ascii="Times New Roman Regular" w:hAnsi="Times New Roman Regular" w:cs="Times New Roman Regular"/>
          <w:color w:val="auto"/>
        </w:rPr>
        <w:t>期建设，2020</w:t>
      </w:r>
      <w:r>
        <w:rPr>
          <w:rFonts w:hint="default" w:ascii="Times New Roman Regular" w:hAnsi="Times New Roman Regular" w:cs="Times New Roman Regular"/>
          <w:color w:val="auto"/>
          <w:lang w:val="en-US" w:eastAsia="zh-Hans"/>
        </w:rPr>
        <w:t>年计划</w:t>
      </w:r>
      <w:r>
        <w:rPr>
          <w:rFonts w:hint="default" w:ascii="Times New Roman Regular" w:hAnsi="Times New Roman Regular" w:cs="Times New Roman Regular"/>
          <w:color w:val="auto"/>
        </w:rPr>
        <w:t>处理规模</w:t>
      </w:r>
      <w:r>
        <w:rPr>
          <w:rFonts w:hint="default" w:ascii="Times New Roman Regular" w:hAnsi="Times New Roman Regular" w:cs="Times New Roman Regular"/>
          <w:color w:val="auto"/>
          <w:lang w:val="en-US" w:eastAsia="zh-Hans"/>
        </w:rPr>
        <w:t>为</w:t>
      </w:r>
      <w:r>
        <w:rPr>
          <w:rFonts w:hint="default" w:ascii="Times New Roman Regular" w:hAnsi="Times New Roman Regular" w:cs="Times New Roman Regular"/>
          <w:color w:val="auto"/>
          <w:lang w:eastAsia="zh-Hans"/>
        </w:rPr>
        <w:t>6</w:t>
      </w:r>
      <w:r>
        <w:rPr>
          <w:rFonts w:hint="default" w:ascii="Times New Roman Regular" w:hAnsi="Times New Roman Regular" w:cs="Times New Roman Regular"/>
          <w:color w:val="auto"/>
        </w:rPr>
        <w:t>.0万m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/d。服务范围</w:t>
      </w:r>
      <w:r>
        <w:rPr>
          <w:rFonts w:hint="default" w:ascii="Times New Roman Regular" w:hAnsi="Times New Roman Regular" w:cs="Times New Roman Regular"/>
          <w:color w:val="auto"/>
          <w:lang w:val="en-US" w:eastAsia="zh-Hans"/>
        </w:rPr>
        <w:t>为青口投资区</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包括青口镇</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尚干镇和祥谦镇三个镇区部分污水处理</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主要收集和处理企业工业废水和镇区居民生活污水</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rPr>
        <w:t>项目接入现有的市政污水管网。</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青口新区污水处理厂工艺方案采用“改良型卡氏氧化沟工艺”污水处理工艺，污泥采用带式浓缩、脱水一体化处理，尾水采用次氯酸钠消毒工艺。</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②废水水质入管达标分析及接管可行性分析</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w:t>
      </w:r>
      <w:r>
        <w:rPr>
          <w:rFonts w:hint="default" w:ascii="Times New Roman Regular" w:hAnsi="Times New Roman Regular" w:cs="Times New Roman Regular"/>
          <w:color w:val="auto"/>
          <w:lang w:val="en-US" w:eastAsia="zh-Hans"/>
        </w:rPr>
        <w:t>生活污水</w:t>
      </w:r>
      <w:r>
        <w:rPr>
          <w:rFonts w:hint="default" w:ascii="Times New Roman Regular" w:hAnsi="Times New Roman Regular" w:cs="Times New Roman Regular"/>
          <w:color w:val="auto"/>
        </w:rPr>
        <w:t>经化粪池处理设施处理后的废水满足</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青口新区污水处理厂的接管浓度《污水综合排放标准》（GB8978-1996）。因此，评价认为从废水水质入管达标角度，本项目污水可以接入市政污水管网。</w:t>
      </w:r>
    </w:p>
    <w:p>
      <w:pPr>
        <w:pStyle w:val="4"/>
        <w:keepNext/>
        <w:keepLines/>
        <w:widowControl w:val="0"/>
        <w:spacing w:before="156" w:beforeLines="50" w:after="156" w:afterLines="50"/>
        <w:outlineLvl w:val="1"/>
        <w:rPr>
          <w:rFonts w:hint="default" w:ascii="Times New Roman Regular" w:hAnsi="Times New Roman Regular" w:cs="Times New Roman Regular"/>
          <w:bCs w:val="0"/>
          <w:color w:val="auto"/>
          <w:kern w:val="2"/>
        </w:rPr>
      </w:pPr>
      <w:bookmarkStart w:id="250" w:name="_Toc948773736_WPSOffice_Level2"/>
      <w:bookmarkStart w:id="251" w:name="_Toc1553472941"/>
      <w:bookmarkStart w:id="252" w:name="_Toc47618345"/>
      <w:r>
        <w:rPr>
          <w:rFonts w:hint="default" w:ascii="Times New Roman Regular" w:hAnsi="Times New Roman Regular" w:cs="Times New Roman Regular"/>
          <w:bCs w:val="0"/>
          <w:color w:val="auto"/>
          <w:kern w:val="2"/>
        </w:rPr>
        <w:t>7.2 大气环境影响分析</w:t>
      </w:r>
      <w:bookmarkEnd w:id="250"/>
      <w:bookmarkEnd w:id="251"/>
      <w:bookmarkEnd w:id="252"/>
    </w:p>
    <w:p>
      <w:pPr>
        <w:ind w:left="2" w:leftChars="1" w:firstLine="504" w:firstLineChars="21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w:t>
      </w:r>
      <w:r>
        <w:rPr>
          <w:rFonts w:hint="default" w:ascii="Times New Roman Regular" w:hAnsi="Times New Roman Regular" w:cs="Times New Roman Regular"/>
          <w:color w:val="auto"/>
          <w:lang w:eastAsia="zh-Hans"/>
        </w:rPr>
        <w:t>污染源强</w:t>
      </w:r>
    </w:p>
    <w:p>
      <w:pPr>
        <w:ind w:left="2" w:leftChars="1" w:firstLine="504" w:firstLineChars="21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项目主要大气污染源为</w:t>
      </w:r>
      <w:r>
        <w:rPr>
          <w:rFonts w:hint="eastAsia" w:ascii="Times New Roman Regular" w:hAnsi="Times New Roman Regular" w:cs="Times New Roman Regular"/>
          <w:color w:val="auto"/>
          <w:lang w:val="en-US" w:eastAsia="zh-Hans"/>
        </w:rPr>
        <w:t>少量无组织粉尘</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排放量为</w:t>
      </w:r>
      <w:r>
        <w:rPr>
          <w:rFonts w:hint="default" w:ascii="Times New Roman Regular" w:hAnsi="Times New Roman Regular" w:cs="Times New Roman Regular"/>
          <w:color w:val="auto"/>
          <w:lang w:eastAsia="zh-Hans"/>
        </w:rPr>
        <w:t>0</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045t/a。</w:t>
      </w:r>
    </w:p>
    <w:p>
      <w:pPr>
        <w:ind w:left="2" w:leftChars="1" w:firstLine="504" w:firstLineChars="21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w:t>
      </w:r>
      <w:r>
        <w:rPr>
          <w:rFonts w:hint="default" w:ascii="Times New Roman Regular" w:hAnsi="Times New Roman Regular" w:cs="Times New Roman Regular"/>
          <w:color w:val="auto"/>
          <w:lang w:eastAsia="zh-Hans"/>
        </w:rPr>
        <w:t>大气环境影响工作及预测结果评价</w:t>
      </w:r>
    </w:p>
    <w:p>
      <w:pPr>
        <w:ind w:left="2" w:leftChars="1" w:firstLine="504" w:firstLineChars="21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依据《环境影响评价技术导则 大气环境》（HJ2.2-2018）中工作等级的确定方法，结合项目工程分析结果，选择正常排放的污染物及排放参数，采用附录A推荐模型中的AERSCREEN模式计算项目污染源的最大环境影响，分别计算项目排放主要污染物的最大地面空气质量浓度占标率Pi。计算公式如下：</w:t>
      </w:r>
    </w:p>
    <w:p>
      <w:pPr>
        <w:jc w:val="cente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Pi=</w:t>
      </w:r>
      <m:oMath>
        <m:f>
          <m:fPr>
            <m:ctrlPr>
              <w:rPr>
                <w:rFonts w:hint="default" w:ascii="Cambria Math" w:hAnsi="Cambria Math" w:cs="Times New Roman Regular"/>
                <w:color w:val="auto"/>
              </w:rPr>
            </m:ctrlPr>
          </m:fPr>
          <m:num>
            <m:r>
              <m:rPr>
                <m:sty m:val="p"/>
              </m:rPr>
              <w:rPr>
                <w:rFonts w:hint="default" w:ascii="Cambria Math" w:hAnsi="Cambria Math" w:cs="Times New Roman Regular"/>
                <w:color w:val="auto"/>
              </w:rPr>
              <m:t>Ci</m:t>
            </m:r>
            <m:ctrlPr>
              <w:rPr>
                <w:rFonts w:hint="default" w:ascii="Cambria Math" w:hAnsi="Cambria Math" w:cs="Times New Roman Regular"/>
                <w:color w:val="auto"/>
              </w:rPr>
            </m:ctrlPr>
          </m:num>
          <m:den>
            <m:r>
              <m:rPr>
                <m:sty m:val="p"/>
              </m:rPr>
              <w:rPr>
                <w:rFonts w:hint="default" w:ascii="Cambria Math" w:hAnsi="Cambria Math" w:cs="Times New Roman Regular"/>
                <w:color w:val="auto"/>
              </w:rPr>
              <m:t>C0i</m:t>
            </m:r>
            <m:ctrlPr>
              <w:rPr>
                <w:rFonts w:hint="default" w:ascii="Cambria Math" w:hAnsi="Cambria Math" w:cs="Times New Roman Regular"/>
                <w:color w:val="auto"/>
              </w:rPr>
            </m:ctrlPr>
          </m:den>
        </m:f>
      </m:oMath>
      <w:r>
        <w:rPr>
          <w:rFonts w:hint="default" w:ascii="Times New Roman Regular" w:hAnsi="Times New Roman Regular" w:cs="Times New Roman Regular"/>
          <w:color w:val="auto"/>
        </w:rPr>
        <w:t>×100%</w:t>
      </w:r>
    </w:p>
    <w:p>
      <w:pPr>
        <w:ind w:left="2" w:leftChars="1" w:firstLine="504" w:firstLineChars="21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式中：P</w:t>
      </w:r>
      <w:r>
        <w:rPr>
          <w:rFonts w:hint="default" w:ascii="Times New Roman Regular" w:hAnsi="Times New Roman Regular" w:cs="Times New Roman Regular"/>
          <w:color w:val="auto"/>
          <w:vertAlign w:val="subscript"/>
        </w:rPr>
        <w:t>i</w:t>
      </w:r>
      <w:r>
        <w:rPr>
          <w:rFonts w:hint="default" w:ascii="Times New Roman Regular" w:hAnsi="Times New Roman Regular" w:cs="Times New Roman Regular"/>
          <w:color w:val="auto"/>
        </w:rPr>
        <w:t>——第i个污染物的最大地面空气质量浓度占标率，%；</w:t>
      </w:r>
    </w:p>
    <w:p>
      <w:pPr>
        <w:ind w:left="2" w:leftChars="1" w:firstLine="1224" w:firstLineChars="51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C</w:t>
      </w:r>
      <w:r>
        <w:rPr>
          <w:rFonts w:hint="default" w:ascii="Times New Roman Regular" w:hAnsi="Times New Roman Regular" w:cs="Times New Roman Regular"/>
          <w:color w:val="auto"/>
          <w:vertAlign w:val="subscript"/>
        </w:rPr>
        <w:t>i</w:t>
      </w:r>
      <w:r>
        <w:rPr>
          <w:rFonts w:hint="default" w:ascii="Times New Roman Regular" w:hAnsi="Times New Roman Regular" w:cs="Times New Roman Regular"/>
          <w:color w:val="auto"/>
        </w:rPr>
        <w:t>——采用估算模式计算出的第i个污染物的最大1h地面空气质量浓度，µg/m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w:t>
      </w:r>
    </w:p>
    <w:p>
      <w:pPr>
        <w:ind w:left="2" w:leftChars="1" w:firstLine="1224" w:firstLineChars="51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C</w:t>
      </w:r>
      <w:r>
        <w:rPr>
          <w:rFonts w:hint="default" w:ascii="Times New Roman Regular" w:hAnsi="Times New Roman Regular" w:cs="Times New Roman Regular"/>
          <w:color w:val="auto"/>
          <w:vertAlign w:val="subscript"/>
        </w:rPr>
        <w:t>0i</w:t>
      </w:r>
      <w:r>
        <w:rPr>
          <w:rFonts w:hint="default" w:ascii="Times New Roman Regular" w:hAnsi="Times New Roman Regular" w:cs="Times New Roman Regular"/>
          <w:color w:val="auto"/>
        </w:rPr>
        <w:t>——第i个污染物的环境空气质量标准，µg/m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w:t>
      </w:r>
    </w:p>
    <w:p>
      <w:pPr>
        <w:ind w:left="2" w:leftChars="1" w:firstLine="504" w:firstLineChars="21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评价工作等级按表7.2-1的分级判据进行划分，如污染物i大于1，取Pi值最大者（P</w:t>
      </w:r>
      <w:r>
        <w:rPr>
          <w:rFonts w:hint="default" w:ascii="Times New Roman Regular" w:hAnsi="Times New Roman Regular" w:cs="Times New Roman Regular"/>
          <w:color w:val="auto"/>
          <w:vertAlign w:val="subscript"/>
        </w:rPr>
        <w:t>max</w:t>
      </w:r>
      <w:r>
        <w:rPr>
          <w:rFonts w:hint="default" w:ascii="Times New Roman Regular" w:hAnsi="Times New Roman Regular" w:cs="Times New Roman Regular"/>
          <w:color w:val="auto"/>
        </w:rPr>
        <w:t>）和其对应的D</w:t>
      </w:r>
      <w:r>
        <w:rPr>
          <w:rFonts w:hint="default" w:ascii="Times New Roman Regular" w:hAnsi="Times New Roman Regular" w:cs="Times New Roman Regular"/>
          <w:color w:val="auto"/>
          <w:vertAlign w:val="subscript"/>
        </w:rPr>
        <w:t>10%</w:t>
      </w:r>
      <w:r>
        <w:rPr>
          <w:rFonts w:hint="default" w:ascii="Times New Roman Regular" w:hAnsi="Times New Roman Regular" w:cs="Times New Roman Regular"/>
          <w:color w:val="auto"/>
        </w:rPr>
        <w:t>。</w:t>
      </w:r>
    </w:p>
    <w:p>
      <w:pPr>
        <w:ind w:left="2" w:leftChars="1" w:firstLine="504" w:firstLineChars="210"/>
        <w:rPr>
          <w:rFonts w:hint="default" w:ascii="Times New Roman Regular" w:hAnsi="Times New Roman Regular" w:cs="Times New Roman Regular"/>
          <w:b/>
          <w:color w:val="auto"/>
        </w:rPr>
      </w:pPr>
      <w:r>
        <w:rPr>
          <w:rFonts w:hint="default" w:ascii="Times New Roman Regular" w:hAnsi="Times New Roman Regular" w:cs="Times New Roman Regular"/>
          <w:color w:val="auto"/>
        </w:rPr>
        <w:t>同一项目有多个（两个以上，含两个）污染源排放同一种污染物时，则按各污染源分别确定其评价等级，并取评价级别最高者作为项目的评价等级。如果评价范围内包含一类环境空气质量功能区、或者评价范围内主要评价因子的环境质量已接近或超过环境质量标准、或者项目排放的污染物对人体健康或生态环境有严重危害的特殊项目，评价等级一般不低于二级。</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表7.2-1 大气评价工作等级划分</w:t>
      </w:r>
    </w:p>
    <w:tbl>
      <w:tblPr>
        <w:tblStyle w:val="3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44"/>
        <w:gridCol w:w="44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71"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评价工作等级</w:t>
            </w:r>
          </w:p>
        </w:tc>
        <w:tc>
          <w:tcPr>
            <w:tcW w:w="2628"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71"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一级</w:t>
            </w:r>
          </w:p>
        </w:tc>
        <w:tc>
          <w:tcPr>
            <w:tcW w:w="2628"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P</w:t>
            </w:r>
            <w:r>
              <w:rPr>
                <w:rFonts w:hint="default" w:ascii="Times New Roman Regular" w:hAnsi="Times New Roman Regular" w:cs="Times New Roman Regular"/>
                <w:color w:val="auto"/>
                <w:vertAlign w:val="subscript"/>
              </w:rPr>
              <w:t>max</w:t>
            </w:r>
            <w:r>
              <w:rPr>
                <w:rFonts w:hint="default" w:ascii="Times New Roman Regular" w:hAnsi="Times New Roman Regular" w:cs="Times New Roman Regular"/>
                <w:color w:val="auto"/>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71"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二级</w:t>
            </w:r>
          </w:p>
        </w:tc>
        <w:tc>
          <w:tcPr>
            <w:tcW w:w="2628"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1%≤P</w:t>
            </w:r>
            <w:r>
              <w:rPr>
                <w:rFonts w:hint="default" w:ascii="Times New Roman Regular" w:hAnsi="Times New Roman Regular" w:cs="Times New Roman Regular"/>
                <w:color w:val="auto"/>
                <w:vertAlign w:val="subscript"/>
              </w:rPr>
              <w:t>max</w:t>
            </w:r>
            <w:r>
              <w:rPr>
                <w:rFonts w:hint="default" w:ascii="Times New Roman Regular" w:hAnsi="Times New Roman Regular" w:cs="Times New Roman Regular"/>
                <w:color w:val="auto"/>
              </w:rPr>
              <w:t>&lt;10%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71"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三级</w:t>
            </w:r>
          </w:p>
        </w:tc>
        <w:tc>
          <w:tcPr>
            <w:tcW w:w="2628"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P</w:t>
            </w:r>
            <w:r>
              <w:rPr>
                <w:rFonts w:hint="default" w:ascii="Times New Roman Regular" w:hAnsi="Times New Roman Regular" w:cs="Times New Roman Regular"/>
                <w:color w:val="auto"/>
                <w:vertAlign w:val="subscript"/>
              </w:rPr>
              <w:t>max</w:t>
            </w:r>
            <w:r>
              <w:rPr>
                <w:rFonts w:hint="default" w:ascii="Times New Roman Regular" w:hAnsi="Times New Roman Regular" w:cs="Times New Roman Regular"/>
                <w:color w:val="auto"/>
              </w:rPr>
              <w:t>&lt;1%</w:t>
            </w:r>
          </w:p>
        </w:tc>
      </w:tr>
    </w:tbl>
    <w:p>
      <w:pPr>
        <w:ind w:left="2" w:leftChars="1" w:firstLine="504" w:firstLineChars="21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w:t>
      </w:r>
      <w:r>
        <w:rPr>
          <w:rFonts w:hint="default" w:ascii="Times New Roman Regular" w:hAnsi="Times New Roman Regular" w:cs="Times New Roman Regular"/>
          <w:color w:val="auto"/>
          <w:lang w:eastAsia="zh-Hans"/>
        </w:rPr>
        <w:t>污染物评价标准</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表7.2-2 评价因子和评价标准表</w:t>
      </w:r>
    </w:p>
    <w:tbl>
      <w:tblPr>
        <w:tblStyle w:val="3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99"/>
        <w:gridCol w:w="1745"/>
        <w:gridCol w:w="1806"/>
        <w:gridCol w:w="31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评价因子</w:t>
            </w:r>
          </w:p>
        </w:tc>
        <w:tc>
          <w:tcPr>
            <w:tcW w:w="1023"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平均时段</w:t>
            </w:r>
          </w:p>
        </w:tc>
        <w:tc>
          <w:tcPr>
            <w:tcW w:w="1059"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标准值/（µg/m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w:t>
            </w:r>
          </w:p>
        </w:tc>
        <w:tc>
          <w:tcPr>
            <w:tcW w:w="1861"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颗粒物</w:t>
            </w:r>
          </w:p>
        </w:tc>
        <w:tc>
          <w:tcPr>
            <w:tcW w:w="1023"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1小时平均</w:t>
            </w:r>
          </w:p>
        </w:tc>
        <w:tc>
          <w:tcPr>
            <w:tcW w:w="1059"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900</w:t>
            </w:r>
          </w:p>
        </w:tc>
        <w:tc>
          <w:tcPr>
            <w:tcW w:w="1861" w:type="pct"/>
            <w:vAlign w:val="center"/>
          </w:tcPr>
          <w:p>
            <w:pPr>
              <w:pStyle w:val="136"/>
              <w:spacing w:line="276"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《环境空气质量标准》（GB3095-2012）</w:t>
            </w:r>
          </w:p>
        </w:tc>
      </w:tr>
    </w:tbl>
    <w:p>
      <w:pPr>
        <w:ind w:left="2" w:leftChars="1" w:firstLine="504" w:firstLineChars="21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w:t>
      </w:r>
      <w:r>
        <w:rPr>
          <w:rFonts w:hint="default" w:ascii="Times New Roman Regular" w:hAnsi="Times New Roman Regular" w:cs="Times New Roman Regular"/>
          <w:color w:val="auto"/>
          <w:lang w:eastAsia="zh-Hans"/>
        </w:rPr>
        <w:t>估算结果</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采用《环境影响评价技术导则 大气环境》(HJ2.2-2018)推荐模式清单中的估算模式AERSCREEN计算项目总体工程污染源主要污染物的下风向轴线浓度，并计算相应浓度占标率。</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 1 \* GB3 \* MERGEFORMAT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①</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rPr>
        <w:t>估算参数</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项目估算参数详见见表7.2-3</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表7.2-3 估算模型参数表</w:t>
      </w:r>
    </w:p>
    <w:tbl>
      <w:tblPr>
        <w:tblStyle w:val="36"/>
        <w:tblW w:w="864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86"/>
        <w:gridCol w:w="992"/>
        <w:gridCol w:w="3119"/>
        <w:gridCol w:w="25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97" w:type="dxa"/>
            <w:gridSpan w:val="3"/>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参数</w:t>
            </w:r>
          </w:p>
        </w:tc>
        <w:tc>
          <w:tcPr>
            <w:tcW w:w="2543"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1986" w:type="dxa"/>
            <w:vMerge w:val="restart"/>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城市/农村选项</w:t>
            </w:r>
          </w:p>
        </w:tc>
        <w:tc>
          <w:tcPr>
            <w:tcW w:w="4111" w:type="dxa"/>
            <w:gridSpan w:val="2"/>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城市/农村</w:t>
            </w:r>
          </w:p>
        </w:tc>
        <w:tc>
          <w:tcPr>
            <w:tcW w:w="2543" w:type="dxa"/>
            <w:vAlign w:val="center"/>
          </w:tcPr>
          <w:p>
            <w:pPr>
              <w:pStyle w:val="136"/>
              <w:rPr>
                <w:rFonts w:hint="default" w:ascii="Times New Roman Regular" w:hAnsi="Times New Roman Regular" w:cs="Times New Roman Regular"/>
                <w:color w:val="auto"/>
                <w:lang w:eastAsia="zh-Hans"/>
              </w:rPr>
            </w:pPr>
            <w:r>
              <w:rPr>
                <w:rFonts w:hint="default" w:ascii="Times New Roman Regular" w:hAnsi="Times New Roman Regular" w:cs="Times New Roman Regular"/>
                <w:color w:val="auto"/>
                <w:lang w:eastAsia="zh-Hans"/>
              </w:rPr>
              <w:t>城市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1986" w:type="dxa"/>
            <w:vMerge w:val="continue"/>
            <w:vAlign w:val="center"/>
          </w:tcPr>
          <w:p>
            <w:pPr>
              <w:pStyle w:val="136"/>
              <w:rPr>
                <w:rFonts w:hint="default" w:ascii="Times New Roman Regular" w:hAnsi="Times New Roman Regular" w:cs="Times New Roman Regular"/>
                <w:color w:val="auto"/>
              </w:rPr>
            </w:pPr>
          </w:p>
        </w:tc>
        <w:tc>
          <w:tcPr>
            <w:tcW w:w="4111" w:type="dxa"/>
            <w:gridSpan w:val="2"/>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人口数（城市选项时）</w:t>
            </w:r>
          </w:p>
        </w:tc>
        <w:tc>
          <w:tcPr>
            <w:tcW w:w="2543"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lang w:eastAsia="zh-Hans"/>
              </w:rPr>
              <w:t>8万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6097" w:type="dxa"/>
            <w:gridSpan w:val="3"/>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最高环境温度/°C</w:t>
            </w:r>
          </w:p>
        </w:tc>
        <w:tc>
          <w:tcPr>
            <w:tcW w:w="2543"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39</w:t>
            </w:r>
            <w:r>
              <w:rPr>
                <w:rFonts w:hint="default" w:ascii="Times New Roman Regular" w:hAnsi="Times New Roman Regular" w:cs="Times New Roman Regular"/>
                <w:color w:val="auto"/>
                <w:lang w:eastAsia="zh-Hans"/>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6097" w:type="dxa"/>
            <w:gridSpan w:val="3"/>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最低环境温度/°C</w:t>
            </w:r>
          </w:p>
        </w:tc>
        <w:tc>
          <w:tcPr>
            <w:tcW w:w="2543"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6097" w:type="dxa"/>
            <w:gridSpan w:val="3"/>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土地利用类型</w:t>
            </w:r>
          </w:p>
        </w:tc>
        <w:tc>
          <w:tcPr>
            <w:tcW w:w="2543" w:type="dxa"/>
            <w:vAlign w:val="center"/>
          </w:tcPr>
          <w:p>
            <w:pPr>
              <w:pStyle w:val="136"/>
              <w:rPr>
                <w:rFonts w:hint="default" w:ascii="Times New Roman Regular" w:hAnsi="Times New Roman Regular" w:cs="Times New Roman Regular"/>
                <w:color w:val="auto"/>
                <w:lang w:eastAsia="zh-Hans"/>
              </w:rPr>
            </w:pPr>
            <w:r>
              <w:rPr>
                <w:rFonts w:hint="default" w:ascii="Times New Roman Regular" w:hAnsi="Times New Roman Regular" w:cs="Times New Roman Regular"/>
                <w:color w:val="auto"/>
                <w:lang w:eastAsia="zh-Hans"/>
              </w:rPr>
              <w:t>阔叶林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6097" w:type="dxa"/>
            <w:gridSpan w:val="3"/>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区域湿度条件</w:t>
            </w:r>
          </w:p>
        </w:tc>
        <w:tc>
          <w:tcPr>
            <w:tcW w:w="2543" w:type="dxa"/>
            <w:vAlign w:val="center"/>
          </w:tcPr>
          <w:p>
            <w:pPr>
              <w:pStyle w:val="136"/>
              <w:rPr>
                <w:rFonts w:hint="default" w:ascii="Times New Roman Regular" w:hAnsi="Times New Roman Regular" w:cs="Times New Roman Regular"/>
                <w:color w:val="auto"/>
                <w:lang w:eastAsia="zh-Hans"/>
              </w:rPr>
            </w:pPr>
            <w:r>
              <w:rPr>
                <w:rFonts w:hint="default" w:ascii="Times New Roman Regular" w:hAnsi="Times New Roman Regular" w:cs="Times New Roman Regular"/>
                <w:color w:val="auto"/>
                <w:lang w:eastAsia="zh-Hans"/>
              </w:rPr>
              <w:t>潮湿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978" w:type="dxa"/>
            <w:gridSpan w:val="2"/>
            <w:vMerge w:val="restart"/>
            <w:tcBorders>
              <w:top w:val="single" w:color="auto" w:sz="4" w:space="0"/>
              <w:bottom w:val="single" w:color="auto" w:sz="4" w:space="0"/>
            </w:tcBorders>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是否考虑地形</w:t>
            </w:r>
          </w:p>
        </w:tc>
        <w:tc>
          <w:tcPr>
            <w:tcW w:w="3119"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考虑地形</w:t>
            </w:r>
          </w:p>
        </w:tc>
        <w:tc>
          <w:tcPr>
            <w:tcW w:w="2543"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kern w:val="0"/>
                <w:szCs w:val="21"/>
              </w:rPr>
              <w:t>□</w:t>
            </w:r>
            <w:r>
              <w:rPr>
                <w:rFonts w:hint="default" w:ascii="Times New Roman Regular" w:hAnsi="Times New Roman Regular" w:cs="Times New Roman Regular"/>
                <w:color w:val="auto"/>
              </w:rPr>
              <w:t xml:space="preserve">是 </w:t>
            </w:r>
            <w:r>
              <w:rPr>
                <w:rFonts w:hint="default" w:ascii="Times New Roman Regular" w:hAnsi="Times New Roman Regular" w:cs="Times New Roman Regular"/>
                <w:color w:val="auto"/>
                <w:kern w:val="0"/>
                <w:szCs w:val="21"/>
              </w:rPr>
              <w:sym w:font="Wingdings 2" w:char="0052"/>
            </w:r>
            <w:r>
              <w:rPr>
                <w:rFonts w:hint="default" w:ascii="Times New Roman Regular" w:hAnsi="Times New Roman Regular" w:cs="Times New Roman Regular"/>
                <w:color w:val="auto"/>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978" w:type="dxa"/>
            <w:gridSpan w:val="2"/>
            <w:vMerge w:val="continue"/>
            <w:tcBorders>
              <w:top w:val="single" w:color="auto" w:sz="4" w:space="0"/>
              <w:bottom w:val="single" w:color="auto" w:sz="4" w:space="0"/>
            </w:tcBorders>
            <w:vAlign w:val="center"/>
          </w:tcPr>
          <w:p>
            <w:pPr>
              <w:pStyle w:val="136"/>
              <w:rPr>
                <w:rFonts w:hint="default" w:ascii="Times New Roman Regular" w:hAnsi="Times New Roman Regular" w:cs="Times New Roman Regular"/>
                <w:color w:val="auto"/>
              </w:rPr>
            </w:pPr>
          </w:p>
        </w:tc>
        <w:tc>
          <w:tcPr>
            <w:tcW w:w="3119"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地形数据分辨率/m</w:t>
            </w:r>
          </w:p>
        </w:tc>
        <w:tc>
          <w:tcPr>
            <w:tcW w:w="2543"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978" w:type="dxa"/>
            <w:gridSpan w:val="2"/>
            <w:vMerge w:val="restart"/>
            <w:tcBorders>
              <w:top w:val="single" w:color="auto" w:sz="4" w:space="0"/>
            </w:tcBorders>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是否考虑岸线熏烟</w:t>
            </w:r>
          </w:p>
        </w:tc>
        <w:tc>
          <w:tcPr>
            <w:tcW w:w="3119"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考虑岸线熏烟</w:t>
            </w:r>
          </w:p>
        </w:tc>
        <w:tc>
          <w:tcPr>
            <w:tcW w:w="2543"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kern w:val="0"/>
                <w:szCs w:val="21"/>
              </w:rPr>
              <w:t>□</w:t>
            </w:r>
            <w:r>
              <w:rPr>
                <w:rFonts w:hint="default" w:ascii="Times New Roman Regular" w:hAnsi="Times New Roman Regular" w:cs="Times New Roman Regular"/>
                <w:color w:val="auto"/>
              </w:rPr>
              <w:t xml:space="preserve">是 </w:t>
            </w:r>
            <w:r>
              <w:rPr>
                <w:rFonts w:hint="default" w:ascii="Times New Roman Regular" w:hAnsi="Times New Roman Regular" w:cs="Times New Roman Regular"/>
                <w:color w:val="auto"/>
                <w:kern w:val="0"/>
                <w:szCs w:val="21"/>
              </w:rPr>
              <w:sym w:font="Wingdings 2" w:char="0052"/>
            </w:r>
            <w:r>
              <w:rPr>
                <w:rFonts w:hint="default" w:ascii="Times New Roman Regular" w:hAnsi="Times New Roman Regular" w:cs="Times New Roman Regular"/>
                <w:color w:val="auto"/>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978" w:type="dxa"/>
            <w:gridSpan w:val="2"/>
            <w:vMerge w:val="continue"/>
            <w:vAlign w:val="center"/>
          </w:tcPr>
          <w:p>
            <w:pPr>
              <w:pStyle w:val="136"/>
              <w:rPr>
                <w:rFonts w:hint="default" w:ascii="Times New Roman Regular" w:hAnsi="Times New Roman Regular" w:cs="Times New Roman Regular"/>
                <w:color w:val="auto"/>
              </w:rPr>
            </w:pPr>
          </w:p>
        </w:tc>
        <w:tc>
          <w:tcPr>
            <w:tcW w:w="3119"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岸线距离/m</w:t>
            </w:r>
          </w:p>
        </w:tc>
        <w:tc>
          <w:tcPr>
            <w:tcW w:w="2543"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978" w:type="dxa"/>
            <w:gridSpan w:val="2"/>
            <w:vMerge w:val="continue"/>
            <w:tcBorders>
              <w:bottom w:val="single" w:color="auto" w:sz="12" w:space="0"/>
            </w:tcBorders>
            <w:vAlign w:val="center"/>
          </w:tcPr>
          <w:p>
            <w:pPr>
              <w:pStyle w:val="136"/>
              <w:rPr>
                <w:rFonts w:hint="default" w:ascii="Times New Roman Regular" w:hAnsi="Times New Roman Regular" w:cs="Times New Roman Regular"/>
                <w:color w:val="auto"/>
              </w:rPr>
            </w:pPr>
          </w:p>
        </w:tc>
        <w:tc>
          <w:tcPr>
            <w:tcW w:w="3119"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岸线方向/°</w:t>
            </w:r>
          </w:p>
        </w:tc>
        <w:tc>
          <w:tcPr>
            <w:tcW w:w="2543" w:type="dxa"/>
            <w:vAlign w:val="center"/>
          </w:tcPr>
          <w:p>
            <w:pPr>
              <w:pStyle w:val="136"/>
              <w:rPr>
                <w:rFonts w:hint="default" w:ascii="Times New Roman Regular" w:hAnsi="Times New Roman Regular" w:cs="Times New Roman Regular"/>
                <w:color w:val="auto"/>
              </w:rPr>
            </w:pPr>
            <w:r>
              <w:rPr>
                <w:rFonts w:hint="default" w:ascii="Times New Roman Regular" w:hAnsi="Times New Roman Regular" w:cs="Times New Roman Regular"/>
                <w:color w:val="auto"/>
              </w:rPr>
              <w:t>/</w:t>
            </w:r>
          </w:p>
        </w:tc>
      </w:tr>
    </w:tbl>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 2 \* GB3 \* MERGEFORMAT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②</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rPr>
        <w:t>主要污染源估算模型计算结果</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lang w:val="en-US" w:eastAsia="zh-Hans"/>
        </w:rPr>
        <w:t>项目</w:t>
      </w:r>
      <w:r>
        <w:rPr>
          <w:rFonts w:hint="default" w:ascii="Times New Roman Regular" w:hAnsi="Times New Roman Regular" w:cs="Times New Roman Regular"/>
          <w:color w:val="auto"/>
        </w:rPr>
        <w:t>无组织废气估算参数及结果详见表7.2-4。</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表7.2-4项目无组织废气估算模式预测结果</w:t>
      </w:r>
    </w:p>
    <w:tbl>
      <w:tblPr>
        <w:tblStyle w:val="3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9"/>
        <w:gridCol w:w="941"/>
        <w:gridCol w:w="1099"/>
        <w:gridCol w:w="1072"/>
        <w:gridCol w:w="1164"/>
        <w:gridCol w:w="1058"/>
        <w:gridCol w:w="1046"/>
        <w:gridCol w:w="10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1"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面源</w:t>
            </w:r>
          </w:p>
        </w:tc>
        <w:tc>
          <w:tcPr>
            <w:tcW w:w="552"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污染源</w:t>
            </w:r>
          </w:p>
        </w:tc>
        <w:tc>
          <w:tcPr>
            <w:tcW w:w="644"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质量标准(mg/m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w:t>
            </w:r>
          </w:p>
        </w:tc>
        <w:tc>
          <w:tcPr>
            <w:tcW w:w="628"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污染物排放速率(kg/h)</w:t>
            </w:r>
          </w:p>
        </w:tc>
        <w:tc>
          <w:tcPr>
            <w:tcW w:w="682" w:type="pct"/>
            <w:vAlign w:val="center"/>
          </w:tcPr>
          <w:p>
            <w:pPr>
              <w:pStyle w:val="135"/>
              <w:jc w:val="center"/>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最大落地浓度(mg/m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w:t>
            </w:r>
          </w:p>
        </w:tc>
        <w:tc>
          <w:tcPr>
            <w:tcW w:w="620"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最大浓度距离（m）</w:t>
            </w:r>
          </w:p>
        </w:tc>
        <w:tc>
          <w:tcPr>
            <w:tcW w:w="613"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占标率(%)</w:t>
            </w:r>
          </w:p>
        </w:tc>
        <w:tc>
          <w:tcPr>
            <w:tcW w:w="635"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评价等级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1" w:type="pct"/>
            <w:vAlign w:val="center"/>
          </w:tcPr>
          <w:p>
            <w:pPr>
              <w:pStyle w:val="135"/>
              <w:rPr>
                <w:rFonts w:hint="default" w:ascii="Times New Roman Regular" w:hAnsi="Times New Roman Regular" w:eastAsia="宋体" w:cs="Times New Roman Regular"/>
                <w:color w:val="auto"/>
                <w:lang w:val="en-US" w:eastAsia="zh-Hans"/>
              </w:rPr>
            </w:pPr>
            <w:r>
              <w:rPr>
                <w:rFonts w:hint="eastAsia" w:ascii="Times New Roman Regular" w:hAnsi="Times New Roman Regular" w:cs="Times New Roman Regular"/>
                <w:color w:val="auto"/>
                <w:lang w:val="en-US" w:eastAsia="zh-Hans"/>
              </w:rPr>
              <w:t>生产</w:t>
            </w:r>
            <w:r>
              <w:rPr>
                <w:rFonts w:hint="default" w:ascii="Times New Roman Regular" w:hAnsi="Times New Roman Regular" w:cs="Times New Roman Regular"/>
                <w:color w:val="auto"/>
                <w:lang w:val="en-US" w:eastAsia="zh-Hans"/>
              </w:rPr>
              <w:t>工序</w:t>
            </w:r>
          </w:p>
        </w:tc>
        <w:tc>
          <w:tcPr>
            <w:tcW w:w="552"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颗粒物</w:t>
            </w:r>
          </w:p>
        </w:tc>
        <w:tc>
          <w:tcPr>
            <w:tcW w:w="644"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0.9</w:t>
            </w:r>
          </w:p>
        </w:tc>
        <w:tc>
          <w:tcPr>
            <w:tcW w:w="628"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0.021</w:t>
            </w:r>
          </w:p>
        </w:tc>
        <w:tc>
          <w:tcPr>
            <w:tcW w:w="682"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023</w:t>
            </w:r>
          </w:p>
        </w:tc>
        <w:tc>
          <w:tcPr>
            <w:tcW w:w="620"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24</w:t>
            </w:r>
          </w:p>
        </w:tc>
        <w:tc>
          <w:tcPr>
            <w:tcW w:w="613"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60</w:t>
            </w:r>
          </w:p>
        </w:tc>
        <w:tc>
          <w:tcPr>
            <w:tcW w:w="635" w:type="pct"/>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三级</w:t>
            </w:r>
          </w:p>
        </w:tc>
      </w:tr>
    </w:tbl>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估算模式计算结果表明，本项目废气排放的P</w:t>
      </w:r>
      <w:r>
        <w:rPr>
          <w:rFonts w:hint="default" w:ascii="Times New Roman Regular" w:hAnsi="Times New Roman Regular" w:cs="Times New Roman Regular"/>
          <w:color w:val="auto"/>
          <w:vertAlign w:val="subscript"/>
          <w:lang w:eastAsia="zh-Hans"/>
        </w:rPr>
        <w:t>max</w:t>
      </w:r>
      <w:r>
        <w:rPr>
          <w:rFonts w:hint="default" w:ascii="Times New Roman Regular" w:hAnsi="Times New Roman Regular" w:cs="Times New Roman Regular"/>
          <w:color w:val="auto"/>
        </w:rPr>
        <w:t>值为2</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60</w:t>
      </w:r>
      <w:r>
        <w:rPr>
          <w:rFonts w:hint="default" w:ascii="Times New Roman Regular" w:hAnsi="Times New Roman Regular" w:cs="Times New Roman Regular"/>
          <w:color w:val="auto"/>
        </w:rPr>
        <w:t>%。对照《环境影响评价技术导则--大气环境》（HJ 2.2-2018）要求，本项目大气环境评价工作等级定为二级，不进行进一步预测模式做预测，只对污染物排放量进行核算。</w:t>
      </w:r>
    </w:p>
    <w:p>
      <w:pPr>
        <w:ind w:left="2" w:leftChars="1" w:firstLine="504" w:firstLineChars="21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（5）评价结果分析</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项目无组织废气主要为</w:t>
      </w:r>
      <w:r>
        <w:rPr>
          <w:rFonts w:hint="default" w:ascii="Times New Roman Regular" w:hAnsi="Times New Roman Regular" w:cs="Times New Roman Regular"/>
          <w:color w:val="auto"/>
          <w:lang w:val="en-US" w:eastAsia="zh-Hans"/>
        </w:rPr>
        <w:t>焊接工序和打磨工序</w:t>
      </w:r>
      <w:r>
        <w:rPr>
          <w:rFonts w:hint="default" w:ascii="Times New Roman Regular" w:hAnsi="Times New Roman Regular" w:cs="Times New Roman Regular"/>
          <w:color w:val="auto"/>
        </w:rPr>
        <w:t>无组织挥发的颗粒物。由表7.2-4估算结果可知，项目生产过程颗粒物无组织排放最大落地浓度出现在下风向24m处，最大落地浓度为0</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023</w:t>
      </w:r>
      <w:r>
        <w:rPr>
          <w:rFonts w:hint="default" w:ascii="Times New Roman Regular" w:hAnsi="Times New Roman Regular" w:cs="Times New Roman Regular"/>
          <w:color w:val="auto"/>
        </w:rPr>
        <w:t>mg/m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，最大占标率为2</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60</w:t>
      </w:r>
      <w:r>
        <w:rPr>
          <w:rFonts w:hint="default" w:ascii="Times New Roman Regular" w:hAnsi="Times New Roman Regular" w:cs="Times New Roman Regular"/>
          <w:color w:val="auto"/>
        </w:rPr>
        <w:t>%，项目</w:t>
      </w:r>
      <w:r>
        <w:rPr>
          <w:rFonts w:hint="eastAsia" w:ascii="Times New Roman Regular" w:hAnsi="Times New Roman Regular" w:cs="Times New Roman Regular"/>
          <w:color w:val="auto"/>
          <w:lang w:val="en-US" w:eastAsia="zh-Hans"/>
        </w:rPr>
        <w:t>生产</w:t>
      </w:r>
      <w:r>
        <w:rPr>
          <w:rFonts w:hint="default" w:ascii="Times New Roman Regular" w:hAnsi="Times New Roman Regular" w:cs="Times New Roman Regular"/>
          <w:color w:val="auto"/>
        </w:rPr>
        <w:t>无组织</w:t>
      </w:r>
      <w:r>
        <w:rPr>
          <w:rFonts w:hint="default" w:ascii="Times New Roman Regular" w:hAnsi="Times New Roman Regular" w:cs="Times New Roman Regular"/>
          <w:color w:val="auto"/>
          <w:lang w:val="en-US" w:eastAsia="zh-Hans"/>
        </w:rPr>
        <w:t>颗粒物</w:t>
      </w:r>
      <w:r>
        <w:rPr>
          <w:rFonts w:hint="default" w:ascii="Times New Roman Regular" w:hAnsi="Times New Roman Regular" w:cs="Times New Roman Regular"/>
          <w:color w:val="auto"/>
        </w:rPr>
        <w:t>排放对评价区域污染物浓度增量贡献值小。</w:t>
      </w:r>
    </w:p>
    <w:p>
      <w:pPr>
        <w:ind w:left="2" w:leftChars="1" w:firstLine="504" w:firstLineChars="21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（6）项目废气排放量</w:t>
      </w:r>
      <w:r>
        <w:rPr>
          <w:rFonts w:hint="default" w:ascii="Times New Roman Regular" w:hAnsi="Times New Roman Regular" w:cs="Times New Roman Regular"/>
          <w:color w:val="auto"/>
          <w:lang w:val="en-US" w:eastAsia="zh-Hans"/>
        </w:rPr>
        <w:t>核算</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项目</w:t>
      </w:r>
      <w:r>
        <w:rPr>
          <w:rFonts w:hint="default" w:ascii="Times New Roman Regular" w:hAnsi="Times New Roman Regular" w:cs="Times New Roman Regular"/>
          <w:color w:val="auto"/>
          <w:lang w:val="en-US" w:eastAsia="zh-Hans"/>
        </w:rPr>
        <w:t>无</w:t>
      </w:r>
      <w:r>
        <w:rPr>
          <w:rFonts w:hint="default" w:ascii="Times New Roman Regular" w:hAnsi="Times New Roman Regular" w:cs="Times New Roman Regular"/>
          <w:color w:val="auto"/>
        </w:rPr>
        <w:t>组织废气污染物排放量见表7.2-5。</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表7.2-5 项目大气污染物无组织排放量核算表</w:t>
      </w:r>
    </w:p>
    <w:tbl>
      <w:tblPr>
        <w:tblStyle w:val="3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2"/>
        <w:gridCol w:w="1344"/>
        <w:gridCol w:w="1243"/>
        <w:gridCol w:w="2093"/>
        <w:gridCol w:w="1501"/>
        <w:gridCol w:w="10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87" w:type="pct"/>
            <w:vMerge w:val="restar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产污环节</w:t>
            </w:r>
          </w:p>
        </w:tc>
        <w:tc>
          <w:tcPr>
            <w:tcW w:w="788" w:type="pct"/>
            <w:vMerge w:val="restar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污染物</w:t>
            </w:r>
          </w:p>
        </w:tc>
        <w:tc>
          <w:tcPr>
            <w:tcW w:w="729" w:type="pct"/>
            <w:vMerge w:val="restar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主要污染防治措施</w:t>
            </w:r>
          </w:p>
        </w:tc>
        <w:tc>
          <w:tcPr>
            <w:tcW w:w="2107" w:type="pct"/>
            <w:gridSpan w:val="2"/>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国家或地方污染物排放标准</w:t>
            </w:r>
          </w:p>
        </w:tc>
        <w:tc>
          <w:tcPr>
            <w:tcW w:w="587" w:type="pct"/>
            <w:vMerge w:val="restar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87" w:type="pct"/>
            <w:vMerge w:val="continue"/>
            <w:tcBorders>
              <w:tl2br w:val="nil"/>
              <w:tr2bl w:val="nil"/>
            </w:tcBorders>
            <w:vAlign w:val="center"/>
          </w:tcPr>
          <w:p>
            <w:pPr>
              <w:pStyle w:val="135"/>
              <w:rPr>
                <w:rFonts w:hint="default" w:ascii="Times New Roman Regular" w:hAnsi="Times New Roman Regular" w:cs="Times New Roman Regular"/>
                <w:color w:val="auto"/>
              </w:rPr>
            </w:pPr>
          </w:p>
        </w:tc>
        <w:tc>
          <w:tcPr>
            <w:tcW w:w="788" w:type="pct"/>
            <w:vMerge w:val="continue"/>
            <w:tcBorders>
              <w:tl2br w:val="nil"/>
              <w:tr2bl w:val="nil"/>
            </w:tcBorders>
            <w:vAlign w:val="center"/>
          </w:tcPr>
          <w:p>
            <w:pPr>
              <w:pStyle w:val="135"/>
              <w:rPr>
                <w:rFonts w:hint="default" w:ascii="Times New Roman Regular" w:hAnsi="Times New Roman Regular" w:cs="Times New Roman Regular"/>
                <w:color w:val="auto"/>
              </w:rPr>
            </w:pPr>
          </w:p>
        </w:tc>
        <w:tc>
          <w:tcPr>
            <w:tcW w:w="729" w:type="pct"/>
            <w:vMerge w:val="continue"/>
            <w:tcBorders>
              <w:tl2br w:val="nil"/>
              <w:tr2bl w:val="nil"/>
            </w:tcBorders>
            <w:vAlign w:val="center"/>
          </w:tcPr>
          <w:p>
            <w:pPr>
              <w:pStyle w:val="135"/>
              <w:rPr>
                <w:rFonts w:hint="default" w:ascii="Times New Roman Regular" w:hAnsi="Times New Roman Regular" w:cs="Times New Roman Regular"/>
                <w:color w:val="auto"/>
              </w:rPr>
            </w:pPr>
          </w:p>
        </w:tc>
        <w:tc>
          <w:tcPr>
            <w:tcW w:w="1227"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标准名称</w:t>
            </w:r>
          </w:p>
        </w:tc>
        <w:tc>
          <w:tcPr>
            <w:tcW w:w="880"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浓度限值</w:t>
            </w:r>
          </w:p>
        </w:tc>
        <w:tc>
          <w:tcPr>
            <w:tcW w:w="587" w:type="pct"/>
            <w:vMerge w:val="continue"/>
            <w:tcBorders>
              <w:tl2br w:val="nil"/>
              <w:tr2bl w:val="nil"/>
            </w:tcBorders>
            <w:vAlign w:val="center"/>
          </w:tcPr>
          <w:p>
            <w:pPr>
              <w:pStyle w:val="135"/>
              <w:rPr>
                <w:rFonts w:hint="default" w:ascii="Times New Roman Regular" w:hAnsi="Times New Roman Regular" w:cs="Times New Roman Regula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87" w:type="pct"/>
            <w:tcBorders>
              <w:tl2br w:val="nil"/>
              <w:tr2bl w:val="nil"/>
            </w:tcBorders>
            <w:vAlign w:val="center"/>
          </w:tcPr>
          <w:p>
            <w:pPr>
              <w:pStyle w:val="135"/>
              <w:rPr>
                <w:rFonts w:hint="default" w:ascii="Times New Roman Regular" w:hAnsi="Times New Roman Regular" w:eastAsia="宋体" w:cs="Times New Roman Regular"/>
                <w:color w:val="auto"/>
                <w:lang w:val="en-US" w:eastAsia="zh-Hans"/>
              </w:rPr>
            </w:pPr>
            <w:r>
              <w:rPr>
                <w:rFonts w:hint="eastAsia" w:ascii="Times New Roman Regular" w:hAnsi="Times New Roman Regular" w:eastAsia="宋体" w:cs="Times New Roman Regular"/>
                <w:color w:val="auto"/>
                <w:lang w:val="en-US" w:eastAsia="zh-Hans"/>
              </w:rPr>
              <w:t>生产工序</w:t>
            </w:r>
          </w:p>
        </w:tc>
        <w:tc>
          <w:tcPr>
            <w:tcW w:w="788" w:type="pct"/>
            <w:tcBorders>
              <w:tl2br w:val="nil"/>
              <w:tr2bl w:val="nil"/>
            </w:tcBorders>
            <w:vAlign w:val="center"/>
          </w:tcPr>
          <w:p>
            <w:pPr>
              <w:pStyle w:val="135"/>
              <w:rPr>
                <w:rFonts w:hint="default" w:ascii="Times New Roman Regular" w:hAnsi="Times New Roman Regular" w:eastAsia="宋体" w:cs="Times New Roman Regular"/>
                <w:color w:val="auto"/>
                <w:lang w:val="en-US" w:eastAsia="zh-Hans"/>
              </w:rPr>
            </w:pPr>
            <w:r>
              <w:rPr>
                <w:rFonts w:hint="default" w:ascii="Times New Roman Regular" w:hAnsi="Times New Roman Regular" w:cs="Times New Roman Regular"/>
                <w:color w:val="auto"/>
                <w:lang w:val="en-US" w:eastAsia="zh-Hans"/>
              </w:rPr>
              <w:t>颗粒物</w:t>
            </w:r>
          </w:p>
        </w:tc>
        <w:tc>
          <w:tcPr>
            <w:tcW w:w="729"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加强</w:t>
            </w:r>
            <w:r>
              <w:rPr>
                <w:rFonts w:hint="eastAsia" w:ascii="Times New Roman Regular" w:hAnsi="Times New Roman Regular" w:cs="Times New Roman Regular"/>
                <w:color w:val="auto"/>
                <w:lang w:val="en-US" w:eastAsia="zh-Hans"/>
              </w:rPr>
              <w:t>车间通风换气</w:t>
            </w:r>
          </w:p>
        </w:tc>
        <w:tc>
          <w:tcPr>
            <w:tcW w:w="1227"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《大气污染物综合排放标准》（GB16297-1996）</w:t>
            </w:r>
          </w:p>
        </w:tc>
        <w:tc>
          <w:tcPr>
            <w:tcW w:w="880"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1.0mg/m</w:t>
            </w:r>
            <w:r>
              <w:rPr>
                <w:rFonts w:hint="default" w:ascii="Times New Roman Regular" w:hAnsi="Times New Roman Regular" w:cs="Times New Roman Regular"/>
                <w:color w:val="auto"/>
                <w:vertAlign w:val="superscript"/>
              </w:rPr>
              <w:t>3</w:t>
            </w:r>
          </w:p>
        </w:tc>
        <w:tc>
          <w:tcPr>
            <w:tcW w:w="587" w:type="pct"/>
            <w:tcBorders>
              <w:tl2br w:val="nil"/>
              <w:tr2bl w:val="nil"/>
            </w:tcBorders>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0.045</w:t>
            </w:r>
          </w:p>
        </w:tc>
      </w:tr>
    </w:tbl>
    <w:p>
      <w:pPr>
        <w:pStyle w:val="4"/>
        <w:keepNext/>
        <w:keepLines/>
        <w:widowControl w:val="0"/>
        <w:spacing w:before="156" w:beforeLines="50" w:after="156" w:afterLines="50"/>
        <w:outlineLvl w:val="1"/>
        <w:rPr>
          <w:rFonts w:hint="default" w:ascii="Times New Roman Regular" w:hAnsi="Times New Roman Regular" w:cs="Times New Roman Regular"/>
          <w:bCs w:val="0"/>
          <w:color w:val="auto"/>
          <w:kern w:val="2"/>
        </w:rPr>
      </w:pPr>
      <w:bookmarkStart w:id="253" w:name="_Toc974101977_WPSOffice_Level2"/>
      <w:bookmarkStart w:id="254" w:name="_Toc1287200391"/>
      <w:bookmarkStart w:id="255" w:name="_Toc47618348"/>
      <w:r>
        <w:rPr>
          <w:rFonts w:hint="default" w:ascii="Times New Roman Regular" w:hAnsi="Times New Roman Regular" w:cs="Times New Roman Regular"/>
          <w:bCs w:val="0"/>
          <w:color w:val="auto"/>
          <w:kern w:val="2"/>
        </w:rPr>
        <w:t>7.3 声环境影响分析</w:t>
      </w:r>
      <w:bookmarkEnd w:id="253"/>
      <w:bookmarkEnd w:id="254"/>
      <w:bookmarkEnd w:id="255"/>
    </w:p>
    <w:p>
      <w:pPr>
        <w:ind w:left="2" w:leftChars="1" w:firstLine="504" w:firstLineChars="210"/>
        <w:rPr>
          <w:rFonts w:hint="default" w:ascii="Times New Roman Regular" w:hAnsi="Times New Roman Regular" w:cs="Times New Roman Regular"/>
          <w:color w:val="auto"/>
        </w:rPr>
      </w:pPr>
      <w:bookmarkStart w:id="256" w:name="_Toc47618349"/>
      <w:r>
        <w:rPr>
          <w:rFonts w:hint="default" w:ascii="Times New Roman Regular" w:hAnsi="Times New Roman Regular" w:cs="Times New Roman Regular"/>
          <w:color w:val="auto"/>
        </w:rPr>
        <w:t>（1）噪声预测模式</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工业噪声源按点声源处理，且声源多位于地面，可近似认为是半自由场的球面坡扩散，室外声源的预测模式为：</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无指向性点声源几何发散衰减公式：</w:t>
      </w:r>
    </w:p>
    <w:p>
      <w:pPr>
        <w:ind w:firstLine="480"/>
        <w:jc w:val="center"/>
        <w:rPr>
          <w:rFonts w:hint="default" w:ascii="Times New Roman Regular" w:hAnsi="Times New Roman Regular" w:cs="Times New Roman Regular"/>
          <w:color w:val="auto"/>
        </w:rPr>
      </w:pPr>
      <w:r>
        <w:rPr>
          <w:rFonts w:hint="default" w:ascii="Times New Roman Regular" w:hAnsi="Times New Roman Regular" w:cs="Times New Roman Regular"/>
          <w:color w:val="auto"/>
          <w:position w:val="-26"/>
        </w:rPr>
        <w:object>
          <v:shape id="_x0000_i1025" o:spt="75" type="#_x0000_t75" style="height:31.7pt;width:138.05pt;" o:ole="t" fillcolor="#6D6D6D" filled="t" coordsize="21600,21600">
            <v:path/>
            <v:fill on="t" focussize="0,0"/>
            <v:stroke/>
            <v:imagedata r:id="rId19" o:title=""/>
            <o:lock v:ext="edit" aspectratio="t"/>
            <w10:wrap type="none"/>
            <w10:anchorlock/>
          </v:shape>
          <o:OLEObject Type="Embed" ProgID="Equation" ShapeID="_x0000_i1025" DrawAspect="Content" ObjectID="_1468075725" r:id="rId18">
            <o:LockedField>false</o:LockedField>
          </o:OLEObject>
        </w:object>
      </w:r>
    </w:p>
    <w:p>
      <w:pPr>
        <w:spacing w:line="480" w:lineRule="exact"/>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式中：L</w:t>
      </w:r>
      <w:r>
        <w:rPr>
          <w:rFonts w:hint="default" w:ascii="Times New Roman Regular" w:hAnsi="Times New Roman Regular" w:cs="Times New Roman Regular"/>
          <w:color w:val="auto"/>
          <w:vertAlign w:val="subscript"/>
        </w:rPr>
        <w:t>A(r)</w:t>
      </w:r>
      <w:r>
        <w:rPr>
          <w:rFonts w:hint="default" w:ascii="Times New Roman Regular" w:hAnsi="Times New Roman Regular" w:cs="Times New Roman Regular"/>
          <w:color w:val="auto"/>
        </w:rPr>
        <w:t>---距声源r处的A声级，dB</w:t>
      </w:r>
    </w:p>
    <w:p>
      <w:pPr>
        <w:spacing w:line="480" w:lineRule="exact"/>
        <w:ind w:firstLine="1200" w:firstLineChars="5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L</w:t>
      </w:r>
      <w:r>
        <w:rPr>
          <w:rFonts w:hint="default" w:ascii="Times New Roman Regular" w:hAnsi="Times New Roman Regular" w:cs="Times New Roman Regular"/>
          <w:color w:val="auto"/>
          <w:vertAlign w:val="subscript"/>
        </w:rPr>
        <w:t>A(r0)</w:t>
      </w:r>
      <w:r>
        <w:rPr>
          <w:rFonts w:hint="default" w:ascii="Times New Roman Regular" w:hAnsi="Times New Roman Regular" w:cs="Times New Roman Regular"/>
          <w:color w:val="auto"/>
        </w:rPr>
        <w:t>--参考位置r</w:t>
      </w:r>
      <w:r>
        <w:rPr>
          <w:rFonts w:hint="default" w:ascii="Times New Roman Regular" w:hAnsi="Times New Roman Regular" w:cs="Times New Roman Regular"/>
          <w:color w:val="auto"/>
          <w:vertAlign w:val="subscript"/>
        </w:rPr>
        <w:t>0</w:t>
      </w:r>
      <w:r>
        <w:rPr>
          <w:rFonts w:hint="default" w:ascii="Times New Roman Regular" w:hAnsi="Times New Roman Regular" w:cs="Times New Roman Regular"/>
          <w:color w:val="auto"/>
        </w:rPr>
        <w:t>处的A声级，dB</w:t>
      </w:r>
    </w:p>
    <w:p>
      <w:pPr>
        <w:spacing w:line="480" w:lineRule="exact"/>
        <w:ind w:firstLine="1200" w:firstLineChars="5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r ------预测点距声源的距离，m</w:t>
      </w:r>
    </w:p>
    <w:p>
      <w:pPr>
        <w:spacing w:line="480" w:lineRule="exact"/>
        <w:ind w:firstLine="1200" w:firstLineChars="5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r</w:t>
      </w:r>
      <w:r>
        <w:rPr>
          <w:rFonts w:hint="default" w:ascii="Times New Roman Regular" w:hAnsi="Times New Roman Regular" w:cs="Times New Roman Regular"/>
          <w:color w:val="auto"/>
          <w:vertAlign w:val="subscript"/>
        </w:rPr>
        <w:t>0</w:t>
      </w:r>
      <w:r>
        <w:rPr>
          <w:rFonts w:hint="default" w:ascii="Times New Roman Regular" w:hAnsi="Times New Roman Regular" w:cs="Times New Roman Regular"/>
          <w:color w:val="auto"/>
        </w:rPr>
        <w:t>------参考位置距声源的距离，m</w:t>
      </w:r>
    </w:p>
    <w:p>
      <w:pPr>
        <w:spacing w:line="480" w:lineRule="exact"/>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预测点的预测等效声级(L</w:t>
      </w:r>
      <w:r>
        <w:rPr>
          <w:rFonts w:hint="default" w:ascii="Times New Roman Regular" w:hAnsi="Times New Roman Regular" w:cs="Times New Roman Regular"/>
          <w:color w:val="auto"/>
          <w:vertAlign w:val="subscript"/>
        </w:rPr>
        <w:t>eq</w:t>
      </w:r>
      <w:r>
        <w:rPr>
          <w:rFonts w:hint="default" w:ascii="Times New Roman Regular" w:hAnsi="Times New Roman Regular" w:cs="Times New Roman Regular"/>
          <w:color w:val="auto"/>
        </w:rPr>
        <w:t>)计算公式：</w:t>
      </w:r>
    </w:p>
    <w:p>
      <w:pPr>
        <w:ind w:firstLine="199" w:firstLineChars="83"/>
        <w:jc w:val="center"/>
        <w:rPr>
          <w:rFonts w:hint="default" w:ascii="Times New Roman Regular" w:hAnsi="Times New Roman Regular" w:cs="Times New Roman Regular"/>
          <w:color w:val="auto"/>
        </w:rPr>
      </w:pPr>
      <w:r>
        <w:rPr>
          <w:rFonts w:hint="default" w:ascii="Times New Roman Regular" w:hAnsi="Times New Roman Regular" w:cs="Times New Roman Regular"/>
          <w:color w:val="auto"/>
        </w:rPr>
        <w:drawing>
          <wp:inline distT="0" distB="0" distL="114300" distR="114300">
            <wp:extent cx="2235835" cy="399415"/>
            <wp:effectExtent l="0" t="0" r="24765" b="6985"/>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20"/>
                    <a:stretch>
                      <a:fillRect/>
                    </a:stretch>
                  </pic:blipFill>
                  <pic:spPr>
                    <a:xfrm>
                      <a:off x="0" y="0"/>
                      <a:ext cx="2235835" cy="399415"/>
                    </a:xfrm>
                    <a:prstGeom prst="rect">
                      <a:avLst/>
                    </a:prstGeom>
                    <a:noFill/>
                    <a:ln w="9525">
                      <a:noFill/>
                    </a:ln>
                  </pic:spPr>
                </pic:pic>
              </a:graphicData>
            </a:graphic>
          </wp:inline>
        </w:drawing>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式中：L</w:t>
      </w:r>
      <w:r>
        <w:rPr>
          <w:rFonts w:hint="default" w:ascii="Times New Roman Regular" w:hAnsi="Times New Roman Regular" w:cs="Times New Roman Regular"/>
          <w:color w:val="auto"/>
          <w:vertAlign w:val="subscript"/>
        </w:rPr>
        <w:t>eq g</w:t>
      </w:r>
      <w:r>
        <w:rPr>
          <w:rFonts w:hint="default" w:ascii="Times New Roman Regular" w:hAnsi="Times New Roman Regular" w:cs="Times New Roman Regular"/>
          <w:color w:val="auto"/>
        </w:rPr>
        <w:t xml:space="preserve">—建设项目声源在预测点的等效声级贡献值，dB(A)； </w:t>
      </w:r>
    </w:p>
    <w:p>
      <w:pPr>
        <w:spacing w:line="480" w:lineRule="exact"/>
        <w:ind w:firstLine="1200" w:firstLineChars="5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L</w:t>
      </w:r>
      <w:r>
        <w:rPr>
          <w:rFonts w:hint="default" w:ascii="Times New Roman Regular" w:hAnsi="Times New Roman Regular" w:cs="Times New Roman Regular"/>
          <w:color w:val="auto"/>
          <w:vertAlign w:val="subscript"/>
        </w:rPr>
        <w:t>eqb</w:t>
      </w:r>
      <w:r>
        <w:rPr>
          <w:rFonts w:hint="default" w:ascii="Times New Roman Regular" w:hAnsi="Times New Roman Regular" w:cs="Times New Roman Regular"/>
          <w:color w:val="auto"/>
        </w:rPr>
        <w:t>—预测点的背景值，dB(A)。</w:t>
      </w:r>
    </w:p>
    <w:p>
      <w:pPr>
        <w:ind w:left="2" w:leftChars="1" w:firstLine="504" w:firstLineChars="21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（2）项目噪声影响分析</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项目噪声主要产生于</w:t>
      </w:r>
      <w:r>
        <w:rPr>
          <w:rFonts w:hint="eastAsia" w:ascii="Times New Roman Regular" w:hAnsi="Times New Roman Regular" w:cs="Times New Roman Regular"/>
          <w:color w:val="auto"/>
          <w:lang w:val="en-US" w:eastAsia="zh-Hans"/>
        </w:rPr>
        <w:t>镗铣加工中心</w:t>
      </w:r>
      <w:r>
        <w:rPr>
          <w:rFonts w:hint="default" w:ascii="Times New Roman Regular" w:hAnsi="Times New Roman Regular" w:cs="Times New Roman Regular"/>
          <w:color w:val="auto"/>
          <w:lang w:eastAsia="zh-Hans"/>
        </w:rPr>
        <w:t>、</w:t>
      </w:r>
      <w:r>
        <w:rPr>
          <w:rFonts w:hint="eastAsia" w:ascii="Times New Roman Regular" w:hAnsi="Times New Roman Regular" w:cs="Times New Roman Regular"/>
          <w:color w:val="auto"/>
          <w:lang w:val="en-US" w:eastAsia="zh-Hans"/>
        </w:rPr>
        <w:t>数控车床</w:t>
      </w:r>
      <w:r>
        <w:rPr>
          <w:rFonts w:hint="default" w:ascii="Times New Roman Regular" w:hAnsi="Times New Roman Regular" w:cs="Times New Roman Regular"/>
          <w:color w:val="auto"/>
          <w:lang w:eastAsia="zh-Hans"/>
        </w:rPr>
        <w:t>、</w:t>
      </w:r>
      <w:r>
        <w:rPr>
          <w:rFonts w:hint="eastAsia" w:ascii="Times New Roman Regular" w:hAnsi="Times New Roman Regular" w:cs="Times New Roman Regular"/>
          <w:color w:val="auto"/>
          <w:lang w:val="en-US" w:eastAsia="zh-Hans"/>
        </w:rPr>
        <w:t>台式钻床</w:t>
      </w:r>
      <w:r>
        <w:rPr>
          <w:rFonts w:hint="default" w:ascii="Times New Roman Regular" w:hAnsi="Times New Roman Regular" w:cs="Times New Roman Regular"/>
          <w:color w:val="auto"/>
        </w:rPr>
        <w:t>等</w:t>
      </w:r>
      <w:r>
        <w:rPr>
          <w:rFonts w:hint="eastAsia" w:ascii="Times New Roman Regular" w:hAnsi="Times New Roman Regular" w:cs="Times New Roman Regular"/>
          <w:color w:val="auto"/>
          <w:lang w:val="en-US" w:eastAsia="zh-Hans"/>
        </w:rPr>
        <w:t>设备运行</w:t>
      </w:r>
      <w:r>
        <w:rPr>
          <w:rFonts w:hint="default" w:ascii="Times New Roman Regular" w:hAnsi="Times New Roman Regular" w:cs="Times New Roman Regular"/>
          <w:color w:val="auto"/>
        </w:rPr>
        <w:t>，上述</w:t>
      </w:r>
      <w:r>
        <w:rPr>
          <w:rFonts w:hint="default" w:ascii="Times New Roman Regular" w:hAnsi="Times New Roman Regular" w:cs="Times New Roman Regular"/>
          <w:color w:val="auto"/>
          <w:lang w:val="en-US" w:eastAsia="zh-Hans"/>
        </w:rPr>
        <w:t>工序</w:t>
      </w:r>
      <w:r>
        <w:rPr>
          <w:rFonts w:hint="default" w:ascii="Times New Roman Regular" w:hAnsi="Times New Roman Regular" w:cs="Times New Roman Regular"/>
          <w:color w:val="auto"/>
        </w:rPr>
        <w:t>设备均位于厂房内部。企业仅在昼间进行生产，上述设备运行噪声的贡献值预测见表7</w:t>
      </w:r>
      <w:r>
        <w:rPr>
          <w:rFonts w:hint="default" w:ascii="Times New Roman Regular" w:hAnsi="Times New Roman Regular" w:cs="Times New Roman Regular"/>
          <w:color w:val="auto"/>
          <w:lang w:eastAsia="zh-Hans"/>
        </w:rPr>
        <w:t>.3-1</w:t>
      </w:r>
      <w:r>
        <w:rPr>
          <w:rFonts w:hint="default" w:ascii="Times New Roman Regular" w:hAnsi="Times New Roman Regular" w:cs="Times New Roman Regular"/>
          <w:color w:val="auto"/>
        </w:rPr>
        <w:t>。</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表7.3-1    噪声预测结果    单位: dB（A）</w:t>
      </w:r>
    </w:p>
    <w:tbl>
      <w:tblPr>
        <w:tblStyle w:val="3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6"/>
        <w:gridCol w:w="1793"/>
        <w:gridCol w:w="1820"/>
        <w:gridCol w:w="994"/>
        <w:gridCol w:w="997"/>
        <w:gridCol w:w="994"/>
        <w:gridCol w:w="9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96" w:type="dxa"/>
            <w:vMerge w:val="restart"/>
            <w:vAlign w:val="center"/>
          </w:tcPr>
          <w:p>
            <w:pPr>
              <w:pStyle w:val="91"/>
              <w:tabs>
                <w:tab w:val="center" w:pos="4153"/>
                <w:tab w:val="right" w:pos="8306"/>
              </w:tabs>
              <w:rPr>
                <w:rFonts w:hint="default" w:ascii="Times New Roman Regular" w:hAnsi="Times New Roman Regular" w:cs="Times New Roman Regular"/>
                <w:color w:val="auto"/>
              </w:rPr>
            </w:pPr>
            <w:bookmarkStart w:id="257" w:name="OLE_LINK2"/>
            <w:r>
              <w:rPr>
                <w:rFonts w:hint="default" w:ascii="Times New Roman Regular" w:hAnsi="Times New Roman Regular" w:cs="Times New Roman Regular"/>
                <w:color w:val="auto"/>
              </w:rPr>
              <w:t>编号</w:t>
            </w:r>
          </w:p>
        </w:tc>
        <w:tc>
          <w:tcPr>
            <w:tcW w:w="1793" w:type="dxa"/>
            <w:vMerge w:val="restart"/>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位置</w:t>
            </w:r>
          </w:p>
        </w:tc>
        <w:tc>
          <w:tcPr>
            <w:tcW w:w="1820"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贡献值</w:t>
            </w:r>
          </w:p>
        </w:tc>
        <w:tc>
          <w:tcPr>
            <w:tcW w:w="1991" w:type="dxa"/>
            <w:gridSpan w:val="2"/>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执行标准</w:t>
            </w:r>
          </w:p>
        </w:tc>
        <w:tc>
          <w:tcPr>
            <w:tcW w:w="1928" w:type="dxa"/>
            <w:gridSpan w:val="2"/>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96" w:type="dxa"/>
            <w:vMerge w:val="continue"/>
            <w:vAlign w:val="center"/>
          </w:tcPr>
          <w:p>
            <w:pPr>
              <w:pStyle w:val="91"/>
              <w:tabs>
                <w:tab w:val="center" w:pos="4153"/>
                <w:tab w:val="right" w:pos="8306"/>
              </w:tabs>
              <w:rPr>
                <w:rFonts w:hint="default" w:ascii="Times New Roman Regular" w:hAnsi="Times New Roman Regular" w:cs="Times New Roman Regular"/>
                <w:color w:val="auto"/>
              </w:rPr>
            </w:pPr>
          </w:p>
        </w:tc>
        <w:tc>
          <w:tcPr>
            <w:tcW w:w="1793" w:type="dxa"/>
            <w:vMerge w:val="continue"/>
            <w:vAlign w:val="center"/>
          </w:tcPr>
          <w:p>
            <w:pPr>
              <w:pStyle w:val="91"/>
              <w:tabs>
                <w:tab w:val="center" w:pos="4153"/>
                <w:tab w:val="right" w:pos="8306"/>
              </w:tabs>
              <w:rPr>
                <w:rFonts w:hint="default" w:ascii="Times New Roman Regular" w:hAnsi="Times New Roman Regular" w:cs="Times New Roman Regular"/>
                <w:color w:val="auto"/>
              </w:rPr>
            </w:pPr>
          </w:p>
        </w:tc>
        <w:tc>
          <w:tcPr>
            <w:tcW w:w="1820"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昼间</w:t>
            </w:r>
          </w:p>
        </w:tc>
        <w:tc>
          <w:tcPr>
            <w:tcW w:w="99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昼间</w:t>
            </w:r>
          </w:p>
        </w:tc>
        <w:tc>
          <w:tcPr>
            <w:tcW w:w="997"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夜间</w:t>
            </w:r>
          </w:p>
        </w:tc>
        <w:tc>
          <w:tcPr>
            <w:tcW w:w="99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昼间</w:t>
            </w:r>
          </w:p>
        </w:tc>
        <w:tc>
          <w:tcPr>
            <w:tcW w:w="93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96"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N1</w:t>
            </w:r>
          </w:p>
        </w:tc>
        <w:tc>
          <w:tcPr>
            <w:tcW w:w="1793"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北厂界</w:t>
            </w:r>
          </w:p>
        </w:tc>
        <w:tc>
          <w:tcPr>
            <w:tcW w:w="1820"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49</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3</w:t>
            </w:r>
          </w:p>
        </w:tc>
        <w:tc>
          <w:tcPr>
            <w:tcW w:w="99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65</w:t>
            </w:r>
          </w:p>
        </w:tc>
        <w:tc>
          <w:tcPr>
            <w:tcW w:w="997"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55</w:t>
            </w:r>
          </w:p>
        </w:tc>
        <w:tc>
          <w:tcPr>
            <w:tcW w:w="99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达标</w:t>
            </w:r>
          </w:p>
        </w:tc>
        <w:tc>
          <w:tcPr>
            <w:tcW w:w="93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996"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N2</w:t>
            </w:r>
          </w:p>
        </w:tc>
        <w:tc>
          <w:tcPr>
            <w:tcW w:w="1793"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西厂界</w:t>
            </w:r>
          </w:p>
        </w:tc>
        <w:tc>
          <w:tcPr>
            <w:tcW w:w="1820"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48.5</w:t>
            </w:r>
          </w:p>
        </w:tc>
        <w:tc>
          <w:tcPr>
            <w:tcW w:w="99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65</w:t>
            </w:r>
          </w:p>
        </w:tc>
        <w:tc>
          <w:tcPr>
            <w:tcW w:w="997"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55</w:t>
            </w:r>
          </w:p>
        </w:tc>
        <w:tc>
          <w:tcPr>
            <w:tcW w:w="99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达标</w:t>
            </w:r>
          </w:p>
        </w:tc>
        <w:tc>
          <w:tcPr>
            <w:tcW w:w="93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996"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N3</w:t>
            </w:r>
          </w:p>
        </w:tc>
        <w:tc>
          <w:tcPr>
            <w:tcW w:w="1793"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南厂界</w:t>
            </w:r>
          </w:p>
        </w:tc>
        <w:tc>
          <w:tcPr>
            <w:tcW w:w="1820"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52.8</w:t>
            </w:r>
          </w:p>
        </w:tc>
        <w:tc>
          <w:tcPr>
            <w:tcW w:w="99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70</w:t>
            </w:r>
          </w:p>
        </w:tc>
        <w:tc>
          <w:tcPr>
            <w:tcW w:w="997"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55</w:t>
            </w:r>
          </w:p>
        </w:tc>
        <w:tc>
          <w:tcPr>
            <w:tcW w:w="99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达标</w:t>
            </w:r>
          </w:p>
        </w:tc>
        <w:tc>
          <w:tcPr>
            <w:tcW w:w="93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96"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N4</w:t>
            </w:r>
          </w:p>
        </w:tc>
        <w:tc>
          <w:tcPr>
            <w:tcW w:w="1793"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东厂界</w:t>
            </w:r>
          </w:p>
        </w:tc>
        <w:tc>
          <w:tcPr>
            <w:tcW w:w="1820"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48.6</w:t>
            </w:r>
          </w:p>
        </w:tc>
        <w:tc>
          <w:tcPr>
            <w:tcW w:w="99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65</w:t>
            </w:r>
          </w:p>
        </w:tc>
        <w:tc>
          <w:tcPr>
            <w:tcW w:w="997"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55</w:t>
            </w:r>
          </w:p>
        </w:tc>
        <w:tc>
          <w:tcPr>
            <w:tcW w:w="99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达标</w:t>
            </w:r>
          </w:p>
        </w:tc>
        <w:tc>
          <w:tcPr>
            <w:tcW w:w="934" w:type="dxa"/>
            <w:vAlign w:val="center"/>
          </w:tcPr>
          <w:p>
            <w:pPr>
              <w:pStyle w:val="91"/>
              <w:tabs>
                <w:tab w:val="center" w:pos="4153"/>
                <w:tab w:val="right" w:pos="8306"/>
              </w:tabs>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达标</w:t>
            </w:r>
          </w:p>
        </w:tc>
      </w:tr>
      <w:bookmarkEnd w:id="257"/>
    </w:tbl>
    <w:p>
      <w:pPr>
        <w:ind w:firstLine="480" w:firstLineChars="200"/>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项目夜间不生产，预测结果表明，生产车间设备产生的噪声经墙体隔声后厂界噪声可满足《工业企业厂界环境噪声排放标准》（GB12348-2008）中3类、4类标准限值要求。因此当项目采取必要的墙面隔声、减震等降噪措施，可确保厂界噪声达标排放，对项目周围声环境不会产生明显不利影响。</w:t>
      </w:r>
    </w:p>
    <w:p>
      <w:pPr>
        <w:pStyle w:val="4"/>
        <w:keepNext/>
        <w:keepLines/>
        <w:widowControl w:val="0"/>
        <w:spacing w:before="156" w:beforeLines="50" w:after="156" w:afterLines="50"/>
        <w:outlineLvl w:val="1"/>
        <w:rPr>
          <w:rFonts w:hint="default" w:ascii="Times New Roman Regular" w:hAnsi="Times New Roman Regular" w:cs="Times New Roman Regular"/>
          <w:bCs w:val="0"/>
          <w:color w:val="auto"/>
          <w:kern w:val="2"/>
        </w:rPr>
      </w:pPr>
      <w:bookmarkStart w:id="258" w:name="_Toc226711659"/>
      <w:bookmarkStart w:id="259" w:name="_Toc1464086358_WPSOffice_Level2"/>
      <w:r>
        <w:rPr>
          <w:rFonts w:hint="default" w:ascii="Times New Roman Regular" w:hAnsi="Times New Roman Regular" w:cs="Times New Roman Regular"/>
          <w:bCs w:val="0"/>
          <w:color w:val="auto"/>
          <w:kern w:val="2"/>
        </w:rPr>
        <w:t>7.4 固体废物影响分析</w:t>
      </w:r>
      <w:bookmarkEnd w:id="256"/>
      <w:bookmarkEnd w:id="258"/>
      <w:bookmarkEnd w:id="259"/>
    </w:p>
    <w:p>
      <w:pPr>
        <w:adjustRightInd w:val="0"/>
        <w:snapToGrid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本项目产生的</w:t>
      </w:r>
      <w:r>
        <w:rPr>
          <w:rFonts w:hint="default" w:ascii="Times New Roman Regular" w:hAnsi="Times New Roman Regular" w:cs="Times New Roman Regular"/>
          <w:color w:val="auto"/>
          <w:lang w:eastAsia="zh-Hans"/>
        </w:rPr>
        <w:t>一般</w:t>
      </w:r>
      <w:r>
        <w:rPr>
          <w:rFonts w:hint="default" w:ascii="Times New Roman Regular" w:hAnsi="Times New Roman Regular" w:cs="Times New Roman Regular"/>
          <w:color w:val="auto"/>
        </w:rPr>
        <w:t>固废</w:t>
      </w:r>
      <w:r>
        <w:rPr>
          <w:rFonts w:hint="default" w:ascii="Times New Roman Regular" w:hAnsi="Times New Roman Regular" w:cs="Times New Roman Regular"/>
          <w:color w:val="auto"/>
          <w:lang w:val="en-US" w:eastAsia="zh-Hans"/>
        </w:rPr>
        <w:t>残次品和下脚料</w:t>
      </w:r>
      <w:r>
        <w:rPr>
          <w:rFonts w:hint="default" w:ascii="Times New Roman Regular" w:hAnsi="Times New Roman Regular" w:cs="Times New Roman Regular"/>
          <w:color w:val="auto"/>
          <w:lang w:eastAsia="zh-Hans"/>
        </w:rPr>
        <w:t>（共0</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225t/a），</w:t>
      </w:r>
      <w:r>
        <w:rPr>
          <w:rFonts w:hint="default" w:ascii="Times New Roman Regular" w:hAnsi="Times New Roman Regular" w:cs="Times New Roman Regular"/>
          <w:color w:val="auto"/>
        </w:rPr>
        <w:t>外售综合利用；</w:t>
      </w:r>
      <w:r>
        <w:rPr>
          <w:rFonts w:hint="eastAsia" w:ascii="Times New Roman Regular" w:hAnsi="Times New Roman Regular" w:cs="Times New Roman Regular"/>
          <w:color w:val="auto"/>
          <w:lang w:val="en-US" w:eastAsia="zh-Hans"/>
        </w:rPr>
        <w:t>胶水包装桶</w:t>
      </w:r>
      <w:r>
        <w:rPr>
          <w:rFonts w:hint="default" w:ascii="Times New Roman Regular" w:hAnsi="Times New Roman Regular" w:cs="Times New Roman Regular"/>
          <w:color w:val="auto"/>
          <w:lang w:eastAsia="zh-Hans"/>
        </w:rPr>
        <w:t>（1</w:t>
      </w:r>
      <w:r>
        <w:rPr>
          <w:rFonts w:hint="eastAsia" w:ascii="Times New Roman Regular" w:hAnsi="Times New Roman Regular" w:cs="Times New Roman Regular"/>
          <w:color w:val="auto"/>
          <w:lang w:val="en-US" w:eastAsia="zh-Hans"/>
        </w:rPr>
        <w:t>只</w:t>
      </w:r>
      <w:r>
        <w:rPr>
          <w:rFonts w:hint="default" w:ascii="Times New Roman Regular" w:hAnsi="Times New Roman Regular" w:cs="Times New Roman Regular"/>
          <w:color w:val="auto"/>
          <w:lang w:eastAsia="zh-Hans"/>
        </w:rPr>
        <w:t>/</w:t>
      </w:r>
      <w:r>
        <w:rPr>
          <w:rFonts w:hint="eastAsia" w:ascii="Times New Roman Regular" w:hAnsi="Times New Roman Regular" w:cs="Times New Roman Regular"/>
          <w:color w:val="auto"/>
          <w:lang w:val="en-US" w:eastAsia="zh-Hans"/>
        </w:rPr>
        <w:t>a</w:t>
      </w:r>
      <w:r>
        <w:rPr>
          <w:rFonts w:hint="default" w:ascii="Times New Roman Regular" w:hAnsi="Times New Roman Regular" w:cs="Times New Roman Regular"/>
          <w:color w:val="auto"/>
          <w:lang w:eastAsia="zh-Hans"/>
        </w:rPr>
        <w:t>），</w:t>
      </w:r>
      <w:r>
        <w:rPr>
          <w:rFonts w:hint="eastAsia" w:ascii="Times New Roman Regular" w:hAnsi="Times New Roman Regular" w:cs="Times New Roman Regular"/>
          <w:color w:val="auto"/>
          <w:lang w:val="en-US" w:eastAsia="zh-Hans"/>
        </w:rPr>
        <w:t>由出售公司回收</w:t>
      </w:r>
      <w:r>
        <w:rPr>
          <w:rFonts w:hint="default" w:ascii="Times New Roman Regular" w:hAnsi="Times New Roman Regular" w:cs="Times New Roman Regular"/>
          <w:color w:val="auto"/>
          <w:lang w:eastAsia="zh-Hans"/>
        </w:rPr>
        <w:t>。</w:t>
      </w:r>
    </w:p>
    <w:p>
      <w:pPr>
        <w:adjustRightInd w:val="0"/>
        <w:snapToGrid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生活垃圾（3</w:t>
      </w:r>
      <w:r>
        <w:rPr>
          <w:rFonts w:hint="default"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75t/a）</w:t>
      </w:r>
      <w:r>
        <w:rPr>
          <w:rFonts w:hint="default" w:ascii="Times New Roman Regular" w:hAnsi="Times New Roman Regular" w:cs="Times New Roman Regular"/>
          <w:color w:val="auto"/>
        </w:rPr>
        <w:t>采用袋装分类收集，投放指定地点，然后由环卫部门每日及时统一清运、处置。</w:t>
      </w:r>
      <w:bookmarkStart w:id="260" w:name="_Toc47618350"/>
    </w:p>
    <w:p>
      <w:pPr>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lang w:bidi="ar"/>
        </w:rPr>
        <w:t>综上所述，只要项目严格按照《一般工业固体废物贮存、处置场污染控制标准》（GB18599-2001）及其修改单的规定，以“减量化，资源化，无害化”为基本原则，在</w:t>
      </w:r>
      <w:r>
        <w:rPr>
          <w:rFonts w:hint="default" w:ascii="Times New Roman Regular" w:hAnsi="Times New Roman Regular" w:cs="Times New Roman Regular"/>
          <w:color w:val="auto"/>
          <w:lang w:val="en-US" w:eastAsia="zh-Hans" w:bidi="ar"/>
        </w:rPr>
        <w:t>固体</w:t>
      </w:r>
      <w:r>
        <w:rPr>
          <w:rFonts w:hint="default" w:ascii="Times New Roman Regular" w:hAnsi="Times New Roman Regular" w:cs="Times New Roman Regular"/>
          <w:color w:val="auto"/>
          <w:lang w:bidi="ar"/>
        </w:rPr>
        <w:t>废物的产生、收集、贮存、运输、利用和处置等过程以及运营期、服务期满后等全时段加强管理，本项目的固体废物不会对周围环境产生不利影响。</w:t>
      </w:r>
    </w:p>
    <w:p>
      <w:pPr>
        <w:pStyle w:val="4"/>
        <w:keepNext/>
        <w:keepLines/>
        <w:widowControl w:val="0"/>
        <w:spacing w:before="156" w:beforeLines="50" w:after="156" w:afterLines="50"/>
        <w:outlineLvl w:val="1"/>
        <w:rPr>
          <w:rFonts w:hint="default" w:ascii="Times New Roman Regular" w:hAnsi="Times New Roman Regular" w:cs="Times New Roman Regular"/>
          <w:bCs w:val="0"/>
          <w:color w:val="auto"/>
          <w:kern w:val="2"/>
        </w:rPr>
      </w:pPr>
      <w:bookmarkStart w:id="261" w:name="_Toc706863035"/>
      <w:bookmarkStart w:id="262" w:name="_Toc1031791580_WPSOffice_Level2"/>
      <w:r>
        <w:rPr>
          <w:rFonts w:hint="default" w:ascii="Times New Roman Regular" w:hAnsi="Times New Roman Regular" w:cs="Times New Roman Regular"/>
          <w:bCs w:val="0"/>
          <w:color w:val="auto"/>
          <w:kern w:val="2"/>
        </w:rPr>
        <w:t>7.5 土壤环境影响分析</w:t>
      </w:r>
      <w:bookmarkEnd w:id="260"/>
      <w:bookmarkEnd w:id="261"/>
      <w:bookmarkEnd w:id="262"/>
    </w:p>
    <w:p>
      <w:pPr>
        <w:adjustRightInd w:val="0"/>
        <w:snapToGrid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对照《环境影响评价技术导则 土壤环境（试行）》（HJ964-2018）中附录A土壤环境影响评价项目类别分析，项目工程主要从事</w:t>
      </w:r>
      <w:r>
        <w:rPr>
          <w:rFonts w:hint="default" w:ascii="Times New Roman Regular" w:hAnsi="Times New Roman Regular" w:cs="Times New Roman Regular"/>
          <w:color w:val="auto"/>
          <w:lang w:val="en-US" w:eastAsia="zh-Hans"/>
        </w:rPr>
        <w:t>机电设备的组装生产</w:t>
      </w:r>
      <w:r>
        <w:rPr>
          <w:rFonts w:hint="default" w:ascii="Times New Roman Regular" w:hAnsi="Times New Roman Regular" w:cs="Times New Roman Regular"/>
          <w:color w:val="auto"/>
        </w:rPr>
        <w:t>，对土壤环境影响类型为污染影响型，根据环境工程评估中心相关资料及项目可能对土壤产生的影响源、影响途径及影响因子分析，项目工程属于国民经济目录中“C3311金属结构制造”，对应HJ964-2018中附录A的“其他行业”，项目工程土壤环境影响类别为Ⅳ类。根据《环境影响评价技术导则 土壤环境（试行）》（HJ964-2018）中“污染影响型评价工作等级划分表”分析可知，项目土壤环境评价等级低于三级，可不开展土壤环境影响评价工作。</w:t>
      </w:r>
    </w:p>
    <w:p>
      <w:pPr>
        <w:pStyle w:val="4"/>
        <w:keepNext/>
        <w:keepLines/>
        <w:widowControl w:val="0"/>
        <w:spacing w:before="156" w:beforeLines="50" w:after="156" w:afterLines="50"/>
        <w:outlineLvl w:val="1"/>
        <w:rPr>
          <w:rFonts w:hint="default" w:ascii="Times New Roman Regular" w:hAnsi="Times New Roman Regular" w:cs="Times New Roman Regular"/>
          <w:bCs w:val="0"/>
          <w:color w:val="auto"/>
          <w:kern w:val="2"/>
        </w:rPr>
      </w:pPr>
      <w:bookmarkStart w:id="263" w:name="_Toc47618351"/>
      <w:bookmarkStart w:id="264" w:name="_Toc367494041"/>
      <w:bookmarkStart w:id="265" w:name="_Toc390635535_WPSOffice_Level2"/>
      <w:r>
        <w:rPr>
          <w:rFonts w:hint="default" w:ascii="Times New Roman Regular" w:hAnsi="Times New Roman Regular" w:cs="Times New Roman Regular"/>
          <w:bCs w:val="0"/>
          <w:color w:val="auto"/>
          <w:kern w:val="2"/>
        </w:rPr>
        <w:t>7.6 环境风险影响分析</w:t>
      </w:r>
      <w:bookmarkEnd w:id="263"/>
      <w:bookmarkEnd w:id="264"/>
      <w:bookmarkEnd w:id="265"/>
    </w:p>
    <w:p>
      <w:pPr>
        <w:pStyle w:val="35"/>
        <w:widowControl w:val="0"/>
        <w:ind w:left="0" w:leftChars="0" w:firstLine="480"/>
        <w:rPr>
          <w:rFonts w:hint="default" w:ascii="Times New Roman Regular" w:hAnsi="Times New Roman Regular" w:cs="Times New Roman Regular"/>
          <w:color w:val="auto"/>
        </w:rPr>
      </w:pPr>
      <w:bookmarkStart w:id="266" w:name="_Toc46314243"/>
      <w:bookmarkStart w:id="267" w:name="_Toc44275465"/>
      <w:bookmarkStart w:id="268" w:name="_Toc47618352"/>
      <w:bookmarkStart w:id="269" w:name="_Toc44272309"/>
      <w:r>
        <w:rPr>
          <w:rFonts w:hint="default" w:ascii="Times New Roman Regular" w:hAnsi="Times New Roman Regular" w:cs="Times New Roman Regular"/>
          <w:color w:val="auto"/>
        </w:rPr>
        <w:t>环境风险评价的目的就是分析和预测建设项目存在的潜在危险、有害因素，建设项目建设和运营期间可能发生的突发性事件或事故（一般不包括人为破坏和自然灾害），引起有毒有害和易燃易爆等物质泄漏，所造成的人身安全与环境影响和损害程度，提出合理可行的防范、应急与减缓措施，以使建设项目事故率、损失和环境影响达到可以接受水平。环境风险评价应把事故引起厂外人群的伤害、环境质量恶化及对生态系统影响的预测和防护作为评价工作的重点。</w:t>
      </w:r>
    </w:p>
    <w:p>
      <w:pPr>
        <w:widowControl w:val="0"/>
        <w:outlineLvl w:val="2"/>
        <w:rPr>
          <w:rFonts w:hint="default" w:ascii="Times New Roman Regular" w:hAnsi="Times New Roman Regular" w:cs="Times New Roman Regular"/>
          <w:b/>
          <w:bCs/>
          <w:color w:val="auto"/>
        </w:rPr>
      </w:pPr>
      <w:r>
        <w:rPr>
          <w:rFonts w:hint="default" w:ascii="Times New Roman Regular" w:hAnsi="Times New Roman Regular" w:cs="Times New Roman Regular"/>
          <w:b/>
          <w:bCs/>
          <w:color w:val="auto"/>
        </w:rPr>
        <w:t>7</w:t>
      </w:r>
      <w:r>
        <w:rPr>
          <w:rFonts w:hint="default" w:ascii="Times New Roman Regular" w:hAnsi="Times New Roman Regular" w:cs="Times New Roman Regular"/>
          <w:b/>
          <w:bCs/>
          <w:color w:val="auto"/>
          <w:lang w:eastAsia="zh-Hans"/>
        </w:rPr>
        <w:t>.6</w:t>
      </w:r>
      <w:r>
        <w:rPr>
          <w:rFonts w:hint="default" w:ascii="Times New Roman Regular" w:hAnsi="Times New Roman Regular" w:cs="Times New Roman Regular"/>
          <w:b/>
          <w:bCs/>
          <w:color w:val="auto"/>
        </w:rPr>
        <w:t>.1环境风险识别</w:t>
      </w:r>
    </w:p>
    <w:p>
      <w:pPr>
        <w:widowControl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w:t>
      </w:r>
      <w:r>
        <w:rPr>
          <w:rFonts w:hint="default" w:ascii="Times New Roman Regular" w:hAnsi="Times New Roman Regular" w:cs="Times New Roman Regular"/>
          <w:color w:val="auto"/>
          <w:lang w:val="en-US" w:eastAsia="zh-Hans"/>
        </w:rPr>
        <w:t>主要原辅材料</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产品和生产过程</w:t>
      </w:r>
      <w:r>
        <w:rPr>
          <w:rFonts w:hint="eastAsia" w:ascii="Times New Roman Regular" w:hAnsi="Times New Roman Regular" w:cs="Times New Roman Regular"/>
          <w:color w:val="auto"/>
          <w:lang w:val="en-US" w:eastAsia="zh-Hans"/>
        </w:rPr>
        <w:t>均不</w:t>
      </w:r>
      <w:r>
        <w:rPr>
          <w:rFonts w:hint="default" w:ascii="Times New Roman Regular" w:hAnsi="Times New Roman Regular" w:cs="Times New Roman Regular"/>
          <w:color w:val="auto"/>
          <w:lang w:val="en-US" w:eastAsia="zh-Hans"/>
        </w:rPr>
        <w:t>涉及有毒有害</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易燃易爆的物质</w:t>
      </w:r>
      <w:r>
        <w:rPr>
          <w:rFonts w:hint="default" w:ascii="Times New Roman Regular" w:hAnsi="Times New Roman Regular" w:cs="Times New Roman Regular"/>
          <w:color w:val="auto"/>
        </w:rPr>
        <w:t>。</w:t>
      </w:r>
      <w:r>
        <w:rPr>
          <w:rFonts w:hint="eastAsia" w:ascii="Times New Roman Regular" w:hAnsi="Times New Roman Regular" w:cs="Times New Roman Regular"/>
          <w:color w:val="auto"/>
          <w:lang w:val="en-US" w:eastAsia="zh-Hans"/>
        </w:rPr>
        <w:t>因此</w:t>
      </w:r>
      <w:r>
        <w:rPr>
          <w:rFonts w:hint="default" w:ascii="Times New Roman Regular" w:hAnsi="Times New Roman Regular" w:cs="Times New Roman Regular"/>
          <w:color w:val="auto"/>
          <w:lang w:eastAsia="zh-Hans"/>
        </w:rPr>
        <w:t>，</w:t>
      </w:r>
      <w:r>
        <w:rPr>
          <w:rFonts w:hint="eastAsia" w:ascii="Times New Roman Regular" w:hAnsi="Times New Roman Regular" w:cs="Times New Roman Regular"/>
          <w:color w:val="auto"/>
          <w:lang w:val="en-US" w:eastAsia="zh-Hans"/>
        </w:rPr>
        <w:t>本</w:t>
      </w:r>
      <w:r>
        <w:rPr>
          <w:rFonts w:hint="default" w:ascii="Times New Roman Regular" w:hAnsi="Times New Roman Regular" w:cs="Times New Roman Regular"/>
          <w:color w:val="auto"/>
          <w:szCs w:val="20"/>
        </w:rPr>
        <w:t>项目</w:t>
      </w:r>
      <w:r>
        <w:rPr>
          <w:rFonts w:hint="eastAsia" w:ascii="Times New Roman Regular" w:hAnsi="Times New Roman Regular" w:cs="Times New Roman Regular"/>
          <w:color w:val="auto"/>
          <w:szCs w:val="20"/>
          <w:lang w:val="en-US" w:eastAsia="zh-Hans"/>
        </w:rPr>
        <w:t>无</w:t>
      </w:r>
      <w:r>
        <w:rPr>
          <w:rFonts w:hint="default" w:ascii="Times New Roman Regular" w:hAnsi="Times New Roman Regular" w:cs="Times New Roman Regular"/>
          <w:color w:val="auto"/>
          <w:szCs w:val="20"/>
        </w:rPr>
        <w:t>风险物质。</w:t>
      </w:r>
    </w:p>
    <w:p>
      <w:pPr>
        <w:outlineLvl w:val="2"/>
        <w:rPr>
          <w:rFonts w:hint="default" w:ascii="Times New Roman Regular" w:hAnsi="Times New Roman Regular" w:cs="Times New Roman Regular"/>
          <w:b/>
          <w:bCs/>
          <w:color w:val="auto"/>
        </w:rPr>
      </w:pPr>
      <w:r>
        <w:rPr>
          <w:rFonts w:hint="default" w:ascii="Times New Roman Regular" w:hAnsi="Times New Roman Regular" w:cs="Times New Roman Regular"/>
          <w:b/>
          <w:bCs/>
          <w:color w:val="auto"/>
        </w:rPr>
        <w:t>7</w:t>
      </w:r>
      <w:r>
        <w:rPr>
          <w:rFonts w:hint="default" w:ascii="Times New Roman Regular" w:hAnsi="Times New Roman Regular" w:cs="Times New Roman Regular"/>
          <w:b/>
          <w:bCs/>
          <w:color w:val="auto"/>
          <w:lang w:eastAsia="zh-Hans"/>
        </w:rPr>
        <w:t>.6</w:t>
      </w:r>
      <w:r>
        <w:rPr>
          <w:rFonts w:hint="default" w:ascii="Times New Roman Regular" w:hAnsi="Times New Roman Regular" w:cs="Times New Roman Regular"/>
          <w:b/>
          <w:bCs/>
          <w:color w:val="auto"/>
        </w:rPr>
        <w:t>.2生产系统危险性识别</w:t>
      </w:r>
    </w:p>
    <w:p>
      <w:pPr>
        <w:adjustRightInd w:val="0"/>
        <w:ind w:firstLine="480" w:firstLineChars="200"/>
        <w:rPr>
          <w:rFonts w:hint="default" w:ascii="Times New Roman Regular" w:hAnsi="Times New Roman Regular" w:cs="Times New Roman Regular"/>
          <w:color w:val="auto"/>
          <w:szCs w:val="20"/>
        </w:rPr>
      </w:pPr>
      <w:r>
        <w:rPr>
          <w:rFonts w:hint="default" w:ascii="Times New Roman Regular" w:hAnsi="Times New Roman Regular" w:cs="Times New Roman Regular"/>
          <w:color w:val="auto"/>
          <w:szCs w:val="20"/>
        </w:rPr>
        <w:t>根据项目工艺流程和平面布局，结合项目物质危险性识别结果，本项目</w:t>
      </w:r>
      <w:r>
        <w:rPr>
          <w:rFonts w:hint="eastAsia" w:ascii="Times New Roman Regular" w:hAnsi="Times New Roman Regular" w:cs="Times New Roman Regular"/>
          <w:color w:val="auto"/>
          <w:szCs w:val="20"/>
          <w:lang w:val="en-US" w:eastAsia="zh-Hans"/>
        </w:rPr>
        <w:t>无</w:t>
      </w:r>
      <w:r>
        <w:rPr>
          <w:rFonts w:hint="default" w:ascii="Times New Roman Regular" w:hAnsi="Times New Roman Regular" w:cs="Times New Roman Regular"/>
          <w:color w:val="auto"/>
          <w:szCs w:val="20"/>
        </w:rPr>
        <w:t>危险单元。</w:t>
      </w:r>
    </w:p>
    <w:p>
      <w:pPr>
        <w:outlineLvl w:val="2"/>
        <w:rPr>
          <w:rFonts w:hint="default" w:ascii="Times New Roman Regular" w:hAnsi="Times New Roman Regular" w:cs="Times New Roman Regular"/>
          <w:b/>
          <w:bCs/>
          <w:color w:val="auto"/>
        </w:rPr>
      </w:pPr>
      <w:r>
        <w:rPr>
          <w:rFonts w:hint="default" w:ascii="Times New Roman Regular" w:hAnsi="Times New Roman Regular" w:cs="Times New Roman Regular"/>
          <w:b/>
          <w:bCs/>
          <w:color w:val="auto"/>
        </w:rPr>
        <w:t>7</w:t>
      </w:r>
      <w:r>
        <w:rPr>
          <w:rFonts w:hint="default" w:ascii="Times New Roman Regular" w:hAnsi="Times New Roman Regular" w:cs="Times New Roman Regular"/>
          <w:b/>
          <w:bCs/>
          <w:color w:val="auto"/>
          <w:lang w:eastAsia="zh-Hans"/>
        </w:rPr>
        <w:t>.6</w:t>
      </w:r>
      <w:r>
        <w:rPr>
          <w:rFonts w:hint="default" w:ascii="Times New Roman Regular" w:hAnsi="Times New Roman Regular" w:cs="Times New Roman Regular"/>
          <w:b/>
          <w:bCs/>
          <w:color w:val="auto"/>
        </w:rPr>
        <w:t>.3环境风险评价等级</w:t>
      </w:r>
    </w:p>
    <w:p>
      <w:pPr>
        <w:pStyle w:val="10"/>
        <w:widowControl w:val="0"/>
        <w:numPr>
          <w:ilvl w:val="4"/>
          <w:numId w:val="0"/>
        </w:numPr>
        <w:spacing w:before="156" w:beforeLines="50"/>
        <w:ind w:firstLine="480" w:firstLineChars="200"/>
        <w:rPr>
          <w:rFonts w:hint="default" w:ascii="Times New Roman Regular" w:hAnsi="Times New Roman Regular" w:eastAsia="宋体" w:cs="Times New Roman Regular"/>
          <w:color w:val="auto"/>
          <w:lang w:val="en-US"/>
        </w:rPr>
      </w:pPr>
      <w:r>
        <w:rPr>
          <w:rFonts w:hint="default" w:ascii="Times New Roman Regular" w:hAnsi="Times New Roman Regular" w:eastAsia="宋体" w:cs="Times New Roman Regular"/>
          <w:color w:val="auto"/>
          <w:lang w:val="en-US"/>
        </w:rPr>
        <w:t>环境风险评价工作等级划分为一级、二级、三级。根据建设项目涉及的物质及工艺系统危险性和所在地的环境敏感性确定环境风险潜势，按照表</w:t>
      </w:r>
      <w:r>
        <w:rPr>
          <w:rFonts w:hint="default" w:ascii="Times New Roman Regular" w:hAnsi="Times New Roman Regular" w:eastAsia="宋体" w:cs="Times New Roman Regular"/>
          <w:color w:val="auto"/>
        </w:rPr>
        <w:t>7</w:t>
      </w:r>
      <w:r>
        <w:rPr>
          <w:rFonts w:hint="default" w:ascii="Times New Roman Regular" w:hAnsi="Times New Roman Regular" w:eastAsia="宋体" w:cs="Times New Roman Regular"/>
          <w:color w:val="auto"/>
          <w:lang w:val="en-US" w:eastAsia="zh-Hans"/>
        </w:rPr>
        <w:t>.</w:t>
      </w:r>
      <w:r>
        <w:rPr>
          <w:rFonts w:hint="default" w:ascii="Times New Roman Regular" w:hAnsi="Times New Roman Regular" w:eastAsia="宋体" w:cs="Times New Roman Regular"/>
          <w:color w:val="auto"/>
          <w:lang w:eastAsia="zh-Hans"/>
        </w:rPr>
        <w:t>6</w:t>
      </w:r>
      <w:r>
        <w:rPr>
          <w:rFonts w:hint="default" w:ascii="Times New Roman Regular" w:hAnsi="Times New Roman Regular" w:eastAsia="宋体" w:cs="Times New Roman Regular"/>
          <w:color w:val="auto"/>
          <w:lang w:val="en-US" w:eastAsia="zh-Hans"/>
        </w:rPr>
        <w:t>-</w:t>
      </w:r>
      <w:r>
        <w:rPr>
          <w:rFonts w:hint="default" w:ascii="Times New Roman Regular" w:hAnsi="Times New Roman Regular" w:cs="Times New Roman Regular"/>
          <w:color w:val="auto"/>
          <w:lang w:eastAsia="zh-Hans"/>
        </w:rPr>
        <w:t>1</w:t>
      </w:r>
      <w:r>
        <w:rPr>
          <w:rFonts w:hint="default" w:ascii="Times New Roman Regular" w:hAnsi="Times New Roman Regular" w:eastAsia="宋体" w:cs="Times New Roman Regular"/>
          <w:color w:val="auto"/>
          <w:lang w:val="en-US"/>
        </w:rPr>
        <w:t>确定评价工作等级。风险潜势为Ⅳ及以上，进行一级评价；风险潜势为Ⅲ，进行二级评价；风险潜势为Ⅱ，进行三级评价；风险潜势为Ⅰ，可开展简单分析。</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表7.6-1 评价工作等级划分</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39"/>
        <w:gridCol w:w="1521"/>
        <w:gridCol w:w="1521"/>
        <w:gridCol w:w="1521"/>
        <w:gridCol w:w="15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30" w:type="pct"/>
            <w:tcBorders>
              <w:tl2br w:val="nil"/>
              <w:tr2bl w:val="nil"/>
            </w:tcBorders>
            <w:vAlign w:val="center"/>
          </w:tcPr>
          <w:p>
            <w:pPr>
              <w:pStyle w:val="10"/>
              <w:widowControl w:val="0"/>
              <w:numPr>
                <w:ilvl w:val="4"/>
                <w:numId w:val="0"/>
              </w:numPr>
              <w:spacing w:line="240" w:lineRule="auto"/>
              <w:jc w:val="center"/>
              <w:rPr>
                <w:rFonts w:hint="default" w:ascii="Times New Roman Regular" w:hAnsi="Times New Roman Regular" w:cs="Times New Roman Regular"/>
                <w:color w:val="auto"/>
                <w:sz w:val="21"/>
                <w:szCs w:val="21"/>
                <w:lang w:val="en-US"/>
              </w:rPr>
            </w:pPr>
            <w:r>
              <w:rPr>
                <w:rFonts w:hint="default" w:ascii="Times New Roman Regular" w:hAnsi="Times New Roman Regular" w:cs="Times New Roman Regular"/>
                <w:color w:val="auto"/>
                <w:sz w:val="21"/>
                <w:szCs w:val="21"/>
                <w:lang w:val="en-US"/>
              </w:rPr>
              <w:t>环境风险潜势</w:t>
            </w:r>
          </w:p>
        </w:tc>
        <w:tc>
          <w:tcPr>
            <w:tcW w:w="892" w:type="pct"/>
            <w:tcBorders>
              <w:tl2br w:val="nil"/>
              <w:tr2bl w:val="nil"/>
            </w:tcBorders>
            <w:vAlign w:val="center"/>
          </w:tcPr>
          <w:p>
            <w:pPr>
              <w:pStyle w:val="10"/>
              <w:widowControl w:val="0"/>
              <w:numPr>
                <w:ilvl w:val="4"/>
                <w:numId w:val="0"/>
              </w:numPr>
              <w:spacing w:line="240" w:lineRule="auto"/>
              <w:jc w:val="center"/>
              <w:rPr>
                <w:rFonts w:hint="default" w:ascii="Times New Roman Regular" w:hAnsi="Times New Roman Regular" w:cs="Times New Roman Regular"/>
                <w:color w:val="auto"/>
                <w:sz w:val="21"/>
                <w:szCs w:val="21"/>
                <w:lang w:val="en-US"/>
              </w:rPr>
            </w:pPr>
            <w:r>
              <w:rPr>
                <w:rFonts w:hint="default" w:ascii="Times New Roman Regular" w:hAnsi="Times New Roman Regular" w:cs="Times New Roman Regular"/>
                <w:color w:val="auto"/>
                <w:sz w:val="21"/>
                <w:szCs w:val="21"/>
                <w:lang w:val="en-US"/>
              </w:rPr>
              <w:t>Ⅳ、Ⅳ</w:t>
            </w:r>
            <w:r>
              <w:rPr>
                <w:rFonts w:hint="default" w:ascii="Times New Roman Regular" w:hAnsi="Times New Roman Regular" w:cs="Times New Roman Regular"/>
                <w:color w:val="auto"/>
                <w:sz w:val="21"/>
                <w:szCs w:val="21"/>
                <w:vertAlign w:val="superscript"/>
                <w:lang w:val="en-US"/>
              </w:rPr>
              <w:t>+</w:t>
            </w:r>
          </w:p>
        </w:tc>
        <w:tc>
          <w:tcPr>
            <w:tcW w:w="892" w:type="pct"/>
            <w:tcBorders>
              <w:tl2br w:val="nil"/>
              <w:tr2bl w:val="nil"/>
            </w:tcBorders>
            <w:vAlign w:val="center"/>
          </w:tcPr>
          <w:p>
            <w:pPr>
              <w:pStyle w:val="10"/>
              <w:widowControl w:val="0"/>
              <w:numPr>
                <w:ilvl w:val="4"/>
                <w:numId w:val="0"/>
              </w:numPr>
              <w:spacing w:line="240" w:lineRule="auto"/>
              <w:jc w:val="center"/>
              <w:rPr>
                <w:rFonts w:hint="default" w:ascii="Times New Roman Regular" w:hAnsi="Times New Roman Regular" w:cs="Times New Roman Regular"/>
                <w:color w:val="auto"/>
                <w:sz w:val="21"/>
                <w:szCs w:val="21"/>
                <w:lang w:val="en-US"/>
              </w:rPr>
            </w:pPr>
            <w:r>
              <w:rPr>
                <w:rFonts w:hint="default" w:ascii="Times New Roman Regular" w:hAnsi="Times New Roman Regular" w:cs="Times New Roman Regular"/>
                <w:color w:val="auto"/>
                <w:sz w:val="21"/>
                <w:szCs w:val="21"/>
                <w:lang w:val="en-US"/>
              </w:rPr>
              <w:t>Ⅲ</w:t>
            </w:r>
          </w:p>
        </w:tc>
        <w:tc>
          <w:tcPr>
            <w:tcW w:w="892" w:type="pct"/>
            <w:tcBorders>
              <w:tl2br w:val="nil"/>
              <w:tr2bl w:val="nil"/>
            </w:tcBorders>
            <w:vAlign w:val="center"/>
          </w:tcPr>
          <w:p>
            <w:pPr>
              <w:pStyle w:val="10"/>
              <w:widowControl w:val="0"/>
              <w:numPr>
                <w:ilvl w:val="4"/>
                <w:numId w:val="0"/>
              </w:numPr>
              <w:spacing w:line="240" w:lineRule="auto"/>
              <w:jc w:val="center"/>
              <w:rPr>
                <w:rFonts w:hint="default" w:ascii="Times New Roman Regular" w:hAnsi="Times New Roman Regular" w:cs="Times New Roman Regular"/>
                <w:color w:val="auto"/>
                <w:sz w:val="21"/>
                <w:szCs w:val="21"/>
                <w:lang w:val="en-US"/>
              </w:rPr>
            </w:pPr>
            <w:r>
              <w:rPr>
                <w:rFonts w:hint="default" w:ascii="Times New Roman Regular" w:hAnsi="Times New Roman Regular" w:cs="Times New Roman Regular"/>
                <w:color w:val="auto"/>
                <w:sz w:val="21"/>
                <w:szCs w:val="21"/>
                <w:lang w:val="en-US"/>
              </w:rPr>
              <w:t>Ⅱ</w:t>
            </w:r>
          </w:p>
        </w:tc>
        <w:tc>
          <w:tcPr>
            <w:tcW w:w="892" w:type="pct"/>
            <w:tcBorders>
              <w:tl2br w:val="nil"/>
              <w:tr2bl w:val="nil"/>
            </w:tcBorders>
            <w:vAlign w:val="center"/>
          </w:tcPr>
          <w:p>
            <w:pPr>
              <w:pStyle w:val="10"/>
              <w:widowControl w:val="0"/>
              <w:numPr>
                <w:ilvl w:val="4"/>
                <w:numId w:val="0"/>
              </w:numPr>
              <w:spacing w:line="240" w:lineRule="auto"/>
              <w:jc w:val="center"/>
              <w:rPr>
                <w:rFonts w:hint="default" w:ascii="Times New Roman Regular" w:hAnsi="Times New Roman Regular" w:cs="Times New Roman Regular"/>
                <w:color w:val="auto"/>
                <w:sz w:val="21"/>
                <w:szCs w:val="21"/>
                <w:lang w:val="en-US"/>
              </w:rPr>
            </w:pPr>
            <w:r>
              <w:rPr>
                <w:rFonts w:hint="default" w:ascii="Times New Roman Regular" w:hAnsi="Times New Roman Regular" w:cs="Times New Roman Regular"/>
                <w:color w:val="auto"/>
                <w:sz w:val="21"/>
                <w:szCs w:val="21"/>
                <w:lang w:val="en-US"/>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30" w:type="pct"/>
            <w:tcBorders>
              <w:tl2br w:val="nil"/>
              <w:tr2bl w:val="nil"/>
            </w:tcBorders>
            <w:vAlign w:val="center"/>
          </w:tcPr>
          <w:p>
            <w:pPr>
              <w:pStyle w:val="10"/>
              <w:widowControl w:val="0"/>
              <w:numPr>
                <w:ilvl w:val="4"/>
                <w:numId w:val="0"/>
              </w:numPr>
              <w:spacing w:line="240" w:lineRule="auto"/>
              <w:jc w:val="center"/>
              <w:rPr>
                <w:rFonts w:hint="default" w:ascii="Times New Roman Regular" w:hAnsi="Times New Roman Regular" w:cs="Times New Roman Regular"/>
                <w:color w:val="auto"/>
                <w:sz w:val="21"/>
                <w:szCs w:val="21"/>
                <w:lang w:val="en-US"/>
              </w:rPr>
            </w:pPr>
            <w:r>
              <w:rPr>
                <w:rFonts w:hint="default" w:ascii="Times New Roman Regular" w:hAnsi="Times New Roman Regular" w:cs="Times New Roman Regular"/>
                <w:color w:val="auto"/>
                <w:sz w:val="21"/>
                <w:szCs w:val="21"/>
                <w:lang w:val="en-US"/>
              </w:rPr>
              <w:t>环境风险评价工作等级</w:t>
            </w:r>
          </w:p>
        </w:tc>
        <w:tc>
          <w:tcPr>
            <w:tcW w:w="892" w:type="pct"/>
            <w:tcBorders>
              <w:tl2br w:val="nil"/>
              <w:tr2bl w:val="nil"/>
            </w:tcBorders>
            <w:vAlign w:val="center"/>
          </w:tcPr>
          <w:p>
            <w:pPr>
              <w:pStyle w:val="10"/>
              <w:widowControl w:val="0"/>
              <w:numPr>
                <w:ilvl w:val="4"/>
                <w:numId w:val="0"/>
              </w:numPr>
              <w:spacing w:line="240" w:lineRule="auto"/>
              <w:jc w:val="center"/>
              <w:rPr>
                <w:rFonts w:hint="default" w:ascii="Times New Roman Regular" w:hAnsi="Times New Roman Regular" w:cs="Times New Roman Regular"/>
                <w:color w:val="auto"/>
                <w:sz w:val="21"/>
                <w:szCs w:val="21"/>
                <w:lang w:val="en-US"/>
              </w:rPr>
            </w:pPr>
            <w:r>
              <w:rPr>
                <w:rFonts w:hint="default" w:ascii="Times New Roman Regular" w:hAnsi="Times New Roman Regular" w:cs="Times New Roman Regular"/>
                <w:color w:val="auto"/>
                <w:sz w:val="21"/>
                <w:szCs w:val="21"/>
                <w:lang w:val="en-US"/>
              </w:rPr>
              <w:t>一</w:t>
            </w:r>
          </w:p>
        </w:tc>
        <w:tc>
          <w:tcPr>
            <w:tcW w:w="892" w:type="pct"/>
            <w:tcBorders>
              <w:tl2br w:val="nil"/>
              <w:tr2bl w:val="nil"/>
            </w:tcBorders>
            <w:vAlign w:val="center"/>
          </w:tcPr>
          <w:p>
            <w:pPr>
              <w:pStyle w:val="10"/>
              <w:widowControl w:val="0"/>
              <w:numPr>
                <w:ilvl w:val="4"/>
                <w:numId w:val="0"/>
              </w:numPr>
              <w:spacing w:line="240" w:lineRule="auto"/>
              <w:jc w:val="center"/>
              <w:rPr>
                <w:rFonts w:hint="default" w:ascii="Times New Roman Regular" w:hAnsi="Times New Roman Regular" w:cs="Times New Roman Regular"/>
                <w:color w:val="auto"/>
                <w:sz w:val="21"/>
                <w:szCs w:val="21"/>
                <w:lang w:val="en-US"/>
              </w:rPr>
            </w:pPr>
            <w:r>
              <w:rPr>
                <w:rFonts w:hint="default" w:ascii="Times New Roman Regular" w:hAnsi="Times New Roman Regular" w:cs="Times New Roman Regular"/>
                <w:color w:val="auto"/>
                <w:sz w:val="21"/>
                <w:szCs w:val="21"/>
                <w:lang w:val="en-US"/>
              </w:rPr>
              <w:t>二</w:t>
            </w:r>
          </w:p>
        </w:tc>
        <w:tc>
          <w:tcPr>
            <w:tcW w:w="892" w:type="pct"/>
            <w:tcBorders>
              <w:tl2br w:val="nil"/>
              <w:tr2bl w:val="nil"/>
            </w:tcBorders>
            <w:vAlign w:val="center"/>
          </w:tcPr>
          <w:p>
            <w:pPr>
              <w:pStyle w:val="10"/>
              <w:widowControl w:val="0"/>
              <w:numPr>
                <w:ilvl w:val="4"/>
                <w:numId w:val="0"/>
              </w:numPr>
              <w:spacing w:line="240" w:lineRule="auto"/>
              <w:jc w:val="center"/>
              <w:rPr>
                <w:rFonts w:hint="default" w:ascii="Times New Roman Regular" w:hAnsi="Times New Roman Regular" w:cs="Times New Roman Regular"/>
                <w:color w:val="auto"/>
                <w:sz w:val="21"/>
                <w:szCs w:val="21"/>
                <w:lang w:val="en-US"/>
              </w:rPr>
            </w:pPr>
            <w:r>
              <w:rPr>
                <w:rFonts w:hint="default" w:ascii="Times New Roman Regular" w:hAnsi="Times New Roman Regular" w:cs="Times New Roman Regular"/>
                <w:color w:val="auto"/>
                <w:sz w:val="21"/>
                <w:szCs w:val="21"/>
                <w:lang w:val="en-US"/>
              </w:rPr>
              <w:t>三</w:t>
            </w:r>
          </w:p>
        </w:tc>
        <w:tc>
          <w:tcPr>
            <w:tcW w:w="892" w:type="pct"/>
            <w:tcBorders>
              <w:tl2br w:val="nil"/>
              <w:tr2bl w:val="nil"/>
            </w:tcBorders>
            <w:vAlign w:val="center"/>
          </w:tcPr>
          <w:p>
            <w:pPr>
              <w:pStyle w:val="10"/>
              <w:widowControl w:val="0"/>
              <w:numPr>
                <w:ilvl w:val="4"/>
                <w:numId w:val="0"/>
              </w:numPr>
              <w:spacing w:line="240" w:lineRule="auto"/>
              <w:jc w:val="center"/>
              <w:rPr>
                <w:rFonts w:hint="default" w:ascii="Times New Roman Regular" w:hAnsi="Times New Roman Regular" w:cs="Times New Roman Regular"/>
                <w:color w:val="auto"/>
                <w:sz w:val="21"/>
                <w:szCs w:val="21"/>
                <w:lang w:val="en-US"/>
              </w:rPr>
            </w:pPr>
            <w:r>
              <w:rPr>
                <w:rFonts w:hint="default" w:ascii="Times New Roman Regular" w:hAnsi="Times New Roman Regular" w:cs="Times New Roman Regular"/>
                <w:color w:val="auto"/>
                <w:sz w:val="21"/>
                <w:szCs w:val="21"/>
                <w:lang w:val="en-US"/>
              </w:rPr>
              <w:t>简单分析</w:t>
            </w:r>
            <w:r>
              <w:rPr>
                <w:rFonts w:hint="default" w:ascii="Times New Roman Regular" w:hAnsi="Times New Roman Regular" w:cs="Times New Roman Regular"/>
                <w:color w:val="auto"/>
                <w:sz w:val="21"/>
                <w:szCs w:val="21"/>
                <w:vertAlign w:val="superscript"/>
                <w:lang w:val="en-US"/>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5"/>
            <w:tcBorders>
              <w:tl2br w:val="nil"/>
              <w:tr2bl w:val="nil"/>
            </w:tcBorders>
            <w:vAlign w:val="center"/>
          </w:tcPr>
          <w:p>
            <w:pPr>
              <w:pStyle w:val="10"/>
              <w:widowControl w:val="0"/>
              <w:numPr>
                <w:ilvl w:val="4"/>
                <w:numId w:val="0"/>
              </w:numPr>
              <w:spacing w:line="240" w:lineRule="auto"/>
              <w:jc w:val="left"/>
              <w:rPr>
                <w:rFonts w:hint="default" w:ascii="Times New Roman Regular" w:hAnsi="Times New Roman Regular" w:cs="Times New Roman Regular"/>
                <w:color w:val="auto"/>
                <w:sz w:val="21"/>
                <w:szCs w:val="21"/>
                <w:lang w:val="en-US"/>
              </w:rPr>
            </w:pPr>
            <w:r>
              <w:rPr>
                <w:rFonts w:hint="default" w:ascii="Times New Roman Regular" w:hAnsi="Times New Roman Regular" w:cs="Times New Roman Regular"/>
                <w:color w:val="auto"/>
                <w:sz w:val="21"/>
                <w:szCs w:val="21"/>
                <w:vertAlign w:val="superscript"/>
                <w:lang w:val="en-US"/>
              </w:rPr>
              <w:t>a</w:t>
            </w:r>
            <w:r>
              <w:rPr>
                <w:rFonts w:hint="default" w:ascii="Times New Roman Regular" w:hAnsi="Times New Roman Regular" w:cs="Times New Roman Regular"/>
                <w:color w:val="auto"/>
                <w:sz w:val="21"/>
                <w:szCs w:val="21"/>
                <w:lang w:val="en-US"/>
              </w:rPr>
              <w:t>是相对于详细评价工作内容而言，在描述危险物质、环境影响途径、环境危害结果、风险防范措施等方面给出定性的说明。</w:t>
            </w:r>
          </w:p>
        </w:tc>
      </w:tr>
    </w:tbl>
    <w:p>
      <w:pPr>
        <w:pStyle w:val="10"/>
        <w:widowControl w:val="0"/>
        <w:numPr>
          <w:ilvl w:val="4"/>
          <w:numId w:val="0"/>
        </w:numPr>
        <w:spacing w:before="156" w:beforeLines="50"/>
        <w:ind w:firstLine="480" w:firstLineChars="200"/>
        <w:rPr>
          <w:rFonts w:hint="default" w:ascii="Times New Roman Regular" w:hAnsi="Times New Roman Regular" w:cs="Times New Roman Regular"/>
          <w:color w:val="auto"/>
          <w:lang w:val="en-US"/>
        </w:rPr>
      </w:pPr>
      <w:r>
        <w:rPr>
          <w:rFonts w:hint="default" w:ascii="Times New Roman Regular" w:hAnsi="Times New Roman Regular" w:cs="Times New Roman Regular"/>
          <w:color w:val="auto"/>
          <w:lang w:val="en-US"/>
        </w:rPr>
        <w:t>根据</w:t>
      </w:r>
      <w:r>
        <w:rPr>
          <w:rFonts w:hint="eastAsia" w:ascii="Times New Roman Regular" w:hAnsi="Times New Roman Regular" w:cs="Times New Roman Regular"/>
          <w:color w:val="auto"/>
          <w:lang w:val="en-US" w:eastAsia="zh-Hans"/>
        </w:rPr>
        <w:t>上文</w:t>
      </w:r>
      <w:r>
        <w:rPr>
          <w:rFonts w:hint="default" w:ascii="Times New Roman Regular" w:hAnsi="Times New Roman Regular" w:cs="Times New Roman Regular"/>
          <w:color w:val="auto"/>
          <w:lang w:val="en-US"/>
        </w:rPr>
        <w:t>分析可知，</w:t>
      </w:r>
      <w:r>
        <w:rPr>
          <w:rFonts w:hint="eastAsia" w:ascii="Times New Roman Regular" w:hAnsi="Times New Roman Regular" w:cs="Times New Roman Regular"/>
          <w:color w:val="auto"/>
          <w:lang w:val="en-US" w:eastAsia="zh-Hans"/>
        </w:rPr>
        <w:t>本项目</w:t>
      </w:r>
      <w:r>
        <w:rPr>
          <w:rFonts w:hint="default" w:ascii="Times New Roman Regular" w:hAnsi="Times New Roman Regular" w:cs="Times New Roman Regular"/>
          <w:color w:val="auto"/>
          <w:lang w:val="en-US"/>
        </w:rPr>
        <w:t>风险潜势为I，环境风险评价工作等级划分的规定，可开展简单分析。因此因此项目环境风险评价工作等级为简单分析。</w:t>
      </w:r>
    </w:p>
    <w:p>
      <w:pPr>
        <w:outlineLvl w:val="2"/>
        <w:rPr>
          <w:rFonts w:hint="default" w:ascii="Times New Roman Regular" w:hAnsi="Times New Roman Regular" w:cs="Times New Roman Regular"/>
          <w:b/>
          <w:bCs/>
          <w:color w:val="auto"/>
        </w:rPr>
      </w:pPr>
      <w:r>
        <w:rPr>
          <w:rFonts w:hint="default" w:ascii="Times New Roman Regular" w:hAnsi="Times New Roman Regular" w:cs="Times New Roman Regular"/>
          <w:b/>
          <w:bCs/>
          <w:color w:val="auto"/>
        </w:rPr>
        <w:t>7</w:t>
      </w:r>
      <w:r>
        <w:rPr>
          <w:rFonts w:hint="default" w:ascii="Times New Roman Regular" w:hAnsi="Times New Roman Regular" w:cs="Times New Roman Regular"/>
          <w:b/>
          <w:bCs/>
          <w:color w:val="auto"/>
          <w:lang w:eastAsia="zh-Hans"/>
        </w:rPr>
        <w:t>.6</w:t>
      </w:r>
      <w:r>
        <w:rPr>
          <w:rFonts w:hint="default" w:ascii="Times New Roman Regular" w:hAnsi="Times New Roman Regular" w:cs="Times New Roman Regular"/>
          <w:b/>
          <w:bCs/>
          <w:color w:val="auto"/>
        </w:rPr>
        <w:t>.4风险评价分析</w:t>
      </w:r>
    </w:p>
    <w:p>
      <w:pPr>
        <w:ind w:firstLine="480" w:firstLineChars="200"/>
        <w:rPr>
          <w:rFonts w:hint="default" w:ascii="Times New Roman Regular" w:hAnsi="Times New Roman Regular" w:cs="Times New Roman Regular"/>
          <w:color w:val="auto"/>
          <w:spacing w:val="4"/>
          <w:lang w:val="en-US" w:eastAsia="zh-Hans"/>
        </w:rPr>
      </w:pPr>
      <w:r>
        <w:rPr>
          <w:rFonts w:hint="default" w:ascii="Times New Roman Regular" w:hAnsi="Times New Roman Regular" w:cs="Times New Roman Regular"/>
          <w:color w:val="auto"/>
        </w:rPr>
        <w:t>本项目风险事故主要为生产运营过程</w:t>
      </w:r>
      <w:r>
        <w:rPr>
          <w:rFonts w:hint="eastAsia" w:ascii="Times New Roman Regular" w:hAnsi="Times New Roman Regular" w:cs="Times New Roman Regular"/>
          <w:color w:val="auto"/>
          <w:lang w:val="en-US" w:eastAsia="zh-Hans"/>
        </w:rPr>
        <w:t>中设备故障引起的火灾</w:t>
      </w:r>
      <w:r>
        <w:rPr>
          <w:rFonts w:hint="default" w:ascii="Times New Roman Regular" w:hAnsi="Times New Roman Regular" w:cs="Times New Roman Regular"/>
          <w:color w:val="auto"/>
        </w:rPr>
        <w:t>事故。</w:t>
      </w:r>
      <w:r>
        <w:rPr>
          <w:rFonts w:hint="default" w:ascii="Times New Roman Regular" w:hAnsi="Times New Roman Regular" w:cs="Times New Roman Regular"/>
          <w:color w:val="auto"/>
          <w:spacing w:val="4"/>
          <w:lang w:val="en-US" w:eastAsia="zh-Hans"/>
        </w:rPr>
        <w:t>加强设备日常维护与保养</w:t>
      </w:r>
      <w:r>
        <w:rPr>
          <w:rFonts w:hint="default" w:ascii="Times New Roman Regular" w:hAnsi="Times New Roman Regular" w:cs="Times New Roman Regular"/>
          <w:color w:val="auto"/>
          <w:spacing w:val="4"/>
          <w:lang w:eastAsia="zh-Hans"/>
        </w:rPr>
        <w:t>，</w:t>
      </w:r>
      <w:r>
        <w:rPr>
          <w:rFonts w:hint="default" w:ascii="Times New Roman Regular" w:hAnsi="Times New Roman Regular" w:cs="Times New Roman Regular"/>
          <w:color w:val="auto"/>
          <w:spacing w:val="4"/>
          <w:lang w:val="en-US" w:eastAsia="zh-Hans"/>
        </w:rPr>
        <w:t>在运行过程中出现</w:t>
      </w:r>
      <w:r>
        <w:rPr>
          <w:rFonts w:hint="eastAsia" w:ascii="Times New Roman Regular" w:hAnsi="Times New Roman Regular" w:cs="Times New Roman Regular"/>
          <w:color w:val="auto"/>
          <w:spacing w:val="4"/>
          <w:lang w:val="en-US" w:eastAsia="zh-Hans"/>
        </w:rPr>
        <w:t>故障</w:t>
      </w:r>
      <w:r>
        <w:rPr>
          <w:rFonts w:hint="default" w:ascii="Times New Roman Regular" w:hAnsi="Times New Roman Regular" w:cs="Times New Roman Regular"/>
          <w:color w:val="auto"/>
          <w:spacing w:val="4"/>
          <w:lang w:val="en-US" w:eastAsia="zh-Hans"/>
        </w:rPr>
        <w:t>时</w:t>
      </w:r>
      <w:r>
        <w:rPr>
          <w:rFonts w:hint="default" w:ascii="Times New Roman Regular" w:hAnsi="Times New Roman Regular" w:cs="Times New Roman Regular"/>
          <w:color w:val="auto"/>
          <w:spacing w:val="4"/>
          <w:lang w:eastAsia="zh-Hans"/>
        </w:rPr>
        <w:t>，</w:t>
      </w:r>
      <w:r>
        <w:rPr>
          <w:rFonts w:hint="default" w:ascii="Times New Roman Regular" w:hAnsi="Times New Roman Regular" w:cs="Times New Roman Regular"/>
          <w:color w:val="auto"/>
          <w:spacing w:val="4"/>
          <w:lang w:val="en-US" w:eastAsia="zh-Hans"/>
        </w:rPr>
        <w:t>应及时进行检修</w:t>
      </w:r>
      <w:bookmarkEnd w:id="266"/>
      <w:bookmarkEnd w:id="267"/>
      <w:bookmarkEnd w:id="268"/>
      <w:bookmarkEnd w:id="269"/>
      <w:r>
        <w:rPr>
          <w:rFonts w:hint="default" w:ascii="Times New Roman Regular" w:hAnsi="Times New Roman Regular" w:cs="Times New Roman Regular"/>
          <w:color w:val="auto"/>
          <w:spacing w:val="4"/>
          <w:lang w:eastAsia="zh-Hans"/>
        </w:rPr>
        <w:t>。</w:t>
      </w:r>
      <w:r>
        <w:rPr>
          <w:rFonts w:hint="default" w:ascii="Times New Roman Regular" w:hAnsi="Times New Roman Regular" w:cs="Times New Roman Regular"/>
          <w:color w:val="auto"/>
        </w:rPr>
        <w:t>项目环境风险评价自查表见</w:t>
      </w:r>
      <w:r>
        <w:rPr>
          <w:rFonts w:hint="default" w:ascii="Times New Roman Regular" w:hAnsi="Times New Roman Regular" w:cs="Times New Roman Regular"/>
          <w:color w:val="auto"/>
          <w:lang w:eastAsia="zh-Hans"/>
        </w:rPr>
        <w:t>附</w:t>
      </w:r>
      <w:r>
        <w:rPr>
          <w:rFonts w:hint="default" w:ascii="Times New Roman Regular" w:hAnsi="Times New Roman Regular" w:cs="Times New Roman Regular"/>
          <w:color w:val="auto"/>
          <w:lang w:val="en-US" w:eastAsia="zh-Hans"/>
        </w:rPr>
        <w:t>表</w:t>
      </w:r>
      <w:r>
        <w:rPr>
          <w:rFonts w:hint="default" w:ascii="Times New Roman Regular" w:hAnsi="Times New Roman Regular" w:cs="Times New Roman Regular"/>
          <w:color w:val="auto"/>
          <w:lang w:eastAsia="zh-Hans"/>
        </w:rPr>
        <w:t>4</w:t>
      </w:r>
      <w:r>
        <w:rPr>
          <w:rFonts w:hint="default" w:ascii="Times New Roman Regular" w:hAnsi="Times New Roman Regular" w:cs="Times New Roman Regular"/>
          <w:color w:val="auto"/>
        </w:rPr>
        <w:t>。</w:t>
      </w:r>
    </w:p>
    <w:p>
      <w:pPr>
        <w:pStyle w:val="3"/>
        <w:bidi w:val="0"/>
        <w:outlineLvl w:val="1"/>
        <w:rPr>
          <w:rFonts w:hint="default"/>
        </w:rPr>
      </w:pPr>
      <w:bookmarkStart w:id="270" w:name="_Toc738077035_WPSOffice_Level1"/>
      <w:bookmarkStart w:id="271" w:name="_Toc47618358"/>
      <w:bookmarkStart w:id="272" w:name="_Toc309378315"/>
      <w:r>
        <w:rPr>
          <w:rFonts w:hint="default"/>
        </w:rPr>
        <w:t>退役期环境影响分析</w:t>
      </w:r>
      <w:bookmarkEnd w:id="270"/>
      <w:bookmarkEnd w:id="271"/>
      <w:bookmarkEnd w:id="272"/>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273" w:name="_Toc553927866_WPSOffice_Level2"/>
      <w:bookmarkStart w:id="274" w:name="_Toc47618359"/>
      <w:bookmarkStart w:id="275" w:name="_Toc663430818"/>
      <w:r>
        <w:rPr>
          <w:rFonts w:hint="default" w:ascii="Times New Roman Regular" w:hAnsi="Times New Roman Regular" w:cs="Times New Roman Regular"/>
          <w:bCs w:val="0"/>
          <w:color w:val="auto"/>
          <w:kern w:val="2"/>
        </w:rPr>
        <w:t>8.1 原材料处置</w:t>
      </w:r>
      <w:bookmarkEnd w:id="273"/>
      <w:bookmarkEnd w:id="274"/>
      <w:bookmarkEnd w:id="275"/>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项目所使用的原料可出售给其他经营单位，对环境无影响。原材料在暂保存期应设专门地点存放，专人看管。</w:t>
      </w:r>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276" w:name="_Toc524034117_WPSOffice_Level2"/>
      <w:bookmarkStart w:id="277" w:name="_Toc546662902"/>
      <w:bookmarkStart w:id="278" w:name="_Toc47618360"/>
      <w:r>
        <w:rPr>
          <w:rFonts w:hint="default" w:ascii="Times New Roman Regular" w:hAnsi="Times New Roman Regular" w:cs="Times New Roman Regular"/>
          <w:bCs w:val="0"/>
          <w:color w:val="auto"/>
          <w:kern w:val="2"/>
        </w:rPr>
        <w:t>8.2 设备处置</w:t>
      </w:r>
      <w:bookmarkEnd w:id="276"/>
      <w:bookmarkEnd w:id="277"/>
      <w:bookmarkEnd w:id="278"/>
    </w:p>
    <w:p>
      <w:pPr>
        <w:adjustRightInd w:val="0"/>
        <w:snapToGrid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项目退役后，其设备处置应遵循以下两方面原则：</w:t>
      </w:r>
    </w:p>
    <w:p>
      <w:pPr>
        <w:adjustRightInd w:val="0"/>
        <w:snapToGrid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（1）在退役时，尚不属于行业淘汰范围的，且尚符合当时国家产业政策和地方政策的设备，可出售给相应经营单位。</w:t>
      </w:r>
    </w:p>
    <w:p>
      <w:pPr>
        <w:adjustRightInd w:val="0"/>
        <w:snapToGrid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（2）在退役时，属于行业淘汰范围、不符合当时国家产业政策和地方政策中的一种，即应予以报废，设备可按废品出售给回收单位。属于危险物品或废品的应送往省有资质的固废处置中心统一处理。</w:t>
      </w:r>
    </w:p>
    <w:p>
      <w:pPr>
        <w:adjustRightInd w:val="0"/>
        <w:snapToGrid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本项目所使用的设备在退役后应按照上述的办法进行妥善处置，不会遗留潜在的环境影响问题，不会造成新的环境污染危害。</w:t>
      </w:r>
    </w:p>
    <w:p>
      <w:pPr>
        <w:pStyle w:val="3"/>
        <w:bidi w:val="0"/>
        <w:outlineLvl w:val="1"/>
        <w:rPr>
          <w:rFonts w:hint="default"/>
        </w:rPr>
      </w:pPr>
      <w:bookmarkStart w:id="279" w:name="_Toc995182173_WPSOffice_Level1"/>
      <w:bookmarkStart w:id="280" w:name="_Toc47618361"/>
      <w:bookmarkStart w:id="281" w:name="_Toc828352048"/>
      <w:r>
        <w:rPr>
          <w:rFonts w:hint="default"/>
        </w:rPr>
        <w:t>污染治理措施</w:t>
      </w:r>
      <w:bookmarkEnd w:id="279"/>
      <w:bookmarkEnd w:id="280"/>
      <w:bookmarkEnd w:id="281"/>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282" w:name="_Toc2123870882"/>
      <w:bookmarkStart w:id="283" w:name="_Toc47618363"/>
      <w:bookmarkStart w:id="284" w:name="_Toc610968072_WPSOffice_Level2"/>
      <w:r>
        <w:rPr>
          <w:rFonts w:hint="default" w:ascii="Times New Roman Regular" w:hAnsi="Times New Roman Regular" w:cs="Times New Roman Regular"/>
          <w:bCs w:val="0"/>
          <w:color w:val="auto"/>
          <w:kern w:val="2"/>
        </w:rPr>
        <w:t>9.1 废水防治措施</w:t>
      </w:r>
      <w:bookmarkEnd w:id="282"/>
      <w:bookmarkEnd w:id="283"/>
      <w:bookmarkEnd w:id="284"/>
    </w:p>
    <w:p>
      <w:pPr>
        <w:spacing w:line="480" w:lineRule="exact"/>
        <w:ind w:firstLine="480" w:firstLineChars="200"/>
        <w:rPr>
          <w:rFonts w:hint="default" w:ascii="Times New Roman Regular" w:hAnsi="Times New Roman Regular" w:cs="Times New Roman Regular"/>
          <w:color w:val="auto"/>
        </w:rPr>
      </w:pPr>
      <w:bookmarkStart w:id="285" w:name="_Toc47618365"/>
      <w:bookmarkStart w:id="286" w:name="_Toc44275476"/>
      <w:bookmarkStart w:id="287" w:name="_Toc44272320"/>
      <w:bookmarkStart w:id="288" w:name="_Toc42613094"/>
      <w:bookmarkStart w:id="289" w:name="_Toc46314256"/>
      <w:r>
        <w:rPr>
          <w:rFonts w:hint="default" w:ascii="Times New Roman Regular" w:hAnsi="Times New Roman Regular" w:cs="Times New Roman Regular"/>
          <w:color w:val="auto"/>
        </w:rPr>
        <w:t>生活污水经化粪池处理达《污水综合排放标准》（GB8978-1996）表4中三级标准要求后，排入市政污水管网，进入</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青口新区污水处理厂深度处理，对周边环境影响不大。</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项目</w:t>
      </w:r>
      <w:r>
        <w:rPr>
          <w:rFonts w:hint="default" w:ascii="Times New Roman Regular" w:hAnsi="Times New Roman Regular" w:cs="Times New Roman Regular"/>
          <w:color w:val="auto"/>
          <w:lang w:val="en-US" w:eastAsia="zh-Hans"/>
        </w:rPr>
        <w:t>依托</w:t>
      </w:r>
      <w:r>
        <w:rPr>
          <w:rFonts w:hint="default" w:ascii="Times New Roman Regular" w:hAnsi="Times New Roman Regular" w:cs="Times New Roman Regular"/>
          <w:color w:val="auto"/>
          <w:lang w:eastAsia="zh-Hans"/>
        </w:rPr>
        <w:t>福州东郁机械包装有限公司</w:t>
      </w:r>
      <w:r>
        <w:rPr>
          <w:rFonts w:hint="default" w:ascii="Times New Roman Regular" w:hAnsi="Times New Roman Regular" w:cs="Times New Roman Regular"/>
          <w:color w:val="auto"/>
        </w:rPr>
        <w:t>厂区配套化粪池（处理能力为3m</w:t>
      </w:r>
      <w:r>
        <w:rPr>
          <w:rFonts w:hint="default" w:ascii="Times New Roman Regular" w:hAnsi="Times New Roman Regular" w:cs="Times New Roman Regular"/>
          <w:color w:val="auto"/>
          <w:vertAlign w:val="superscript"/>
        </w:rPr>
        <w:t>3</w:t>
      </w:r>
      <w:r>
        <w:rPr>
          <w:rFonts w:hint="default" w:ascii="Times New Roman Regular" w:hAnsi="Times New Roman Regular" w:cs="Times New Roman Regular"/>
          <w:color w:val="auto"/>
        </w:rPr>
        <w:t>/d）。化粪池由相联的三个池子组成，中间由过粪管联通，主要是利用厌氧发酵、中层过粪和寄生虫卵比重大于一般混合液比重而易于沉淀的原理，粪便在池内经过30天以上的发酵分解，中层粪液依次由1池流至3池，以达到沉淀或杀灭粪便中寄生虫卵和肠道致病菌的目的，第3池粪液成为优质化肥。项目生活污水经化粪池预处理后，水质可达《污水综合排放标准》（GB8978-1996）表4中的三级标准，其中氨氮可达《污水排入城镇下水道水质标准》（GB/T 31962-2015）表1中B级标准。</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综上所述，项目车间生活污水经预处理后均可达标排放，且水质符合</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青口新区污水处理厂进水水质要求，项目废水经预处理后通过市政污水管网统一排入</w:t>
      </w:r>
      <w:r>
        <w:rPr>
          <w:rFonts w:hint="default" w:ascii="Times New Roman Regular" w:hAnsi="Times New Roman Regular" w:cs="Times New Roman Regular"/>
          <w:color w:val="auto"/>
          <w:lang w:val="en-US" w:eastAsia="zh-Hans"/>
        </w:rPr>
        <w:t>福州青口新区</w:t>
      </w:r>
      <w:r>
        <w:rPr>
          <w:rFonts w:hint="default" w:ascii="Times New Roman Regular" w:hAnsi="Times New Roman Regular" w:cs="Times New Roman Regular"/>
          <w:color w:val="auto"/>
        </w:rPr>
        <w:t>污水处理厂处理达标排放。项目废水处理措施基本可行。</w:t>
      </w:r>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290" w:name="_Toc424733340"/>
      <w:bookmarkStart w:id="291" w:name="_Toc1421069797_WPSOffice_Level2"/>
      <w:r>
        <w:rPr>
          <w:rFonts w:hint="default" w:ascii="Times New Roman Regular" w:hAnsi="Times New Roman Regular" w:cs="Times New Roman Regular"/>
          <w:bCs w:val="0"/>
          <w:color w:val="auto"/>
          <w:kern w:val="2"/>
        </w:rPr>
        <w:t>9.2 废气污染防治措施</w:t>
      </w:r>
      <w:bookmarkEnd w:id="285"/>
      <w:bookmarkEnd w:id="286"/>
      <w:bookmarkEnd w:id="287"/>
      <w:bookmarkEnd w:id="288"/>
      <w:bookmarkEnd w:id="289"/>
      <w:bookmarkEnd w:id="290"/>
      <w:bookmarkEnd w:id="291"/>
    </w:p>
    <w:p>
      <w:pPr>
        <w:widowControl w:val="0"/>
        <w:ind w:firstLine="480" w:firstLineChars="200"/>
        <w:rPr>
          <w:rFonts w:hint="default" w:ascii="Times New Roman Regular" w:hAnsi="Times New Roman Regular" w:cs="Times New Roman Regular"/>
          <w:color w:val="FF0000"/>
        </w:rPr>
      </w:pPr>
      <w:r>
        <w:rPr>
          <w:rFonts w:hint="default" w:ascii="Times New Roman Regular" w:hAnsi="Times New Roman Regular" w:cs="Times New Roman Regular"/>
          <w:snapToGrid w:val="0"/>
          <w:color w:val="auto"/>
          <w:lang w:val="en-US" w:eastAsia="zh-Hans"/>
        </w:rPr>
        <w:t>本项目</w:t>
      </w:r>
      <w:r>
        <w:rPr>
          <w:rFonts w:hint="default" w:ascii="Times New Roman Regular" w:hAnsi="Times New Roman Regular" w:cs="Times New Roman Regular"/>
          <w:color w:val="auto"/>
          <w:lang w:val="en-US" w:eastAsia="zh-Hans"/>
        </w:rPr>
        <w:t>生产工序只涉及机械组装</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lang w:val="en-US" w:eastAsia="zh-Hans"/>
        </w:rPr>
        <w:t>产生</w:t>
      </w:r>
      <w:r>
        <w:rPr>
          <w:rFonts w:hint="eastAsia" w:ascii="Times New Roman Regular" w:hAnsi="Times New Roman Regular" w:cs="Times New Roman Regular"/>
          <w:color w:val="auto"/>
          <w:lang w:val="en-US" w:eastAsia="zh-Hans"/>
        </w:rPr>
        <w:t>少量粉尘</w:t>
      </w:r>
      <w:r>
        <w:rPr>
          <w:rFonts w:hint="default" w:ascii="Times New Roman Regular" w:hAnsi="Times New Roman Regular" w:cs="Times New Roman Regular"/>
          <w:color w:val="auto"/>
          <w:lang w:eastAsia="zh-Hans"/>
        </w:rPr>
        <w:t>（0</w:t>
      </w:r>
      <w:r>
        <w:rPr>
          <w:rFonts w:hint="eastAsia" w:ascii="Times New Roman Regular" w:hAnsi="Times New Roman Regular" w:cs="Times New Roman Regular"/>
          <w:color w:val="auto"/>
          <w:lang w:val="en-US" w:eastAsia="zh-Hans"/>
        </w:rPr>
        <w:t>.</w:t>
      </w:r>
      <w:r>
        <w:rPr>
          <w:rFonts w:hint="default" w:ascii="Times New Roman Regular" w:hAnsi="Times New Roman Regular" w:cs="Times New Roman Regular"/>
          <w:color w:val="auto"/>
          <w:lang w:eastAsia="zh-Hans"/>
        </w:rPr>
        <w:t>045</w:t>
      </w:r>
      <w:r>
        <w:rPr>
          <w:rFonts w:hint="eastAsia" w:ascii="Times New Roman Regular" w:hAnsi="Times New Roman Regular" w:cs="Times New Roman Regular"/>
          <w:color w:val="auto"/>
          <w:lang w:val="en-US" w:eastAsia="zh-Hans"/>
        </w:rPr>
        <w:t>t</w:t>
      </w:r>
      <w:r>
        <w:rPr>
          <w:rFonts w:hint="default" w:ascii="Times New Roman Regular" w:hAnsi="Times New Roman Regular" w:cs="Times New Roman Regular"/>
          <w:color w:val="auto"/>
          <w:lang w:eastAsia="zh-Hans"/>
        </w:rPr>
        <w:t>/</w:t>
      </w:r>
      <w:r>
        <w:rPr>
          <w:rFonts w:hint="eastAsia" w:ascii="Times New Roman Regular" w:hAnsi="Times New Roman Regular" w:cs="Times New Roman Regular"/>
          <w:color w:val="auto"/>
          <w:lang w:val="en-US" w:eastAsia="zh-Hans"/>
        </w:rPr>
        <w:t>a</w:t>
      </w:r>
      <w:r>
        <w:rPr>
          <w:rFonts w:hint="default" w:ascii="Times New Roman Regular" w:hAnsi="Times New Roman Regular" w:cs="Times New Roman Regular"/>
          <w:color w:val="auto"/>
          <w:lang w:eastAsia="zh-Hans"/>
        </w:rPr>
        <w:t>）。</w:t>
      </w:r>
      <w:r>
        <w:rPr>
          <w:rFonts w:hint="eastAsia" w:ascii="Times New Roman Regular" w:hAnsi="Times New Roman Regular" w:cs="Times New Roman Regular"/>
          <w:color w:val="auto"/>
          <w:lang w:val="en-US" w:eastAsia="zh-Hans"/>
        </w:rPr>
        <w:t>车间加强通风换气后</w:t>
      </w:r>
      <w:r>
        <w:rPr>
          <w:rFonts w:hint="default" w:ascii="Times New Roman Regular" w:hAnsi="Times New Roman Regular" w:cs="Times New Roman Regular"/>
          <w:color w:val="auto"/>
          <w:lang w:eastAsia="zh-Hans"/>
        </w:rPr>
        <w:t>。</w:t>
      </w:r>
      <w:r>
        <w:rPr>
          <w:rFonts w:hint="eastAsia" w:ascii="Times New Roman Regular" w:hAnsi="Times New Roman Regular" w:cs="Times New Roman Regular"/>
          <w:color w:val="auto"/>
          <w:lang w:val="en-US" w:eastAsia="zh-Hans"/>
        </w:rPr>
        <w:t>无组织颗粒物在厂界可达标</w:t>
      </w:r>
      <w:r>
        <w:rPr>
          <w:rFonts w:hint="default" w:ascii="Times New Roman Regular" w:hAnsi="Times New Roman Regular" w:cs="Times New Roman Regular"/>
          <w:color w:val="auto"/>
          <w:lang w:eastAsia="zh-Hans"/>
        </w:rPr>
        <w:t>。</w:t>
      </w:r>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292" w:name="_Toc257602752"/>
      <w:bookmarkStart w:id="293" w:name="_Toc42613095"/>
      <w:bookmarkStart w:id="294" w:name="_Toc44272321"/>
      <w:bookmarkStart w:id="295" w:name="_Toc44275477"/>
      <w:bookmarkStart w:id="296" w:name="_Toc46314257"/>
      <w:bookmarkStart w:id="297" w:name="_Toc1754439892_WPSOffice_Level2"/>
      <w:bookmarkStart w:id="298" w:name="_Toc47618366"/>
      <w:r>
        <w:rPr>
          <w:rFonts w:hint="default" w:ascii="Times New Roman Regular" w:hAnsi="Times New Roman Regular" w:cs="Times New Roman Regular"/>
          <w:bCs w:val="0"/>
          <w:color w:val="auto"/>
          <w:kern w:val="2"/>
        </w:rPr>
        <w:t>9.3 噪声污染控制措施</w:t>
      </w:r>
      <w:bookmarkEnd w:id="292"/>
      <w:bookmarkEnd w:id="293"/>
      <w:bookmarkEnd w:id="294"/>
      <w:bookmarkEnd w:id="295"/>
      <w:bookmarkEnd w:id="296"/>
      <w:bookmarkEnd w:id="297"/>
      <w:bookmarkEnd w:id="298"/>
    </w:p>
    <w:p>
      <w:pPr>
        <w:ind w:firstLine="480" w:firstLineChars="200"/>
        <w:rPr>
          <w:rFonts w:hint="default" w:ascii="Times New Roman Regular" w:hAnsi="Times New Roman Regular" w:cs="Times New Roman Regular"/>
          <w:color w:val="auto"/>
        </w:rPr>
      </w:pPr>
      <w:bookmarkStart w:id="299" w:name="_Toc42613096"/>
      <w:r>
        <w:rPr>
          <w:rFonts w:hint="default" w:ascii="Times New Roman Regular" w:hAnsi="Times New Roman Regular" w:cs="Times New Roman Regular"/>
          <w:color w:val="auto"/>
        </w:rPr>
        <w:t xml:space="preserve">本次环评建议厂方采取以下措施来减小噪声对外界环境的影响: </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1、主要高噪声设备安装减震垫；</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2、车间合理布局，使高噪声设备尽可能远离噪声敏感点和门窗位置；</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3、加强设备的安装、调试、使用和维护管理；</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4、生产设备采用厂房隔声方式，风机采用独立隔间隔声方式。减少各噪声设备对周围环境的影响。</w:t>
      </w:r>
      <w:bookmarkStart w:id="300" w:name="_Toc47618367"/>
      <w:bookmarkStart w:id="301" w:name="_Toc44275478"/>
      <w:bookmarkStart w:id="302" w:name="_Toc46314258"/>
      <w:bookmarkStart w:id="303" w:name="_Toc44272322"/>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304" w:name="_Toc202420512"/>
      <w:bookmarkStart w:id="305" w:name="_Toc1920791534_WPSOffice_Level2"/>
      <w:r>
        <w:rPr>
          <w:rFonts w:hint="default" w:ascii="Times New Roman Regular" w:hAnsi="Times New Roman Regular" w:cs="Times New Roman Regular"/>
          <w:bCs w:val="0"/>
          <w:color w:val="auto"/>
          <w:kern w:val="2"/>
        </w:rPr>
        <w:t>9.4 固体废物治理措施</w:t>
      </w:r>
      <w:bookmarkEnd w:id="299"/>
      <w:bookmarkEnd w:id="300"/>
      <w:bookmarkEnd w:id="301"/>
      <w:bookmarkEnd w:id="302"/>
      <w:bookmarkEnd w:id="303"/>
      <w:bookmarkEnd w:id="304"/>
      <w:bookmarkEnd w:id="305"/>
    </w:p>
    <w:p>
      <w:pPr>
        <w:widowControl w:val="0"/>
        <w:ind w:firstLine="480" w:firstLineChars="200"/>
        <w:rPr>
          <w:rFonts w:hint="default" w:ascii="Times New Roman Regular" w:hAnsi="Times New Roman Regular" w:cs="Times New Roman Regular"/>
          <w:color w:val="auto"/>
        </w:rPr>
      </w:pPr>
      <w:bookmarkStart w:id="306" w:name="_Toc47618368"/>
      <w:r>
        <w:rPr>
          <w:rFonts w:hint="default" w:ascii="Times New Roman Regular" w:hAnsi="Times New Roman Regular" w:cs="Times New Roman Regular"/>
          <w:color w:val="auto"/>
        </w:rPr>
        <w:t>（1）</w:t>
      </w:r>
      <w:r>
        <w:rPr>
          <w:rFonts w:hint="default" w:ascii="Times New Roman Regular" w:hAnsi="Times New Roman Regular" w:cs="Times New Roman Regular"/>
          <w:bCs/>
          <w:color w:val="auto"/>
        </w:rPr>
        <w:t>本项目一般固废包括</w:t>
      </w:r>
      <w:r>
        <w:rPr>
          <w:rFonts w:hint="default" w:ascii="Times New Roman Regular" w:hAnsi="Times New Roman Regular" w:cs="Times New Roman Regular"/>
          <w:bCs/>
          <w:color w:val="auto"/>
          <w:lang w:val="en-US" w:eastAsia="zh-Hans"/>
        </w:rPr>
        <w:t>残次品及下脚料</w:t>
      </w:r>
      <w:r>
        <w:rPr>
          <w:rFonts w:hint="default" w:ascii="Times New Roman Regular" w:hAnsi="Times New Roman Regular" w:cs="Times New Roman Regular"/>
          <w:bCs/>
          <w:color w:val="auto"/>
          <w:lang w:eastAsia="zh-Hans"/>
        </w:rPr>
        <w:t>，</w:t>
      </w:r>
      <w:r>
        <w:rPr>
          <w:rFonts w:hint="default" w:ascii="Times New Roman Regular" w:hAnsi="Times New Roman Regular" w:cs="Times New Roman Regular"/>
          <w:bCs/>
          <w:color w:val="auto"/>
        </w:rPr>
        <w:t>经</w:t>
      </w:r>
      <w:r>
        <w:rPr>
          <w:rFonts w:hint="default" w:ascii="Times New Roman Regular" w:hAnsi="Times New Roman Regular" w:cs="Times New Roman Regular"/>
          <w:color w:val="auto"/>
        </w:rPr>
        <w:t>集中收集后暂存在车间内的一般固废暂存间，定期外售综合利用，一般固废暂存间位于维修区内，按照《一般工业固体废物贮存、处置场污染控制标准》（GB18599-2001）及其修改单要求建设。</w:t>
      </w:r>
    </w:p>
    <w:p>
      <w:pPr>
        <w:widowControl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（2）生活垃圾由专人负责清理，进行袋装化收集，由环卫部门按时收集。</w:t>
      </w:r>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综上所述，项目产生的固废经过适当处理后不会对周围环境产生影响。</w:t>
      </w:r>
    </w:p>
    <w:p>
      <w:pPr>
        <w:widowControl w:val="0"/>
        <w:adjustRightInd w:val="0"/>
        <w:jc w:val="left"/>
        <w:textAlignment w:val="baseline"/>
        <w:outlineLvl w:val="2"/>
        <w:rPr>
          <w:rFonts w:hint="default" w:ascii="Times New Roman Regular" w:hAnsi="Times New Roman Regular" w:cs="Times New Roman Regular"/>
          <w:b/>
          <w:color w:val="auto"/>
          <w:kern w:val="0"/>
          <w:sz w:val="28"/>
          <w:szCs w:val="28"/>
        </w:rPr>
      </w:pPr>
      <w:bookmarkStart w:id="307" w:name="_Toc467448336"/>
      <w:bookmarkStart w:id="308" w:name="_Toc23078"/>
      <w:bookmarkStart w:id="309" w:name="_Toc1769130234_WPSOffice_Level2"/>
      <w:r>
        <w:rPr>
          <w:rFonts w:hint="default" w:ascii="Times New Roman Regular" w:hAnsi="Times New Roman Regular" w:cs="Times New Roman Regular"/>
          <w:b/>
          <w:color w:val="auto"/>
          <w:kern w:val="0"/>
          <w:sz w:val="28"/>
          <w:szCs w:val="28"/>
        </w:rPr>
        <w:t>9.5环境风险防范措施</w:t>
      </w:r>
      <w:bookmarkEnd w:id="307"/>
      <w:bookmarkEnd w:id="308"/>
      <w:bookmarkEnd w:id="309"/>
    </w:p>
    <w:p>
      <w:pPr>
        <w:pStyle w:val="154"/>
        <w:ind w:firstLine="480"/>
        <w:rPr>
          <w:rFonts w:hint="default" w:ascii="Times New Roman Regular" w:hAnsi="Times New Roman Regular" w:cs="Times New Roman Regular"/>
          <w:color w:val="auto"/>
        </w:rPr>
      </w:pPr>
      <w:bookmarkStart w:id="310" w:name="_Toc18155"/>
      <w:r>
        <w:rPr>
          <w:rFonts w:hint="default" w:ascii="Times New Roman Regular" w:hAnsi="Times New Roman Regular" w:cs="Times New Roman Regular"/>
          <w:color w:val="auto"/>
        </w:rPr>
        <w:t>（1）建立安全的环境管理制度</w:t>
      </w:r>
      <w:bookmarkEnd w:id="310"/>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a.制定和强化各种健康/安全/环境管理制度，并严格予以执行。各级领导和生产管理人员必须重视安全生产，积极推广科学安全管理方法，强化安全操作制度和劳动纪律。</w:t>
      </w:r>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b.加强厂区、车间的安全环保管理，对职工进行环保教育和培训，做到持证上岗，减少人为风险事故（如误操作）的发生。</w:t>
      </w:r>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c.加强对新职工和转岗职工的专业培训、安全教育和考核。新进人员必须经过专业培训和三级安全教育，并经考试合格后方可持证上岗。对转岗、复工员工应参照新进职工办法进行培训和考试。</w:t>
      </w:r>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d.建立应急预案，并与当地的应急预案衔接，一旦出现事故可借助社会救援，使损失和对环境的污染降到最低。针对事故发生情况制定详细的事故应急救援预案，并定期进行演练和检查救援设施起居的良好度。</w:t>
      </w:r>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e.加强设备、仪表的维修、养护，定期检查各种设备，杜绝事故隐患，降低事故发生概率。</w:t>
      </w:r>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f.切实加强对工艺操作的安全管理，确保工艺操作规程和安全操作规程的贯彻执行。尤其要加强对工艺过程指标控制，操作人员的劳动保护用品的穿戴加强管理，确保安全作业。</w:t>
      </w:r>
    </w:p>
    <w:p>
      <w:pPr>
        <w:pStyle w:val="154"/>
        <w:ind w:firstLine="480"/>
        <w:rPr>
          <w:rFonts w:hint="default" w:ascii="Times New Roman Regular" w:hAnsi="Times New Roman Regular" w:cs="Times New Roman Regular"/>
          <w:color w:val="auto"/>
        </w:rPr>
      </w:pPr>
      <w:bookmarkStart w:id="311" w:name="_Toc10435"/>
      <w:r>
        <w:rPr>
          <w:rFonts w:hint="default" w:ascii="Times New Roman Regular" w:hAnsi="Times New Roman Regular" w:cs="Times New Roman Regular"/>
          <w:color w:val="auto"/>
        </w:rPr>
        <w:t>（2）应急处置措施</w:t>
      </w:r>
      <w:bookmarkEnd w:id="311"/>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①泄露应急处理</w:t>
      </w:r>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尽可能切断泄漏源，防止进入下水道、排洪沟等限制性空间。小量泄漏：用砂土或其它不燃材料吸附或吸收。大量泄漏：构筑围堤或挖坑收容；用泡沫覆盖，降低蒸气灾害。用防爆泵转移至槽车或专用收集器内。回收或运至废物处理场所处置。</w:t>
      </w:r>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②防范措施</w:t>
      </w:r>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发生火灾时，呼吸系统防护：空气中浓度超标时，应该佩戴自吸过滤式防毒面罩（半面罩）。紧急事态抢救或撤离时，应该佩戴空气呼吸器或氧气呼吸器。眼睛防护：戴化学安全防护眼镜。身体防护：穿防毒渗透工作服。手防护：戴乳胶手套。其它：工作现场禁止吸烟、进食和饮水。</w:t>
      </w:r>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③急救措施</w:t>
      </w:r>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皮肤接触：脱去被污染的衣着，用肥皂水和清水彻底冲洗皮肤。眼睛接触：提起眼睑，用流动清水或生理盐水冲洗。就医。吸入：迅速脱离现场至空气新鲜处。保持呼吸道通畅。如呼吸困难，给输氧。如呼吸停止，立即进行人工呼吸。就医。食入：饮足量温水，催吐，就医。灭火方法：喷水保持火场容器冷却。尽可能将容器从火场移至空旷处。处在火场中的容器若已变色或从安全泄压装置中产生声音，必须马上撤离。灭火剂：泡沫、干粉、二氧化碳、砂土；用水灭火无效。</w:t>
      </w:r>
    </w:p>
    <w:p>
      <w:pPr>
        <w:pStyle w:val="154"/>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本项目生产</w:t>
      </w:r>
      <w:r>
        <w:rPr>
          <w:rFonts w:hint="eastAsia" w:ascii="Times New Roman Regular" w:hAnsi="Times New Roman Regular" w:cs="Times New Roman Regular"/>
          <w:color w:val="auto"/>
          <w:lang w:val="en-US" w:eastAsia="zh-Hans"/>
        </w:rPr>
        <w:t>不</w:t>
      </w:r>
      <w:r>
        <w:rPr>
          <w:rFonts w:hint="default" w:ascii="Times New Roman Regular" w:hAnsi="Times New Roman Regular" w:cs="Times New Roman Regular"/>
          <w:color w:val="auto"/>
        </w:rPr>
        <w:t>涉及危险物质，企业在严格落实各项环境风险防范措施，并制定切实可行的突发环境事件应急预案后，本项目环境风险在可接受的范围内，对周围环境的影响不大。</w:t>
      </w:r>
      <w:bookmarkEnd w:id="306"/>
      <w:bookmarkStart w:id="312" w:name="_Toc47618369"/>
    </w:p>
    <w:p>
      <w:pPr>
        <w:pStyle w:val="3"/>
        <w:bidi w:val="0"/>
        <w:outlineLvl w:val="1"/>
        <w:rPr>
          <w:rFonts w:hint="default"/>
        </w:rPr>
      </w:pPr>
      <w:bookmarkStart w:id="313" w:name="_Toc909002426"/>
      <w:bookmarkStart w:id="314" w:name="_Toc1424138775_WPSOffice_Level1"/>
      <w:r>
        <w:rPr>
          <w:rFonts w:hint="default"/>
        </w:rPr>
        <w:t>环境影响经济损益分析</w:t>
      </w:r>
      <w:bookmarkEnd w:id="312"/>
      <w:bookmarkEnd w:id="313"/>
      <w:bookmarkEnd w:id="314"/>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315" w:name="_Toc1860750123_WPSOffice_Level2"/>
      <w:bookmarkStart w:id="316" w:name="_Toc47618372"/>
      <w:bookmarkStart w:id="317" w:name="_Toc405109024"/>
      <w:r>
        <w:rPr>
          <w:rFonts w:hint="default" w:ascii="Times New Roman Regular" w:hAnsi="Times New Roman Regular" w:cs="Times New Roman Regular"/>
          <w:bCs w:val="0"/>
          <w:color w:val="auto"/>
          <w:kern w:val="2"/>
        </w:rPr>
        <w:t>10.1 环保投资及环境收益分析</w:t>
      </w:r>
      <w:bookmarkEnd w:id="315"/>
      <w:bookmarkEnd w:id="316"/>
      <w:bookmarkEnd w:id="317"/>
    </w:p>
    <w:p>
      <w:pPr>
        <w:autoSpaceDE w:val="0"/>
        <w:autoSpaceDN w:val="0"/>
        <w:adjustRightInd w:val="0"/>
        <w:snapToGrid w:val="0"/>
        <w:ind w:firstLine="480" w:firstLineChars="200"/>
        <w:textAlignment w:val="baseline"/>
        <w:rPr>
          <w:rFonts w:hint="default" w:ascii="Times New Roman Regular" w:hAnsi="Times New Roman Regular" w:cs="Times New Roman Regular"/>
          <w:color w:val="auto"/>
          <w:kern w:val="0"/>
        </w:rPr>
      </w:pPr>
      <w:r>
        <w:rPr>
          <w:rFonts w:hint="default" w:ascii="Times New Roman Regular" w:hAnsi="Times New Roman Regular" w:cs="Times New Roman Regular"/>
          <w:color w:val="auto"/>
        </w:rPr>
        <w:t>环境工程投资是指建设工程为控制污染、实现污染物达标排放或回用及污染物排放总量控制所进行的必要投资，一般由治理费用和辅助费用组成，本评价只估算其中的治理费用。</w:t>
      </w:r>
      <w:r>
        <w:rPr>
          <w:rFonts w:hint="default" w:ascii="Times New Roman Regular" w:hAnsi="Times New Roman Regular" w:cs="Times New Roman Regular"/>
          <w:color w:val="auto"/>
          <w:kern w:val="0"/>
        </w:rPr>
        <w:t>该项目环保投资估算详见表10.1-1。该项目环保投资估算7万元，占项目总投资</w:t>
      </w:r>
      <w:r>
        <w:rPr>
          <w:rFonts w:hint="default" w:ascii="Times New Roman Regular" w:hAnsi="Times New Roman Regular" w:cs="Times New Roman Regular"/>
          <w:color w:val="auto"/>
          <w:kern w:val="0"/>
          <w:highlight w:val="none"/>
        </w:rPr>
        <w:t>120万元的5</w:t>
      </w:r>
      <w:r>
        <w:rPr>
          <w:rFonts w:hint="eastAsia" w:ascii="Times New Roman Regular" w:hAnsi="Times New Roman Regular" w:cs="Times New Roman Regular"/>
          <w:color w:val="auto"/>
          <w:kern w:val="0"/>
          <w:highlight w:val="none"/>
          <w:lang w:val="en-US" w:eastAsia="zh-Hans"/>
        </w:rPr>
        <w:t>.</w:t>
      </w:r>
      <w:r>
        <w:rPr>
          <w:rFonts w:hint="default" w:ascii="Times New Roman Regular" w:hAnsi="Times New Roman Regular" w:cs="Times New Roman Regular"/>
          <w:color w:val="auto"/>
          <w:kern w:val="0"/>
          <w:highlight w:val="none"/>
          <w:lang w:eastAsia="zh-Hans"/>
        </w:rPr>
        <w:t>8</w:t>
      </w:r>
      <w:r>
        <w:rPr>
          <w:rFonts w:hint="default" w:ascii="Times New Roman Regular" w:hAnsi="Times New Roman Regular" w:cs="Times New Roman Regular"/>
          <w:color w:val="auto"/>
          <w:kern w:val="0"/>
          <w:highlight w:val="none"/>
        </w:rPr>
        <w:t>%</w:t>
      </w:r>
      <w:r>
        <w:rPr>
          <w:rFonts w:hint="default" w:ascii="Times New Roman Regular" w:hAnsi="Times New Roman Regular" w:cs="Times New Roman Regular"/>
          <w:color w:val="auto"/>
          <w:kern w:val="0"/>
        </w:rPr>
        <w:t>。</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表10.1-1 主要环保投资一览表</w:t>
      </w:r>
    </w:p>
    <w:tbl>
      <w:tblPr>
        <w:tblStyle w:val="3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4"/>
        <w:gridCol w:w="1548"/>
        <w:gridCol w:w="1243"/>
        <w:gridCol w:w="3205"/>
        <w:gridCol w:w="14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4" w:type="dxa"/>
            <w:vAlign w:val="center"/>
          </w:tcPr>
          <w:p>
            <w:pPr>
              <w:pStyle w:val="135"/>
              <w:rPr>
                <w:rFonts w:hint="default" w:ascii="Times New Roman Regular" w:hAnsi="Times New Roman Regular" w:cs="Times New Roman Regular"/>
                <w:color w:val="auto"/>
              </w:rPr>
            </w:pPr>
            <w:bookmarkStart w:id="318" w:name="_Toc47618373"/>
            <w:r>
              <w:rPr>
                <w:rFonts w:hint="default" w:ascii="Times New Roman Regular" w:hAnsi="Times New Roman Regular" w:cs="Times New Roman Regular"/>
                <w:color w:val="auto"/>
              </w:rPr>
              <w:t>序号</w:t>
            </w:r>
          </w:p>
        </w:tc>
        <w:tc>
          <w:tcPr>
            <w:tcW w:w="2791" w:type="dxa"/>
            <w:gridSpan w:val="2"/>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项目</w:t>
            </w:r>
          </w:p>
        </w:tc>
        <w:tc>
          <w:tcPr>
            <w:tcW w:w="320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环保设施内容</w:t>
            </w:r>
          </w:p>
        </w:tc>
        <w:tc>
          <w:tcPr>
            <w:tcW w:w="147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投资</w:t>
            </w:r>
          </w:p>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4"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w:t>
            </w:r>
          </w:p>
        </w:tc>
        <w:tc>
          <w:tcPr>
            <w:tcW w:w="2791" w:type="dxa"/>
            <w:gridSpan w:val="2"/>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生活污水</w:t>
            </w:r>
          </w:p>
        </w:tc>
        <w:tc>
          <w:tcPr>
            <w:tcW w:w="320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化粪池</w:t>
            </w:r>
          </w:p>
        </w:tc>
        <w:tc>
          <w:tcPr>
            <w:tcW w:w="147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4"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w:t>
            </w:r>
          </w:p>
        </w:tc>
        <w:tc>
          <w:tcPr>
            <w:tcW w:w="2791" w:type="dxa"/>
            <w:gridSpan w:val="2"/>
            <w:vAlign w:val="center"/>
          </w:tcPr>
          <w:p>
            <w:pPr>
              <w:pStyle w:val="135"/>
              <w:rPr>
                <w:rFonts w:hint="eastAsia" w:ascii="Times New Roman Regular" w:hAnsi="Times New Roman Regular" w:eastAsia="宋体" w:cs="Times New Roman Regular"/>
                <w:color w:val="auto"/>
                <w:lang w:val="en-US" w:eastAsia="zh-Hans"/>
              </w:rPr>
            </w:pPr>
            <w:r>
              <w:rPr>
                <w:rFonts w:hint="eastAsia" w:ascii="Times New Roman Regular" w:hAnsi="Times New Roman Regular" w:cs="Times New Roman Regular"/>
                <w:color w:val="auto"/>
                <w:lang w:val="en-US" w:eastAsia="zh-Hans"/>
              </w:rPr>
              <w:t>废气</w:t>
            </w:r>
          </w:p>
        </w:tc>
        <w:tc>
          <w:tcPr>
            <w:tcW w:w="3205" w:type="dxa"/>
            <w:vAlign w:val="center"/>
          </w:tcPr>
          <w:p>
            <w:pPr>
              <w:pStyle w:val="135"/>
              <w:rPr>
                <w:rFonts w:hint="eastAsia" w:ascii="Times New Roman Regular" w:hAnsi="Times New Roman Regular" w:eastAsia="宋体" w:cs="Times New Roman Regular"/>
                <w:color w:val="auto"/>
                <w:lang w:val="en-US" w:eastAsia="zh-Hans"/>
              </w:rPr>
            </w:pPr>
            <w:r>
              <w:rPr>
                <w:rFonts w:hint="eastAsia" w:ascii="Times New Roman Regular" w:hAnsi="Times New Roman Regular" w:cs="Times New Roman Regular"/>
                <w:color w:val="auto"/>
                <w:lang w:val="en-US" w:eastAsia="zh-Hans"/>
              </w:rPr>
              <w:t>车间排气扇</w:t>
            </w:r>
          </w:p>
        </w:tc>
        <w:tc>
          <w:tcPr>
            <w:tcW w:w="147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4"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w:t>
            </w:r>
          </w:p>
        </w:tc>
        <w:tc>
          <w:tcPr>
            <w:tcW w:w="1548"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固体废物处理</w:t>
            </w:r>
          </w:p>
        </w:tc>
        <w:tc>
          <w:tcPr>
            <w:tcW w:w="124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生活垃圾</w:t>
            </w:r>
          </w:p>
        </w:tc>
        <w:tc>
          <w:tcPr>
            <w:tcW w:w="320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生活垃圾收集桶等</w:t>
            </w:r>
          </w:p>
        </w:tc>
        <w:tc>
          <w:tcPr>
            <w:tcW w:w="147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4"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w:t>
            </w:r>
          </w:p>
        </w:tc>
        <w:tc>
          <w:tcPr>
            <w:tcW w:w="2791" w:type="dxa"/>
            <w:gridSpan w:val="2"/>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噪声治理</w:t>
            </w:r>
          </w:p>
        </w:tc>
        <w:tc>
          <w:tcPr>
            <w:tcW w:w="320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设备消声、减振设施</w:t>
            </w:r>
          </w:p>
        </w:tc>
        <w:tc>
          <w:tcPr>
            <w:tcW w:w="147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505" w:type="dxa"/>
            <w:gridSpan w:val="3"/>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合计</w:t>
            </w:r>
          </w:p>
        </w:tc>
        <w:tc>
          <w:tcPr>
            <w:tcW w:w="320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w:t>
            </w:r>
          </w:p>
        </w:tc>
        <w:tc>
          <w:tcPr>
            <w:tcW w:w="1475"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7</w:t>
            </w:r>
          </w:p>
        </w:tc>
      </w:tr>
    </w:tbl>
    <w:p>
      <w:pPr>
        <w:pStyle w:val="4"/>
        <w:keepNext/>
        <w:keepLines/>
        <w:widowControl w:val="0"/>
        <w:spacing w:before="156" w:beforeLines="50" w:after="156" w:afterLines="50"/>
        <w:outlineLvl w:val="2"/>
        <w:rPr>
          <w:rFonts w:hint="default" w:ascii="Times New Roman Regular" w:hAnsi="Times New Roman Regular" w:cs="Times New Roman Regular"/>
          <w:color w:val="auto"/>
        </w:rPr>
      </w:pPr>
      <w:bookmarkStart w:id="319" w:name="_Toc1970449647_WPSOffice_Level2"/>
      <w:bookmarkStart w:id="320" w:name="_Toc1144205378"/>
      <w:r>
        <w:rPr>
          <w:rFonts w:hint="default" w:ascii="Times New Roman Regular" w:hAnsi="Times New Roman Regular" w:cs="Times New Roman Regular"/>
          <w:bCs w:val="0"/>
          <w:color w:val="auto"/>
          <w:kern w:val="2"/>
        </w:rPr>
        <w:t>10.2 环境经济损益分析结论</w:t>
      </w:r>
      <w:bookmarkEnd w:id="318"/>
      <w:bookmarkEnd w:id="319"/>
      <w:bookmarkEnd w:id="320"/>
    </w:p>
    <w:p>
      <w:pPr>
        <w:spacing w:line="480" w:lineRule="exact"/>
        <w:ind w:firstLine="480" w:firstLineChars="200"/>
        <w:rPr>
          <w:rFonts w:hint="default" w:ascii="Times New Roman Regular" w:hAnsi="Times New Roman Regular" w:cs="Times New Roman Regular"/>
          <w:color w:val="auto"/>
        </w:rPr>
      </w:pPr>
      <w:bookmarkStart w:id="321" w:name="_Toc47618374"/>
      <w:r>
        <w:rPr>
          <w:rFonts w:hint="default" w:ascii="Times New Roman Regular" w:hAnsi="Times New Roman Regular" w:cs="Times New Roman Regular"/>
          <w:color w:val="auto"/>
        </w:rPr>
        <w:t>项目环保设施投入使用后，可做到废水、废气和噪声达标排放，同时减少固体废物对周围环境的影响，将有利于创造一个良好、优美的环境。</w:t>
      </w:r>
      <w:r>
        <w:rPr>
          <w:rFonts w:hint="default" w:ascii="Times New Roman Regular" w:hAnsi="Times New Roman Regular" w:cs="Times New Roman Regular"/>
          <w:bCs/>
          <w:color w:val="auto"/>
        </w:rPr>
        <w:t>项目的环保投资对项目本身而言，可能经济效益不明显，但是其社会效益是显著的，可避免项目对周围环境的影响，避免环保投诉事件的发生，具有明显的环境效益。</w:t>
      </w:r>
    </w:p>
    <w:p>
      <w:pPr>
        <w:pStyle w:val="3"/>
        <w:bidi w:val="0"/>
        <w:outlineLvl w:val="1"/>
        <w:rPr>
          <w:rFonts w:hint="default"/>
        </w:rPr>
      </w:pPr>
      <w:bookmarkStart w:id="322" w:name="_Toc2091212808"/>
      <w:bookmarkStart w:id="323" w:name="_Toc1795145610_WPSOffice_Level1"/>
      <w:r>
        <w:rPr>
          <w:rFonts w:hint="default"/>
        </w:rPr>
        <w:t>环境管理与环境监测</w:t>
      </w:r>
      <w:bookmarkEnd w:id="321"/>
      <w:r>
        <w:rPr>
          <w:rFonts w:hint="default"/>
        </w:rPr>
        <w:t>计划</w:t>
      </w:r>
      <w:bookmarkEnd w:id="322"/>
      <w:bookmarkEnd w:id="323"/>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324" w:name="_Toc47618375"/>
      <w:bookmarkStart w:id="325" w:name="_Toc1296297254"/>
      <w:bookmarkStart w:id="326" w:name="_Toc1001896742_WPSOffice_Level2"/>
      <w:r>
        <w:rPr>
          <w:rFonts w:hint="default" w:ascii="Times New Roman Regular" w:hAnsi="Times New Roman Regular" w:cs="Times New Roman Regular"/>
          <w:bCs w:val="0"/>
          <w:color w:val="auto"/>
          <w:kern w:val="2"/>
        </w:rPr>
        <w:t>11.1环境管理</w:t>
      </w:r>
      <w:bookmarkEnd w:id="324"/>
      <w:bookmarkEnd w:id="325"/>
      <w:bookmarkEnd w:id="326"/>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环境保护的关键是环境管理，实践证明公司的环境管理是公司管理的重要组成部分，它对促进环境效益、经济效益的提高，都起到了明显的作用。目前，环境管理已逐渐形成一项制度，任何一个可能造成环境影响的建设工程或单位，都应设置一个环境管理机构，建立一套有效的环境管理办法，负责实施该工程或该单位的环境管理和监督。</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环境管理的基本任务是以保护环境为目标，清洁生产为手段，发展生产和经济效益为目标，主要是保证项目的“三废”治理设施的正常运转达标排放，做到保护环境，发展经营的目的。</w:t>
      </w:r>
    </w:p>
    <w:p>
      <w:pPr>
        <w:pStyle w:val="128"/>
        <w:keepNext/>
        <w:spacing w:before="156" w:beforeLines="50"/>
        <w:outlineLvl w:val="9"/>
        <w:rPr>
          <w:rFonts w:hint="default" w:ascii="Times New Roman Regular" w:hAnsi="Times New Roman Regular" w:cs="Times New Roman Regular"/>
          <w:color w:val="auto"/>
        </w:rPr>
      </w:pPr>
      <w:bookmarkStart w:id="327" w:name="_Toc44275488"/>
      <w:bookmarkStart w:id="328" w:name="_Toc42613109"/>
      <w:bookmarkStart w:id="329" w:name="_Toc46314268"/>
      <w:bookmarkStart w:id="330" w:name="_Toc44272332"/>
      <w:bookmarkStart w:id="331" w:name="_Toc47618377"/>
      <w:bookmarkStart w:id="332" w:name="_Toc646349163"/>
      <w:r>
        <w:rPr>
          <w:rFonts w:hint="default" w:ascii="Times New Roman Regular" w:hAnsi="Times New Roman Regular" w:cs="Times New Roman Regular"/>
          <w:color w:val="auto"/>
        </w:rPr>
        <w:t>11.1.1 环境管理</w:t>
      </w:r>
      <w:bookmarkEnd w:id="327"/>
      <w:bookmarkEnd w:id="328"/>
      <w:bookmarkEnd w:id="329"/>
      <w:bookmarkEnd w:id="330"/>
      <w:bookmarkEnd w:id="331"/>
      <w:r>
        <w:rPr>
          <w:rFonts w:hint="default" w:ascii="Times New Roman Regular" w:hAnsi="Times New Roman Regular" w:cs="Times New Roman Regular"/>
          <w:color w:val="auto"/>
        </w:rPr>
        <w:t>体制机构和职能</w:t>
      </w:r>
      <w:bookmarkEnd w:id="332"/>
    </w:p>
    <w:p>
      <w:pPr>
        <w:spacing w:line="480" w:lineRule="exact"/>
        <w:ind w:firstLine="480" w:firstLineChars="200"/>
        <w:rPr>
          <w:rFonts w:hint="default" w:ascii="Times New Roman Regular" w:hAnsi="Times New Roman Regular" w:cs="Times New Roman Regular"/>
          <w:color w:val="auto"/>
        </w:rPr>
      </w:pPr>
      <w:bookmarkStart w:id="333" w:name="_Toc44272333"/>
      <w:bookmarkStart w:id="334" w:name="_Toc46314269"/>
      <w:bookmarkStart w:id="335" w:name="_Toc44275489"/>
      <w:bookmarkStart w:id="336" w:name="_Toc42613111"/>
      <w:bookmarkStart w:id="337" w:name="_Toc47618378"/>
      <w:r>
        <w:rPr>
          <w:rFonts w:hint="default" w:ascii="Times New Roman Regular" w:hAnsi="Times New Roman Regular" w:cs="Times New Roman Regular"/>
          <w:color w:val="auto"/>
        </w:rPr>
        <w:t>项目应设专门的环境管理机构，可配备人员1~3人，环境管理机构的职责为：</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（1）贯彻执行国家和地方环保法规和政策。</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（2）制定本公司的环境管理规章制度。</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（3）监督和检查本厂环保设施的运行，做好维修和保修工作。</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（4）每月组织一次对在用环保设施运行情况进行检查。</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（5）对建设项目环保“三同时”进行监督管理和环保统计。</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（6）负责环境污染事故的调查、分析、报告工作，并提出处理和防范措施建议。</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（7）负责与各级环保部门的联系和沟通工作，建立环保信息网络。</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（8）做好三废台账，要求按照相关设计规范设计或委托专业设计单位设计。</w:t>
      </w:r>
    </w:p>
    <w:p>
      <w:pPr>
        <w:pStyle w:val="128"/>
        <w:keepNext/>
        <w:spacing w:before="156" w:beforeLines="50"/>
        <w:outlineLvl w:val="9"/>
        <w:rPr>
          <w:rFonts w:hint="default" w:ascii="Times New Roman Regular" w:hAnsi="Times New Roman Regular" w:cs="Times New Roman Regular"/>
          <w:color w:val="auto"/>
        </w:rPr>
      </w:pPr>
      <w:bookmarkStart w:id="338" w:name="_Toc1218096015"/>
      <w:r>
        <w:rPr>
          <w:rFonts w:hint="default" w:ascii="Times New Roman Regular" w:hAnsi="Times New Roman Regular" w:cs="Times New Roman Regular"/>
          <w:color w:val="auto"/>
        </w:rPr>
        <w:t>11.1.2 环境管理主要内容</w:t>
      </w:r>
      <w:bookmarkEnd w:id="333"/>
      <w:bookmarkEnd w:id="334"/>
      <w:bookmarkEnd w:id="335"/>
      <w:bookmarkEnd w:id="336"/>
      <w:bookmarkEnd w:id="337"/>
      <w:bookmarkEnd w:id="338"/>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（1）贯彻执行试运行期建立的环保工作机构和工作制度以及监视性监测制度，并不断总结经验提高管理水平。</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（2）制定各环保设施操作规程，定期维修制度，使各项环保设施在生产过程中处于良好的运行状态，如环保设施出现故障，应立即停厂检修，严禁非正常排放。</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（3）对技术工作进行上岗前的环保知识法规教育及操作规程的培训，使各项环保设施的操作规范化，保证环保设施的正常运转。</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（4）加强环境监测工作，重点是各污染源的监测，并注意做好记录，不弄虚作假。监测中如发现异常情况应及时向有关部门通报，及时采取应急措施，防止事故排放。</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（5）建立本公司的环境保护档案。档案包括：</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①污染物排放情况；</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②污染物治理设施的运行、操作和管理情况；</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③监测仪器、设备的型号和规格以及校验情况；</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④采用的监测分析方法和监测记录；</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⑤限期治理执行情况；</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⑥事故情况及有关记录；</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⑦与污染有关的生产工艺、原材料使用方面的资料；</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⑧其他与污染防治有关的情况和资料等。</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（6）建立污染事故报告制度，编制环境风险应急预案，并组织演练。</w:t>
      </w:r>
    </w:p>
    <w:p>
      <w:pPr>
        <w:ind w:firstLine="480" w:firstLineChars="200"/>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重大事故发生时，立即上报有关部门（环保、安监、消防等），同时立即起动应急预案，进行事故处理。</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当一般污染事故发生时，必须在事故发生二十四小时内，向环保部门做出事故发生的时间、地点、类型和排放污染物的数量、经济损失等情况的初步报告，事故查清后，向环保部门书面报告事故的原因，采取的措施，处理结果，并附有关证明。若发生污染事故，则有责任排除危害，同时对直接受到损害的单位或个人赔偿损失。</w:t>
      </w:r>
    </w:p>
    <w:p>
      <w:pPr>
        <w:pStyle w:val="128"/>
        <w:keepNext/>
        <w:spacing w:before="156" w:beforeLines="50"/>
        <w:outlineLvl w:val="9"/>
        <w:rPr>
          <w:rFonts w:hint="default" w:ascii="Times New Roman Regular" w:hAnsi="Times New Roman Regular" w:cs="Times New Roman Regular"/>
          <w:color w:val="auto"/>
        </w:rPr>
      </w:pPr>
      <w:bookmarkStart w:id="339" w:name="_Toc44272334"/>
      <w:bookmarkStart w:id="340" w:name="_Toc578117254"/>
      <w:bookmarkStart w:id="341" w:name="_Toc44275490"/>
      <w:bookmarkStart w:id="342" w:name="_Toc47618379"/>
      <w:bookmarkStart w:id="343" w:name="_Toc46314270"/>
      <w:r>
        <w:rPr>
          <w:rFonts w:hint="default" w:ascii="Times New Roman Regular" w:hAnsi="Times New Roman Regular" w:cs="Times New Roman Regular"/>
          <w:color w:val="auto"/>
        </w:rPr>
        <w:t>11.1.3 环境管理台账要求</w:t>
      </w:r>
      <w:bookmarkEnd w:id="339"/>
      <w:bookmarkEnd w:id="340"/>
      <w:bookmarkEnd w:id="341"/>
      <w:bookmarkEnd w:id="342"/>
      <w:bookmarkEnd w:id="343"/>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 xml:space="preserve">根据《排污单位环境管理台账及排污许可证执行报告技术规范 总则（试行）》（HJ944-2018）的相关要求，排污单位应建立环境管理台账记录制度，落实环境管理台账记录的责任单位和责任人，明确工作职责，并对环境管理台账的真实性、完整性和规范性负责。一般按日或按批次进行记录，异常情况应按次记录。 </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 xml:space="preserve">实施简化管理的排污单位，其环境管理台账内容可适当缩减，至少记录污染防治设施运行管理信息和监测记录信息，记录频次可适当降低。 </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记录形式：分为电子台账和纸质台账两种形式。</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记录内容：包括基本信息、生产设施运行管理信息、污染防治设施运行管理信息、监测记录信息及其他环境管理信息等。生产设施、污染防治设施、排放口编码应与排污许可证副本中载明的编码一致。</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记录频次：对于未发生变化的基本信息，按年记录，1次/年；对于发生变化的基本信息，在发生变化时记录1次。</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基本信息：包括排污单位生产设施基本信息、污染防治设施基本信息。</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①生产设施基本信息：主要技术参数及设计值等。</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②污染防治设施基本信息：主要技术参数及设计值；对于防渗漏、防泄漏等污染防治措施，还应记录落实情况及问题整改情况等。</w:t>
      </w:r>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344" w:name="_Toc47618380"/>
      <w:bookmarkStart w:id="345" w:name="_Toc1200668950"/>
      <w:bookmarkStart w:id="346" w:name="_Toc459266667_WPSOffice_Level2"/>
      <w:r>
        <w:rPr>
          <w:rFonts w:hint="default" w:ascii="Times New Roman Regular" w:hAnsi="Times New Roman Regular" w:cs="Times New Roman Regular"/>
          <w:bCs w:val="0"/>
          <w:color w:val="auto"/>
          <w:kern w:val="2"/>
        </w:rPr>
        <w:t>11.2 环境监测</w:t>
      </w:r>
      <w:bookmarkEnd w:id="344"/>
      <w:bookmarkEnd w:id="345"/>
      <w:bookmarkEnd w:id="346"/>
    </w:p>
    <w:p>
      <w:pPr>
        <w:ind w:firstLine="475" w:firstLineChars="198"/>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公司内部的环境监测是企业环境管理的耳目，是基本的手段和信息的基础，主要对企业生产过程中排放的污染物进行定期监测，判断环境质量，评价环保设施及其治理效果。为防治污染提供科学依据。</w:t>
      </w:r>
    </w:p>
    <w:p>
      <w:pPr>
        <w:pStyle w:val="128"/>
        <w:keepNext/>
        <w:spacing w:before="156" w:beforeLines="50"/>
        <w:outlineLvl w:val="9"/>
        <w:rPr>
          <w:rFonts w:hint="default" w:ascii="Times New Roman Regular" w:hAnsi="Times New Roman Regular" w:cs="Times New Roman Regular"/>
          <w:color w:val="auto"/>
        </w:rPr>
      </w:pPr>
      <w:bookmarkStart w:id="347" w:name="_Toc42613113"/>
      <w:bookmarkStart w:id="348" w:name="_Toc1886695438"/>
      <w:bookmarkStart w:id="349" w:name="_Toc44272336"/>
      <w:bookmarkStart w:id="350" w:name="_Toc44275492"/>
      <w:bookmarkStart w:id="351" w:name="_Toc46314272"/>
      <w:bookmarkStart w:id="352" w:name="_Toc47618381"/>
      <w:r>
        <w:rPr>
          <w:rFonts w:hint="default" w:ascii="Times New Roman Regular" w:hAnsi="Times New Roman Regular" w:cs="Times New Roman Regular"/>
          <w:color w:val="auto"/>
        </w:rPr>
        <w:t>11.2.1 环境监测机构</w:t>
      </w:r>
      <w:bookmarkEnd w:id="347"/>
      <w:bookmarkEnd w:id="348"/>
      <w:bookmarkEnd w:id="349"/>
      <w:bookmarkEnd w:id="350"/>
      <w:bookmarkEnd w:id="351"/>
      <w:bookmarkEnd w:id="352"/>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为保证环境监测工作的正常运行，确保各项污染物达标排放，厂内应设置环境监测机构，对污染源进行常规定期监测。如果部分项目不具备相应的监测手段或公司自行监测有困难的情况下，具体的监测工作可定期委托有资质的监测单位进行。</w:t>
      </w:r>
    </w:p>
    <w:p>
      <w:pPr>
        <w:pStyle w:val="128"/>
        <w:keepNext/>
        <w:spacing w:before="156" w:beforeLines="50"/>
        <w:outlineLvl w:val="9"/>
        <w:rPr>
          <w:rFonts w:hint="default" w:ascii="Times New Roman Regular" w:hAnsi="Times New Roman Regular" w:cs="Times New Roman Regular"/>
          <w:color w:val="auto"/>
        </w:rPr>
      </w:pPr>
      <w:bookmarkStart w:id="353" w:name="_Toc44275493"/>
      <w:bookmarkStart w:id="354" w:name="_Toc46314273"/>
      <w:bookmarkStart w:id="355" w:name="_Toc44272337"/>
      <w:bookmarkStart w:id="356" w:name="_Toc42613114"/>
      <w:bookmarkStart w:id="357" w:name="_Toc47618382"/>
      <w:bookmarkStart w:id="358" w:name="_Toc2094178511"/>
      <w:r>
        <w:rPr>
          <w:rFonts w:hint="default" w:ascii="Times New Roman Regular" w:hAnsi="Times New Roman Regular" w:cs="Times New Roman Regular"/>
          <w:color w:val="auto"/>
        </w:rPr>
        <w:t>11.2.2 环境监测</w:t>
      </w:r>
      <w:bookmarkEnd w:id="353"/>
      <w:bookmarkEnd w:id="354"/>
      <w:bookmarkEnd w:id="355"/>
      <w:bookmarkEnd w:id="356"/>
      <w:bookmarkEnd w:id="357"/>
      <w:r>
        <w:rPr>
          <w:rFonts w:hint="default" w:ascii="Times New Roman Regular" w:hAnsi="Times New Roman Regular" w:cs="Times New Roman Regular"/>
          <w:color w:val="auto"/>
        </w:rPr>
        <w:t>计划</w:t>
      </w:r>
      <w:bookmarkEnd w:id="358"/>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（1）环境监测计划</w:t>
      </w:r>
    </w:p>
    <w:p>
      <w:pPr>
        <w:spacing w:line="480" w:lineRule="exact"/>
        <w:ind w:firstLine="480" w:firstLineChars="200"/>
        <w:rPr>
          <w:rFonts w:hint="default" w:ascii="Times New Roman Regular" w:hAnsi="Times New Roman Regular" w:cs="Times New Roman Regular"/>
          <w:b/>
          <w:color w:val="auto"/>
        </w:rPr>
      </w:pPr>
      <w:r>
        <w:rPr>
          <w:rFonts w:hint="default" w:ascii="Times New Roman Regular" w:hAnsi="Times New Roman Regular" w:cs="Times New Roman Regular"/>
          <w:color w:val="auto"/>
        </w:rPr>
        <w:t>企业内部的环境监测是企业环境管理的耳目，是基本的手段和信息的基础，主要对企业生产过程中排放的污染物进行定期监测，判断环境质量，评价环保设施及其治理效果，为防治污染提供科学依据。根据项目污染物排放特征，对照《排污单位自行监测技术指南 总则》（HJ819-2017），项目监测点位、监测项目、监测频次见表11.2-1。发现不正常排放的情况，应增加监测频率，直至正常状态为止。</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表11.2-1   监测计划一览表</w:t>
      </w:r>
    </w:p>
    <w:tbl>
      <w:tblPr>
        <w:tblStyle w:val="36"/>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604"/>
        <w:gridCol w:w="1476"/>
        <w:gridCol w:w="1439"/>
        <w:gridCol w:w="3843"/>
        <w:gridCol w:w="100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604"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序号</w:t>
            </w:r>
          </w:p>
        </w:tc>
        <w:tc>
          <w:tcPr>
            <w:tcW w:w="1476"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污染源名称</w:t>
            </w:r>
          </w:p>
        </w:tc>
        <w:tc>
          <w:tcPr>
            <w:tcW w:w="1439"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监测位置</w:t>
            </w:r>
          </w:p>
        </w:tc>
        <w:tc>
          <w:tcPr>
            <w:tcW w:w="384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监测项目</w:t>
            </w:r>
          </w:p>
        </w:tc>
        <w:tc>
          <w:tcPr>
            <w:tcW w:w="1006"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604"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w:t>
            </w:r>
          </w:p>
        </w:tc>
        <w:tc>
          <w:tcPr>
            <w:tcW w:w="1476"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噪声</w:t>
            </w:r>
          </w:p>
        </w:tc>
        <w:tc>
          <w:tcPr>
            <w:tcW w:w="1439"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厂界</w:t>
            </w:r>
          </w:p>
        </w:tc>
        <w:tc>
          <w:tcPr>
            <w:tcW w:w="384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等效A声级</w:t>
            </w:r>
          </w:p>
        </w:tc>
        <w:tc>
          <w:tcPr>
            <w:tcW w:w="1006"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1次/季</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604"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w:t>
            </w:r>
          </w:p>
        </w:tc>
        <w:tc>
          <w:tcPr>
            <w:tcW w:w="1476"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废水</w:t>
            </w:r>
          </w:p>
        </w:tc>
        <w:tc>
          <w:tcPr>
            <w:tcW w:w="1439"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厂区总排放口</w:t>
            </w:r>
          </w:p>
        </w:tc>
        <w:tc>
          <w:tcPr>
            <w:tcW w:w="3843"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流量、pH、COD、BOD、氨氮</w:t>
            </w:r>
          </w:p>
        </w:tc>
        <w:tc>
          <w:tcPr>
            <w:tcW w:w="1006" w:type="dxa"/>
            <w:vAlign w:val="center"/>
          </w:tcPr>
          <w:p>
            <w:pPr>
              <w:pStyle w:val="135"/>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1次/季</w:t>
            </w:r>
          </w:p>
        </w:tc>
      </w:tr>
    </w:tbl>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（2）事故应急监测与跟踪监测</w:t>
      </w:r>
    </w:p>
    <w:p>
      <w:pPr>
        <w:ind w:firstLine="480" w:firstLineChars="200"/>
        <w:rPr>
          <w:rFonts w:hint="default" w:ascii="Times New Roman Regular" w:hAnsi="Times New Roman Regular" w:cs="Times New Roman Regular"/>
          <w:b/>
          <w:color w:val="auto"/>
        </w:rPr>
      </w:pPr>
      <w:r>
        <w:rPr>
          <w:rFonts w:hint="default" w:ascii="Times New Roman Regular" w:hAnsi="Times New Roman Regular" w:cs="Times New Roman Regular"/>
          <w:color w:val="auto"/>
        </w:rPr>
        <w:t>项目事故预案中需包括应急监测程序，项目一旦发生事故，应立即启动应急监测程序，并跟踪监测污染物的迁移情况，直至事故影响根本消除。事故应急监测应与地方突发事件应急预案系统共同制订和实施。</w:t>
      </w:r>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359" w:name="_Toc44275495"/>
      <w:bookmarkStart w:id="360" w:name="_Toc47618383"/>
      <w:bookmarkStart w:id="361" w:name="_Toc838644951_WPSOffice_Level2"/>
      <w:bookmarkStart w:id="362" w:name="_Toc44272339"/>
      <w:bookmarkStart w:id="363" w:name="_Toc42613116"/>
      <w:bookmarkStart w:id="364" w:name="_Toc1748743694"/>
      <w:r>
        <w:rPr>
          <w:rFonts w:hint="default" w:ascii="Times New Roman Regular" w:hAnsi="Times New Roman Regular" w:cs="Times New Roman Regular"/>
          <w:bCs w:val="0"/>
          <w:color w:val="auto"/>
          <w:kern w:val="2"/>
        </w:rPr>
        <w:t>11.3 排污口规范化管理</w:t>
      </w:r>
      <w:bookmarkEnd w:id="359"/>
      <w:bookmarkEnd w:id="360"/>
      <w:bookmarkEnd w:id="361"/>
      <w:bookmarkEnd w:id="362"/>
      <w:bookmarkEnd w:id="363"/>
      <w:bookmarkEnd w:id="364"/>
    </w:p>
    <w:p>
      <w:pPr>
        <w:pStyle w:val="128"/>
        <w:keepNext/>
        <w:spacing w:before="156" w:beforeLines="50"/>
        <w:outlineLvl w:val="9"/>
        <w:rPr>
          <w:rFonts w:hint="default" w:ascii="Times New Roman Regular" w:hAnsi="Times New Roman Regular" w:cs="Times New Roman Regular"/>
          <w:color w:val="auto"/>
        </w:rPr>
      </w:pPr>
      <w:bookmarkStart w:id="365" w:name="_Toc46314275"/>
      <w:bookmarkStart w:id="366" w:name="_Toc674072216"/>
      <w:bookmarkStart w:id="367" w:name="_Toc47618384"/>
      <w:r>
        <w:rPr>
          <w:rFonts w:hint="default" w:ascii="Times New Roman Regular" w:hAnsi="Times New Roman Regular" w:cs="Times New Roman Regular"/>
          <w:color w:val="auto"/>
        </w:rPr>
        <w:t>11.3.1 排污口规范化必要性</w:t>
      </w:r>
      <w:bookmarkEnd w:id="365"/>
      <w:bookmarkEnd w:id="366"/>
      <w:bookmarkEnd w:id="367"/>
    </w:p>
    <w:p>
      <w:pPr>
        <w:pStyle w:val="10"/>
        <w:numPr>
          <w:ilvl w:val="0"/>
          <w:numId w:val="0"/>
        </w:num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 xml:space="preserve">排污口规范化管理是实施污染物总量控制的基础性工作之一，也是总量控制不可缺少的一部分内容。此项工作可强化污染物的现场监督检查，促进企业加强管理和污染治理，实施污染物排放科学化、定量化管理。 </w:t>
      </w:r>
    </w:p>
    <w:p>
      <w:pPr>
        <w:pStyle w:val="128"/>
        <w:keepNext/>
        <w:spacing w:before="156" w:beforeLines="50"/>
        <w:outlineLvl w:val="9"/>
        <w:rPr>
          <w:rFonts w:hint="default" w:ascii="Times New Roman Regular" w:hAnsi="Times New Roman Regular" w:cs="Times New Roman Regular"/>
          <w:color w:val="auto"/>
          <w:lang w:val="en-GB"/>
        </w:rPr>
      </w:pPr>
      <w:bookmarkStart w:id="368" w:name="_Toc1155496387"/>
      <w:bookmarkStart w:id="369" w:name="_Toc46314276"/>
      <w:bookmarkStart w:id="370" w:name="_Toc47618385"/>
      <w:r>
        <w:rPr>
          <w:rFonts w:hint="default" w:ascii="Times New Roman Regular" w:hAnsi="Times New Roman Regular" w:cs="Times New Roman Regular"/>
          <w:color w:val="auto"/>
          <w:lang w:val="en-GB"/>
        </w:rPr>
        <w:t>1</w:t>
      </w:r>
      <w:r>
        <w:rPr>
          <w:rFonts w:hint="default" w:ascii="Times New Roman Regular" w:hAnsi="Times New Roman Regular" w:cs="Times New Roman Regular"/>
          <w:color w:val="auto"/>
        </w:rPr>
        <w:t>1</w:t>
      </w:r>
      <w:r>
        <w:rPr>
          <w:rFonts w:hint="default" w:ascii="Times New Roman Regular" w:hAnsi="Times New Roman Regular" w:cs="Times New Roman Regular"/>
          <w:color w:val="auto"/>
          <w:lang w:val="en-GB"/>
        </w:rPr>
        <w:t>.3.2 排污口规范化的范围和时间</w:t>
      </w:r>
      <w:bookmarkEnd w:id="368"/>
      <w:bookmarkEnd w:id="369"/>
      <w:bookmarkEnd w:id="370"/>
    </w:p>
    <w:p>
      <w:pPr>
        <w:pStyle w:val="10"/>
        <w:numPr>
          <w:ilvl w:val="0"/>
          <w:numId w:val="0"/>
        </w:num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一切</w:t>
      </w:r>
      <w:r>
        <w:rPr>
          <w:rFonts w:hint="eastAsia" w:ascii="Times New Roman Regular" w:hAnsi="Times New Roman Regular" w:cs="Times New Roman Regular"/>
          <w:color w:val="auto"/>
          <w:lang w:val="en-US" w:eastAsia="zh-Hans"/>
        </w:rPr>
        <w:t>新</w:t>
      </w:r>
      <w:r>
        <w:rPr>
          <w:rFonts w:hint="default" w:ascii="Times New Roman Regular" w:hAnsi="Times New Roman Regular" w:cs="Times New Roman Regular"/>
          <w:color w:val="auto"/>
        </w:rPr>
        <w:t>建、技改，扩建的排污单位以及限期治理的排污单位，必须在建设污染治理设施的同时，建设规范化排污口。因此，排污口必须规范化设置和管理。规范化工作应于污染治理同步实施，即治理设施完工时，规范化工作必须同时完成，并列入污染治理设施的验收内容。</w:t>
      </w:r>
    </w:p>
    <w:p>
      <w:pPr>
        <w:pStyle w:val="128"/>
        <w:keepNext/>
        <w:spacing w:before="156" w:beforeLines="50"/>
        <w:outlineLvl w:val="9"/>
        <w:rPr>
          <w:rFonts w:hint="default" w:ascii="Times New Roman Regular" w:hAnsi="Times New Roman Regular" w:cs="Times New Roman Regular"/>
          <w:color w:val="auto"/>
          <w:lang w:val="en-GB"/>
        </w:rPr>
      </w:pPr>
      <w:bookmarkStart w:id="371" w:name="_Toc47618386"/>
      <w:bookmarkStart w:id="372" w:name="_Toc733156488"/>
      <w:bookmarkStart w:id="373" w:name="_Toc46314277"/>
      <w:r>
        <w:rPr>
          <w:rFonts w:hint="default" w:ascii="Times New Roman Regular" w:hAnsi="Times New Roman Regular" w:cs="Times New Roman Regular"/>
          <w:color w:val="auto"/>
          <w:lang w:val="en-GB"/>
        </w:rPr>
        <w:t>1</w:t>
      </w:r>
      <w:r>
        <w:rPr>
          <w:rFonts w:hint="default" w:ascii="Times New Roman Regular" w:hAnsi="Times New Roman Regular" w:cs="Times New Roman Regular"/>
          <w:color w:val="auto"/>
        </w:rPr>
        <w:t>1</w:t>
      </w:r>
      <w:r>
        <w:rPr>
          <w:rFonts w:hint="default" w:ascii="Times New Roman Regular" w:hAnsi="Times New Roman Regular" w:cs="Times New Roman Regular"/>
          <w:color w:val="auto"/>
          <w:lang w:val="en-GB"/>
        </w:rPr>
        <w:t>.3.3 排污口规范化内容</w:t>
      </w:r>
      <w:bookmarkEnd w:id="371"/>
      <w:bookmarkEnd w:id="372"/>
      <w:bookmarkEnd w:id="373"/>
    </w:p>
    <w:p>
      <w:pPr>
        <w:pStyle w:val="10"/>
        <w:numPr>
          <w:ilvl w:val="0"/>
          <w:numId w:val="0"/>
        </w:num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规范化排放口：排放口应预留监测口做到便于采样和测定流量，并设立标志。</w:t>
      </w:r>
    </w:p>
    <w:p>
      <w:pPr>
        <w:pStyle w:val="128"/>
        <w:keepNext/>
        <w:spacing w:before="156" w:beforeLines="50"/>
        <w:outlineLvl w:val="9"/>
        <w:rPr>
          <w:rFonts w:hint="default" w:ascii="Times New Roman Regular" w:hAnsi="Times New Roman Regular" w:cs="Times New Roman Regular"/>
          <w:color w:val="auto"/>
          <w:lang w:val="en-GB"/>
        </w:rPr>
      </w:pPr>
      <w:bookmarkStart w:id="374" w:name="_Toc46314278"/>
      <w:bookmarkStart w:id="375" w:name="_Toc47618387"/>
      <w:bookmarkStart w:id="376" w:name="_Toc2047410977"/>
      <w:r>
        <w:rPr>
          <w:rFonts w:hint="default" w:ascii="Times New Roman Regular" w:hAnsi="Times New Roman Regular" w:cs="Times New Roman Regular"/>
          <w:color w:val="auto"/>
          <w:lang w:val="en-GB"/>
        </w:rPr>
        <w:t>1</w:t>
      </w:r>
      <w:r>
        <w:rPr>
          <w:rFonts w:hint="default" w:ascii="Times New Roman Regular" w:hAnsi="Times New Roman Regular" w:cs="Times New Roman Regular"/>
          <w:color w:val="auto"/>
        </w:rPr>
        <w:t>1</w:t>
      </w:r>
      <w:r>
        <w:rPr>
          <w:rFonts w:hint="default" w:ascii="Times New Roman Regular" w:hAnsi="Times New Roman Regular" w:cs="Times New Roman Regular"/>
          <w:color w:val="auto"/>
          <w:lang w:val="en-GB"/>
        </w:rPr>
        <w:t>.3.4 排污口规范化管理</w:t>
      </w:r>
      <w:bookmarkEnd w:id="374"/>
      <w:bookmarkEnd w:id="375"/>
      <w:bookmarkEnd w:id="376"/>
    </w:p>
    <w:p>
      <w:pPr>
        <w:pStyle w:val="10"/>
        <w:numPr>
          <w:ilvl w:val="0"/>
          <w:numId w:val="0"/>
        </w:num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建设单位应如实填写《中华人民共和国规范化排污口标志登记证》的有关内容，由环保主管部门签发登记证。建设单位应把排污口情况如排污口的性质、编号、排污口的位置以及主要排放的污染物的各类、数量、浓度、排放规律、排放去向以及污染治理实施的运行情况建档管理，并报送环保主管部门备案。</w:t>
      </w:r>
    </w:p>
    <w:p>
      <w:pPr>
        <w:pStyle w:val="10"/>
        <w:numPr>
          <w:ilvl w:val="0"/>
          <w:numId w:val="0"/>
        </w:numPr>
        <w:ind w:firstLine="480" w:firstLineChars="200"/>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建设单位应该在排放口处设立或挂上标志牌，标志牌应注明污染物名称以警示周围群众。图形符号见表11.3-1。</w:t>
      </w:r>
    </w:p>
    <w:p>
      <w:pPr>
        <w:jc w:val="center"/>
        <w:rPr>
          <w:rFonts w:hint="default" w:ascii="Times New Roman Regular" w:hAnsi="Times New Roman Regular" w:cs="Times New Roman Regular"/>
          <w:b/>
          <w:color w:val="auto"/>
        </w:rPr>
      </w:pPr>
      <w:bookmarkStart w:id="377" w:name="_Ref397027673"/>
      <w:bookmarkStart w:id="378" w:name="_Ref396916869"/>
      <w:r>
        <w:rPr>
          <w:rFonts w:hint="default" w:ascii="Times New Roman Regular" w:hAnsi="Times New Roman Regular" w:cs="Times New Roman Regular"/>
          <w:b/>
          <w:color w:val="auto"/>
        </w:rPr>
        <w:t>表</w:t>
      </w:r>
      <w:bookmarkEnd w:id="377"/>
      <w:r>
        <w:rPr>
          <w:rFonts w:hint="default" w:ascii="Times New Roman Regular" w:hAnsi="Times New Roman Regular" w:cs="Times New Roman Regular"/>
          <w:b/>
          <w:color w:val="auto"/>
        </w:rPr>
        <w:t>11.3-1  各排污口（源）标志牌设置示意图</w:t>
      </w:r>
      <w:bookmarkEnd w:id="378"/>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22"/>
        <w:gridCol w:w="1576"/>
        <w:gridCol w:w="1701"/>
        <w:gridCol w:w="1498"/>
        <w:gridCol w:w="1521"/>
        <w:gridCol w:w="15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922" w:type="dxa"/>
            <w:tcBorders>
              <w:top w:val="single" w:color="auto" w:sz="12" w:space="0"/>
              <w:left w:val="nil"/>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名称</w:t>
            </w:r>
          </w:p>
        </w:tc>
        <w:tc>
          <w:tcPr>
            <w:tcW w:w="1576" w:type="dxa"/>
            <w:tcBorders>
              <w:top w:val="single" w:color="auto" w:sz="12"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废水排放口</w:t>
            </w:r>
          </w:p>
        </w:tc>
        <w:tc>
          <w:tcPr>
            <w:tcW w:w="1701" w:type="dxa"/>
            <w:tcBorders>
              <w:top w:val="single" w:color="auto" w:sz="12"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废气排放口</w:t>
            </w:r>
          </w:p>
        </w:tc>
        <w:tc>
          <w:tcPr>
            <w:tcW w:w="1498" w:type="dxa"/>
            <w:tcBorders>
              <w:top w:val="single" w:color="auto" w:sz="12"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噪声排放源</w:t>
            </w:r>
          </w:p>
        </w:tc>
        <w:tc>
          <w:tcPr>
            <w:tcW w:w="3034" w:type="dxa"/>
            <w:gridSpan w:val="2"/>
            <w:tcBorders>
              <w:top w:val="single" w:color="auto" w:sz="12" w:space="0"/>
              <w:right w:val="nil"/>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固体废物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2" w:type="dxa"/>
            <w:tcBorders>
              <w:left w:val="nil"/>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提示图形符号</w:t>
            </w:r>
          </w:p>
        </w:tc>
        <w:tc>
          <w:tcPr>
            <w:tcW w:w="1576"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lang w:val="en-GB"/>
              </w:rPr>
              <w:drawing>
                <wp:inline distT="0" distB="0" distL="0" distR="0">
                  <wp:extent cx="904240" cy="914400"/>
                  <wp:effectExtent l="0" t="0" r="10160" b="0"/>
                  <wp:docPr id="12" name="Picture 12" descr="u=1921477188,2455953093&amp;fm=21&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u=1921477188,2455953093&amp;fm=21&amp;gp=0"/>
                          <pic:cNvPicPr>
                            <a:picLocks noChangeAspect="1" noChangeArrowheads="1"/>
                          </pic:cNvPicPr>
                        </pic:nvPicPr>
                        <pic:blipFill>
                          <a:blip r:embed="rId21">
                            <a:extLst>
                              <a:ext uri="{28A0092B-C50C-407E-A947-70E740481C1C}">
                                <a14:useLocalDpi xmlns:a14="http://schemas.microsoft.com/office/drawing/2010/main" val="0"/>
                              </a:ext>
                            </a:extLst>
                          </a:blip>
                          <a:srcRect l="5638" t="4639" r="6891" b="22678"/>
                          <a:stretch>
                            <a:fillRect/>
                          </a:stretch>
                        </pic:blipFill>
                        <pic:spPr>
                          <a:xfrm>
                            <a:off x="0" y="0"/>
                            <a:ext cx="904240" cy="914400"/>
                          </a:xfrm>
                          <a:prstGeom prst="rect">
                            <a:avLst/>
                          </a:prstGeom>
                          <a:noFill/>
                          <a:ln>
                            <a:noFill/>
                          </a:ln>
                        </pic:spPr>
                      </pic:pic>
                    </a:graphicData>
                  </a:graphic>
                </wp:inline>
              </w:drawing>
            </w:r>
          </w:p>
        </w:tc>
        <w:tc>
          <w:tcPr>
            <w:tcW w:w="1701"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lang w:val="en-GB"/>
              </w:rPr>
              <w:drawing>
                <wp:inline distT="0" distB="0" distL="0" distR="0">
                  <wp:extent cx="924560" cy="914400"/>
                  <wp:effectExtent l="0" t="0" r="0" b="0"/>
                  <wp:docPr id="10" name="Picture 10" descr="u=4198707415,1260998154&amp;fm=21&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u=4198707415,1260998154&amp;fm=21&amp;gp=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924560" cy="914400"/>
                          </a:xfrm>
                          <a:prstGeom prst="rect">
                            <a:avLst/>
                          </a:prstGeom>
                          <a:noFill/>
                          <a:ln>
                            <a:noFill/>
                          </a:ln>
                        </pic:spPr>
                      </pic:pic>
                    </a:graphicData>
                  </a:graphic>
                </wp:inline>
              </w:drawing>
            </w:r>
          </w:p>
        </w:tc>
        <w:tc>
          <w:tcPr>
            <w:tcW w:w="1498" w:type="dxa"/>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lang w:val="en-GB"/>
              </w:rPr>
              <w:drawing>
                <wp:inline distT="0" distB="0" distL="0" distR="0">
                  <wp:extent cx="763905" cy="884555"/>
                  <wp:effectExtent l="0" t="0" r="0" b="4445"/>
                  <wp:docPr id="8" name="Picture 8" descr="u=1808867809,393287473&amp;fm=21&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u=1808867809,393287473&amp;fm=21&amp;gp=0"/>
                          <pic:cNvPicPr>
                            <a:picLocks noChangeAspect="1" noChangeArrowheads="1"/>
                          </pic:cNvPicPr>
                        </pic:nvPicPr>
                        <pic:blipFill>
                          <a:blip r:embed="rId23">
                            <a:extLst>
                              <a:ext uri="{28A0092B-C50C-407E-A947-70E740481C1C}">
                                <a14:useLocalDpi xmlns:a14="http://schemas.microsoft.com/office/drawing/2010/main" val="0"/>
                              </a:ext>
                            </a:extLst>
                          </a:blip>
                          <a:srcRect l="607" b="3244"/>
                          <a:stretch>
                            <a:fillRect/>
                          </a:stretch>
                        </pic:blipFill>
                        <pic:spPr>
                          <a:xfrm>
                            <a:off x="0" y="0"/>
                            <a:ext cx="763905" cy="884555"/>
                          </a:xfrm>
                          <a:prstGeom prst="rect">
                            <a:avLst/>
                          </a:prstGeom>
                          <a:noFill/>
                          <a:ln>
                            <a:noFill/>
                          </a:ln>
                        </pic:spPr>
                      </pic:pic>
                    </a:graphicData>
                  </a:graphic>
                </wp:inline>
              </w:drawing>
            </w:r>
          </w:p>
        </w:tc>
        <w:tc>
          <w:tcPr>
            <w:tcW w:w="1521" w:type="dxa"/>
            <w:tcBorders>
              <w:right w:val="nil"/>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lang w:val="en-GB"/>
              </w:rPr>
              <w:drawing>
                <wp:inline distT="0" distB="0" distL="0" distR="0">
                  <wp:extent cx="874395" cy="914400"/>
                  <wp:effectExtent l="0" t="0" r="0" b="0"/>
                  <wp:docPr id="5" name="Picture 5" descr="4385239_17160404327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4385239_171604043274_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874395" cy="914400"/>
                          </a:xfrm>
                          <a:prstGeom prst="rect">
                            <a:avLst/>
                          </a:prstGeom>
                          <a:noFill/>
                          <a:ln>
                            <a:noFill/>
                          </a:ln>
                        </pic:spPr>
                      </pic:pic>
                    </a:graphicData>
                  </a:graphic>
                </wp:inline>
              </w:drawing>
            </w:r>
          </w:p>
        </w:tc>
        <w:tc>
          <w:tcPr>
            <w:tcW w:w="1513" w:type="dxa"/>
            <w:tcBorders>
              <w:right w:val="nil"/>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fldChar w:fldCharType="begin"/>
            </w:r>
            <w:r>
              <w:rPr>
                <w:rFonts w:hint="default" w:ascii="Times New Roman Regular" w:hAnsi="Times New Roman Regular" w:cs="Times New Roman Regular"/>
                <w:color w:val="auto"/>
                <w:sz w:val="21"/>
                <w:szCs w:val="21"/>
              </w:rPr>
              <w:instrText xml:space="preserve"> INCLUDEPICTURE  "https://ss2.bdstatic.com/70cFvnSh_Q1YnxGkpoWK1HF6hhy/it/u=3560010167,443420151&amp;fm=116&amp;gp=0.jpg" \* MERGEFORMATINET </w:instrText>
            </w:r>
            <w:r>
              <w:rPr>
                <w:rFonts w:hint="default" w:ascii="Times New Roman Regular" w:hAnsi="Times New Roman Regular" w:cs="Times New Roman Regular"/>
                <w:color w:val="auto"/>
                <w:sz w:val="21"/>
                <w:szCs w:val="21"/>
              </w:rPr>
              <w:fldChar w:fldCharType="separate"/>
            </w:r>
            <w:r>
              <w:rPr>
                <w:rFonts w:hint="default" w:ascii="Times New Roman Regular" w:hAnsi="Times New Roman Regular" w:cs="Times New Roman Regular"/>
                <w:color w:val="auto"/>
                <w:sz w:val="21"/>
                <w:szCs w:val="21"/>
              </w:rPr>
              <w:pict>
                <v:shape id="_x0000_i1026" o:spt="75" alt="https://ss2.bdstatic.com/70cFvnSh_Q1YnxGkpoWK1HF6hhy/it/u=3560010167,443420151&amp;fm=116&amp;gp=0.jpg" type="#_x0000_t75" style="height:68.05pt;width:56.15pt;" filled="f" coordsize="21600,21600">
                  <v:path/>
                  <v:fill on="f" focussize="0,0"/>
                  <v:stroke/>
                  <v:imagedata r:id="rId25" r:href="rId26" cropleft="996f" croptop="1013f" cropright="712f" cropbottom="2139f" o:title=""/>
                  <o:lock v:ext="edit" aspectratio="t"/>
                  <w10:wrap type="none"/>
                  <w10:anchorlock/>
                </v:shape>
              </w:pict>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r>
              <w:rPr>
                <w:rFonts w:hint="default" w:ascii="Times New Roman Regular" w:hAnsi="Times New Roman Regular" w:cs="Times New Roman Regular"/>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2" w:type="dxa"/>
            <w:tcBorders>
              <w:left w:val="nil"/>
              <w:bottom w:val="single" w:color="auto" w:sz="12"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功能</w:t>
            </w:r>
          </w:p>
        </w:tc>
        <w:tc>
          <w:tcPr>
            <w:tcW w:w="1576" w:type="dxa"/>
            <w:tcBorders>
              <w:bottom w:val="single" w:color="auto" w:sz="12"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表示污水向水体排放</w:t>
            </w:r>
          </w:p>
        </w:tc>
        <w:tc>
          <w:tcPr>
            <w:tcW w:w="1701" w:type="dxa"/>
            <w:tcBorders>
              <w:bottom w:val="single" w:color="auto" w:sz="12"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表示废气向大气环境排放</w:t>
            </w:r>
          </w:p>
        </w:tc>
        <w:tc>
          <w:tcPr>
            <w:tcW w:w="1498" w:type="dxa"/>
            <w:tcBorders>
              <w:bottom w:val="single" w:color="auto" w:sz="12" w:space="0"/>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表示噪声向外环境排放</w:t>
            </w:r>
          </w:p>
        </w:tc>
        <w:tc>
          <w:tcPr>
            <w:tcW w:w="1521" w:type="dxa"/>
            <w:tcBorders>
              <w:bottom w:val="single" w:color="auto" w:sz="12" w:space="0"/>
              <w:right w:val="nil"/>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表示一般固体废物贮存、处置场</w:t>
            </w:r>
          </w:p>
        </w:tc>
        <w:tc>
          <w:tcPr>
            <w:tcW w:w="1513" w:type="dxa"/>
            <w:tcBorders>
              <w:bottom w:val="single" w:color="auto" w:sz="12" w:space="0"/>
              <w:right w:val="nil"/>
            </w:tcBorders>
            <w:vAlign w:val="center"/>
          </w:tcPr>
          <w:p>
            <w:pPr>
              <w:spacing w:line="240" w:lineRule="auto"/>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表示危险废物暂存处</w:t>
            </w:r>
          </w:p>
        </w:tc>
      </w:tr>
    </w:tbl>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379" w:name="_Toc47618388"/>
      <w:bookmarkStart w:id="380" w:name="_Toc1705814558"/>
      <w:bookmarkStart w:id="381" w:name="_Toc1170516196_WPSOffice_Level2"/>
      <w:r>
        <w:rPr>
          <w:rFonts w:hint="default" w:ascii="Times New Roman Regular" w:hAnsi="Times New Roman Regular" w:cs="Times New Roman Regular"/>
          <w:bCs w:val="0"/>
          <w:color w:val="auto"/>
          <w:kern w:val="2"/>
        </w:rPr>
        <w:t>11.4 排污申报</w:t>
      </w:r>
      <w:bookmarkEnd w:id="379"/>
      <w:bookmarkEnd w:id="380"/>
      <w:bookmarkEnd w:id="381"/>
    </w:p>
    <w:p>
      <w:pPr>
        <w:pStyle w:val="32"/>
        <w:widowControl w:val="0"/>
        <w:spacing w:before="0" w:beforeAutospacing="0" w:after="0" w:afterAutospacing="0"/>
        <w:ind w:firstLine="480" w:firstLineChars="200"/>
        <w:jc w:val="both"/>
        <w:rPr>
          <w:rFonts w:hint="default" w:ascii="Times New Roman Regular" w:hAnsi="Times New Roman Regular" w:cs="Times New Roman Regular"/>
          <w:color w:val="auto"/>
          <w:kern w:val="2"/>
          <w:szCs w:val="20"/>
        </w:rPr>
      </w:pPr>
      <w:r>
        <w:rPr>
          <w:rFonts w:hint="default" w:ascii="Times New Roman Regular" w:hAnsi="Times New Roman Regular" w:cs="Times New Roman Regular"/>
          <w:color w:val="auto"/>
          <w:kern w:val="2"/>
          <w:szCs w:val="20"/>
        </w:rPr>
        <w:t>（1）建设单位应根据《固定污染源排污许可分类管理名录（2019 年版）》在产生实际排污行为之前依法申领排污许可证，必须按批准的排放总量和浓度进行排放。</w:t>
      </w:r>
    </w:p>
    <w:p>
      <w:pPr>
        <w:pStyle w:val="32"/>
        <w:widowControl w:val="0"/>
        <w:spacing w:before="0" w:beforeAutospacing="0" w:after="0" w:afterAutospacing="0"/>
        <w:ind w:firstLine="480" w:firstLineChars="200"/>
        <w:jc w:val="both"/>
        <w:rPr>
          <w:rFonts w:hint="default" w:ascii="Times New Roman Regular" w:hAnsi="Times New Roman Regular" w:cs="Times New Roman Regular"/>
          <w:color w:val="auto"/>
          <w:kern w:val="2"/>
          <w:szCs w:val="20"/>
        </w:rPr>
      </w:pPr>
      <w:r>
        <w:rPr>
          <w:rFonts w:hint="default" w:ascii="Times New Roman Regular" w:hAnsi="Times New Roman Regular" w:cs="Times New Roman Regular"/>
          <w:color w:val="auto"/>
          <w:kern w:val="2"/>
          <w:szCs w:val="20"/>
        </w:rPr>
        <w:t>（2）排污单位在申请排污许可证前，应当将主要申请内容，通过国家排污许可证管理信息平台或者其他规定途径等便于公众知晓的方式向社会公开。</w:t>
      </w:r>
    </w:p>
    <w:p>
      <w:pPr>
        <w:pStyle w:val="32"/>
        <w:widowControl w:val="0"/>
        <w:spacing w:before="0" w:beforeAutospacing="0" w:after="0" w:afterAutospacing="0"/>
        <w:ind w:firstLine="480" w:firstLineChars="200"/>
        <w:jc w:val="both"/>
        <w:rPr>
          <w:rFonts w:hint="default" w:ascii="Times New Roman Regular" w:hAnsi="Times New Roman Regular" w:cs="Times New Roman Regular"/>
          <w:color w:val="auto"/>
          <w:kern w:val="2"/>
          <w:szCs w:val="20"/>
        </w:rPr>
      </w:pPr>
      <w:r>
        <w:rPr>
          <w:rFonts w:hint="default" w:ascii="Times New Roman Regular" w:hAnsi="Times New Roman Regular" w:cs="Times New Roman Regular"/>
          <w:color w:val="auto"/>
          <w:kern w:val="2"/>
          <w:szCs w:val="20"/>
        </w:rPr>
        <w:t>（3）排污单位应当在国家排污许可证管理信息平台上填报并提交排污许可证申请，同时向有核发权限的环境保护主管部门提交通过平台印制的书面申请材料。</w:t>
      </w:r>
    </w:p>
    <w:p>
      <w:pPr>
        <w:pStyle w:val="32"/>
        <w:widowControl w:val="0"/>
        <w:spacing w:before="0" w:beforeAutospacing="0" w:after="0" w:afterAutospacing="0"/>
        <w:ind w:firstLine="480" w:firstLineChars="200"/>
        <w:jc w:val="both"/>
        <w:rPr>
          <w:rFonts w:hint="default" w:ascii="Times New Roman Regular" w:hAnsi="Times New Roman Regular" w:cs="Times New Roman Regular"/>
          <w:color w:val="auto"/>
          <w:kern w:val="2"/>
          <w:szCs w:val="20"/>
        </w:rPr>
      </w:pPr>
      <w:r>
        <w:rPr>
          <w:rFonts w:hint="default" w:ascii="Times New Roman Regular" w:hAnsi="Times New Roman Regular" w:cs="Times New Roman Regular"/>
          <w:color w:val="auto"/>
          <w:kern w:val="2"/>
          <w:szCs w:val="20"/>
        </w:rPr>
        <w:t>（4）排污单位于每年年底申报下一年度正常作业条件下排放污染物种类、数量、浓度等情况，并提供与污染物排放有关的资料。</w:t>
      </w:r>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382" w:name="_Toc718588856"/>
      <w:bookmarkStart w:id="383" w:name="_Toc47618389"/>
      <w:bookmarkStart w:id="384" w:name="_Toc1915499652_WPSOffice_Level2"/>
      <w:r>
        <w:rPr>
          <w:rFonts w:hint="default" w:ascii="Times New Roman Regular" w:hAnsi="Times New Roman Regular" w:cs="Times New Roman Regular"/>
          <w:bCs w:val="0"/>
          <w:color w:val="auto"/>
          <w:kern w:val="2"/>
        </w:rPr>
        <w:t>11.5 自主环保竣工验收</w:t>
      </w:r>
      <w:bookmarkEnd w:id="382"/>
      <w:bookmarkEnd w:id="383"/>
      <w:bookmarkEnd w:id="384"/>
    </w:p>
    <w:p>
      <w:pPr>
        <w:pStyle w:val="32"/>
        <w:widowControl w:val="0"/>
        <w:spacing w:before="0" w:beforeAutospacing="0" w:after="0" w:afterAutospacing="0"/>
        <w:ind w:firstLine="480" w:firstLineChars="200"/>
        <w:jc w:val="both"/>
        <w:rPr>
          <w:rFonts w:hint="default" w:ascii="Times New Roman Regular" w:hAnsi="Times New Roman Regular" w:cs="Times New Roman Regular"/>
          <w:color w:val="auto"/>
          <w:kern w:val="2"/>
          <w:szCs w:val="20"/>
        </w:rPr>
      </w:pPr>
      <w:r>
        <w:rPr>
          <w:rFonts w:hint="default" w:ascii="Times New Roman Regular" w:hAnsi="Times New Roman Regular" w:cs="Times New Roman Regular"/>
          <w:color w:val="auto"/>
          <w:kern w:val="2"/>
          <w:szCs w:val="20"/>
        </w:rPr>
        <w:t>根据《国务院关于修改〈建设项目环境保护管理条例〉的决定》（中华人民共和国国务院令第682号，以下简称《条例》，自2017年10月1日起施行），《建设项目环境保护管理条例》第十七条修改为“编制环境影响报告书、环境影响报告表的建设项目竣工后，建设单位应当按照国务院环境保护行政主管部门规定的标准和程序，对配套建设的环境保护设施进行验收，编制验收报告”，因此至2017年10月1日起取消“建设项目竣工环境保护验收”行政审批事项，环保设施竣工验收主体由环保部门转为建设单位，建设单位需自行验收，在验收过程中与环评单位、环保施工单位、环保设计单位、监测单位、专家等共同组成验收组对项目进行竣工环保验收，进一步强化了建设单位的环境保护“三同时”主体责任。</w:t>
      </w:r>
    </w:p>
    <w:p>
      <w:pPr>
        <w:pStyle w:val="32"/>
        <w:widowControl w:val="0"/>
        <w:spacing w:before="0" w:beforeAutospacing="0" w:after="0" w:afterAutospacing="0"/>
        <w:ind w:firstLine="480" w:firstLineChars="200"/>
        <w:jc w:val="both"/>
        <w:rPr>
          <w:rFonts w:hint="default" w:ascii="Times New Roman Regular" w:hAnsi="Times New Roman Regular" w:cs="Times New Roman Regular"/>
          <w:color w:val="auto"/>
          <w:kern w:val="2"/>
          <w:szCs w:val="20"/>
        </w:rPr>
      </w:pPr>
      <w:r>
        <w:rPr>
          <w:rFonts w:hint="default" w:ascii="Times New Roman Regular" w:hAnsi="Times New Roman Regular" w:cs="Times New Roman Regular"/>
          <w:color w:val="auto"/>
          <w:kern w:val="2"/>
          <w:szCs w:val="20"/>
        </w:rPr>
        <w:t>根据《关于发布〈建设项目竣工环境保护验收暂行办法〉的公告》（国环规环评[2017]470号，自2017年11月22日起施行），建设项目需要配套建设水、噪声或者固体废物污染防治设施的，编制环境影响报告书、环境影响报告表的建设项目，其配套建设的环境保护设施经验收合格，方可投入生产或者使用；未经验收或者验收不合格的，不得投入生产或者使用。</w:t>
      </w:r>
    </w:p>
    <w:p>
      <w:pPr>
        <w:pStyle w:val="32"/>
        <w:widowControl w:val="0"/>
        <w:spacing w:before="0" w:beforeAutospacing="0" w:after="0" w:afterAutospacing="0"/>
        <w:ind w:firstLine="480" w:firstLineChars="200"/>
        <w:jc w:val="both"/>
        <w:rPr>
          <w:rFonts w:hint="default" w:ascii="Times New Roman Regular" w:hAnsi="Times New Roman Regular" w:cs="Times New Roman Regular"/>
          <w:color w:val="auto"/>
          <w:kern w:val="2"/>
          <w:szCs w:val="20"/>
        </w:rPr>
      </w:pPr>
      <w:r>
        <w:rPr>
          <w:rFonts w:hint="default" w:ascii="Times New Roman Regular" w:hAnsi="Times New Roman Regular" w:cs="Times New Roman Regular"/>
          <w:color w:val="auto"/>
          <w:kern w:val="2"/>
          <w:szCs w:val="20"/>
        </w:rPr>
        <w:t>项目有关竣工环保验收内容见表11.5-1。</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表11.5-1 环保设施“三同时”竣工验收项目一览表</w:t>
      </w:r>
    </w:p>
    <w:tbl>
      <w:tblPr>
        <w:tblStyle w:val="36"/>
        <w:tblW w:w="90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108" w:type="dxa"/>
          <w:bottom w:w="0" w:type="dxa"/>
          <w:right w:w="108" w:type="dxa"/>
        </w:tblCellMar>
      </w:tblPr>
      <w:tblGrid>
        <w:gridCol w:w="1760"/>
        <w:gridCol w:w="3027"/>
        <w:gridCol w:w="4284"/>
      </w:tblGrid>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jc w:val="center"/>
        </w:trPr>
        <w:tc>
          <w:tcPr>
            <w:tcW w:w="1760" w:type="dxa"/>
            <w:tcMar>
              <w:left w:w="57" w:type="dxa"/>
              <w:right w:w="57" w:type="dxa"/>
            </w:tcMar>
            <w:vAlign w:val="center"/>
          </w:tcPr>
          <w:p>
            <w:pPr>
              <w:pStyle w:val="91"/>
              <w:adjustRightInd/>
              <w:spacing w:line="240"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污染源</w:t>
            </w:r>
          </w:p>
        </w:tc>
        <w:tc>
          <w:tcPr>
            <w:tcW w:w="3027" w:type="dxa"/>
            <w:vAlign w:val="center"/>
          </w:tcPr>
          <w:p>
            <w:pPr>
              <w:pStyle w:val="91"/>
              <w:adjustRightInd/>
              <w:spacing w:line="240"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治理措施或设施</w:t>
            </w:r>
          </w:p>
        </w:tc>
        <w:tc>
          <w:tcPr>
            <w:tcW w:w="4284" w:type="dxa"/>
            <w:vAlign w:val="center"/>
          </w:tcPr>
          <w:p>
            <w:pPr>
              <w:pStyle w:val="91"/>
              <w:adjustRightInd/>
              <w:spacing w:line="240"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验收标准及要求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jc w:val="center"/>
        </w:trPr>
        <w:tc>
          <w:tcPr>
            <w:tcW w:w="1760" w:type="dxa"/>
            <w:tcMar>
              <w:left w:w="57" w:type="dxa"/>
              <w:right w:w="57" w:type="dxa"/>
            </w:tcMar>
            <w:vAlign w:val="center"/>
          </w:tcPr>
          <w:p>
            <w:pPr>
              <w:pStyle w:val="91"/>
              <w:adjustRightInd/>
              <w:spacing w:line="240"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生活污水</w:t>
            </w:r>
          </w:p>
        </w:tc>
        <w:tc>
          <w:tcPr>
            <w:tcW w:w="3027" w:type="dxa"/>
            <w:vAlign w:val="center"/>
          </w:tcPr>
          <w:p>
            <w:pPr>
              <w:pStyle w:val="95"/>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生活污水</w:t>
            </w:r>
            <w:r>
              <w:rPr>
                <w:rFonts w:hint="default" w:ascii="Times New Roman Regular" w:hAnsi="Times New Roman Regular" w:cs="Times New Roman Regular"/>
                <w:color w:val="auto"/>
                <w:sz w:val="21"/>
                <w:szCs w:val="21"/>
                <w:lang w:eastAsia="zh-Hans"/>
              </w:rPr>
              <w:t>经</w:t>
            </w:r>
            <w:r>
              <w:rPr>
                <w:rFonts w:hint="default" w:ascii="Times New Roman Regular" w:hAnsi="Times New Roman Regular" w:cs="Times New Roman Regular"/>
                <w:color w:val="auto"/>
                <w:sz w:val="21"/>
                <w:szCs w:val="21"/>
              </w:rPr>
              <w:t>厂区污水处理设施（化粪池）处理</w:t>
            </w:r>
            <w:r>
              <w:rPr>
                <w:rFonts w:hint="default" w:ascii="Times New Roman Regular" w:hAnsi="Times New Roman Regular" w:cs="Times New Roman Regular"/>
                <w:color w:val="auto"/>
                <w:sz w:val="21"/>
                <w:szCs w:val="21"/>
                <w:lang w:val="en-US" w:eastAsia="zh-Hans"/>
              </w:rPr>
              <w:t>后</w:t>
            </w:r>
            <w:r>
              <w:rPr>
                <w:rFonts w:hint="default" w:ascii="Times New Roman Regular" w:hAnsi="Times New Roman Regular" w:cs="Times New Roman Regular"/>
                <w:color w:val="auto"/>
                <w:sz w:val="21"/>
                <w:szCs w:val="21"/>
                <w:lang w:eastAsia="zh-Hans"/>
              </w:rPr>
              <w:t>，</w:t>
            </w:r>
            <w:r>
              <w:rPr>
                <w:rFonts w:hint="default" w:ascii="Times New Roman Regular" w:hAnsi="Times New Roman Regular" w:cs="Times New Roman Regular"/>
                <w:color w:val="auto"/>
                <w:spacing w:val="-4"/>
                <w:sz w:val="21"/>
                <w:szCs w:val="21"/>
                <w:lang w:eastAsia="zh-Hans"/>
              </w:rPr>
              <w:t>排入市政污水管网，</w:t>
            </w:r>
            <w:r>
              <w:rPr>
                <w:rFonts w:hint="default" w:ascii="Times New Roman Regular" w:hAnsi="Times New Roman Regular" w:cs="Times New Roman Regular"/>
                <w:color w:val="auto"/>
                <w:sz w:val="21"/>
                <w:szCs w:val="21"/>
              </w:rPr>
              <w:t>进入</w:t>
            </w:r>
            <w:r>
              <w:rPr>
                <w:rFonts w:hint="default" w:ascii="Times New Roman Regular" w:hAnsi="Times New Roman Regular" w:cs="Times New Roman Regular"/>
                <w:color w:val="auto"/>
                <w:sz w:val="21"/>
                <w:szCs w:val="21"/>
                <w:lang w:val="en-US" w:eastAsia="zh-Hans"/>
              </w:rPr>
              <w:t>福州</w:t>
            </w:r>
            <w:r>
              <w:rPr>
                <w:rFonts w:hint="default" w:ascii="Times New Roman Regular" w:hAnsi="Times New Roman Regular" w:cs="Times New Roman Regular"/>
                <w:color w:val="auto"/>
                <w:sz w:val="21"/>
                <w:szCs w:val="21"/>
                <w:lang w:eastAsia="zh-Hans"/>
              </w:rPr>
              <w:t>青口新区污水处理厂</w:t>
            </w:r>
            <w:r>
              <w:rPr>
                <w:rFonts w:hint="default" w:ascii="Times New Roman Regular" w:hAnsi="Times New Roman Regular" w:cs="Times New Roman Regular"/>
                <w:color w:val="auto"/>
                <w:sz w:val="21"/>
                <w:szCs w:val="21"/>
              </w:rPr>
              <w:t>处理</w:t>
            </w:r>
          </w:p>
        </w:tc>
        <w:tc>
          <w:tcPr>
            <w:tcW w:w="4284" w:type="dxa"/>
            <w:vAlign w:val="center"/>
          </w:tcPr>
          <w:p>
            <w:pPr>
              <w:pStyle w:val="95"/>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lang w:eastAsia="zh-Hans"/>
              </w:rPr>
              <w:t>生活污水执行</w:t>
            </w:r>
            <w:r>
              <w:rPr>
                <w:rFonts w:hint="default" w:ascii="Times New Roman Regular" w:hAnsi="Times New Roman Regular" w:cs="Times New Roman Regular"/>
                <w:color w:val="auto"/>
                <w:sz w:val="21"/>
                <w:szCs w:val="21"/>
              </w:rPr>
              <w:t>《污水综合排放标准》（GB8978-1996）表4三级标准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428" w:hRule="atLeast"/>
          <w:jc w:val="center"/>
        </w:trPr>
        <w:tc>
          <w:tcPr>
            <w:tcW w:w="1760" w:type="dxa"/>
            <w:tcMar>
              <w:left w:w="57" w:type="dxa"/>
              <w:right w:w="57" w:type="dxa"/>
            </w:tcMar>
            <w:vAlign w:val="center"/>
          </w:tcPr>
          <w:p>
            <w:pPr>
              <w:spacing w:line="240" w:lineRule="auto"/>
              <w:ind w:left="-105" w:leftChars="0" w:right="-105" w:rightChars="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bCs/>
                <w:color w:val="auto"/>
                <w:sz w:val="21"/>
                <w:szCs w:val="21"/>
                <w:highlight w:val="none"/>
              </w:rPr>
              <w:t>无组织废气</w:t>
            </w:r>
          </w:p>
        </w:tc>
        <w:tc>
          <w:tcPr>
            <w:tcW w:w="3027" w:type="dxa"/>
            <w:vAlign w:val="center"/>
          </w:tcPr>
          <w:p>
            <w:pPr>
              <w:spacing w:line="240" w:lineRule="auto"/>
              <w:ind w:left="-105" w:leftChars="0" w:right="-105" w:rightChars="0"/>
              <w:jc w:val="center"/>
              <w:rPr>
                <w:rFonts w:hint="default" w:ascii="Times New Roman Regular" w:hAnsi="Times New Roman Regular" w:cs="Times New Roman Regular"/>
                <w:color w:val="auto"/>
                <w:sz w:val="21"/>
                <w:szCs w:val="21"/>
                <w:highlight w:val="none"/>
              </w:rPr>
            </w:pPr>
            <w:r>
              <w:rPr>
                <w:rFonts w:hint="default" w:ascii="Times New Roman Regular" w:hAnsi="Times New Roman Regular" w:cs="Times New Roman Regular"/>
                <w:bCs/>
                <w:color w:val="auto"/>
                <w:sz w:val="21"/>
                <w:szCs w:val="21"/>
                <w:highlight w:val="none"/>
              </w:rPr>
              <w:t>加强</w:t>
            </w:r>
            <w:r>
              <w:rPr>
                <w:rFonts w:hint="eastAsia" w:ascii="Times New Roman Regular" w:hAnsi="Times New Roman Regular" w:cs="Times New Roman Regular"/>
                <w:bCs/>
                <w:color w:val="auto"/>
                <w:sz w:val="21"/>
                <w:szCs w:val="21"/>
                <w:highlight w:val="none"/>
                <w:lang w:val="en-US" w:eastAsia="zh-Hans"/>
              </w:rPr>
              <w:t>车间通风换气</w:t>
            </w:r>
          </w:p>
        </w:tc>
        <w:tc>
          <w:tcPr>
            <w:tcW w:w="4284" w:type="dxa"/>
            <w:vAlign w:val="center"/>
          </w:tcPr>
          <w:p>
            <w:pPr>
              <w:pStyle w:val="91"/>
              <w:adjustRightInd/>
              <w:spacing w:line="240" w:lineRule="auto"/>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eastAsia="zh-Hans"/>
              </w:rPr>
              <w:t>颗粒物</w:t>
            </w:r>
            <w:r>
              <w:rPr>
                <w:rFonts w:hint="default" w:ascii="Times New Roman Regular" w:hAnsi="Times New Roman Regular" w:cs="Times New Roman Regular"/>
                <w:color w:val="auto"/>
                <w:kern w:val="0"/>
                <w:highlight w:val="none"/>
              </w:rPr>
              <w:t>执行</w:t>
            </w:r>
            <w:r>
              <w:rPr>
                <w:rFonts w:hint="default" w:ascii="Times New Roman Regular" w:hAnsi="Times New Roman Regular" w:cs="Times New Roman Regular"/>
                <w:color w:val="auto"/>
                <w:highlight w:val="none"/>
              </w:rPr>
              <w:t>《大气污染物综合排放标准》（</w:t>
            </w:r>
            <w:r>
              <w:rPr>
                <w:rFonts w:hint="default" w:ascii="Times New Roman Regular" w:hAnsi="Times New Roman Regular" w:cs="Times New Roman Regular"/>
                <w:color w:val="auto"/>
                <w:kern w:val="0"/>
                <w:highlight w:val="none"/>
              </w:rPr>
              <w:t>GB16297-1996）无组织监控浓度限值要求（</w:t>
            </w:r>
            <w:r>
              <w:rPr>
                <w:rFonts w:hint="default" w:ascii="Times New Roman Regular" w:hAnsi="Times New Roman Regular" w:cs="Times New Roman Regular"/>
                <w:color w:val="auto"/>
                <w:kern w:val="0"/>
                <w:highlight w:val="none"/>
                <w:lang w:eastAsia="zh-Hans"/>
              </w:rPr>
              <w:t>颗粒物</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kern w:val="0"/>
                <w:highlight w:val="none"/>
              </w:rPr>
              <w:t>1.0</w:t>
            </w:r>
            <w:r>
              <w:rPr>
                <w:rFonts w:hint="default" w:ascii="Times New Roman Regular" w:hAnsi="Times New Roman Regular" w:cs="Times New Roman Regular"/>
                <w:color w:val="auto"/>
                <w:highlight w:val="none"/>
              </w:rPr>
              <w:t>mg/m</w:t>
            </w:r>
            <w:r>
              <w:rPr>
                <w:rFonts w:hint="default" w:ascii="Times New Roman Regular" w:hAnsi="Times New Roman Regular" w:cs="Times New Roman Regular"/>
                <w:color w:val="auto"/>
                <w:highlight w:val="none"/>
                <w:vertAlign w:val="superscript"/>
              </w:rPr>
              <w:t>3</w:t>
            </w:r>
            <w:r>
              <w:rPr>
                <w:rFonts w:hint="default" w:ascii="Times New Roman Regular" w:hAnsi="Times New Roman Regular" w:cs="Times New Roman Regular"/>
                <w:color w:val="auto"/>
                <w:kern w:val="0"/>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123" w:hRule="atLeast"/>
          <w:jc w:val="center"/>
        </w:trPr>
        <w:tc>
          <w:tcPr>
            <w:tcW w:w="1760" w:type="dxa"/>
            <w:tcMar>
              <w:left w:w="57" w:type="dxa"/>
              <w:right w:w="57" w:type="dxa"/>
            </w:tcMar>
            <w:vAlign w:val="center"/>
          </w:tcPr>
          <w:p>
            <w:pPr>
              <w:spacing w:line="240" w:lineRule="auto"/>
              <w:ind w:left="-105" w:right="-105"/>
              <w:jc w:val="center"/>
              <w:rPr>
                <w:rFonts w:hint="default" w:ascii="Times New Roman Regular" w:hAnsi="Times New Roman Regular" w:cs="Times New Roman Regular"/>
                <w:bCs/>
                <w:color w:val="auto"/>
                <w:sz w:val="21"/>
                <w:szCs w:val="21"/>
              </w:rPr>
            </w:pPr>
            <w:r>
              <w:rPr>
                <w:rFonts w:hint="default" w:ascii="Times New Roman Regular" w:hAnsi="Times New Roman Regular" w:cs="Times New Roman Regular"/>
                <w:bCs/>
                <w:color w:val="auto"/>
                <w:sz w:val="21"/>
                <w:szCs w:val="21"/>
              </w:rPr>
              <w:t>设备噪声</w:t>
            </w:r>
          </w:p>
        </w:tc>
        <w:tc>
          <w:tcPr>
            <w:tcW w:w="3027" w:type="dxa"/>
            <w:vAlign w:val="center"/>
          </w:tcPr>
          <w:p>
            <w:pPr>
              <w:spacing w:line="240" w:lineRule="auto"/>
              <w:ind w:left="-105" w:right="-105"/>
              <w:jc w:val="center"/>
              <w:rPr>
                <w:rFonts w:hint="default" w:ascii="Times New Roman Regular" w:hAnsi="Times New Roman Regular" w:cs="Times New Roman Regular"/>
                <w:color w:val="auto"/>
                <w:kern w:val="0"/>
                <w:sz w:val="21"/>
                <w:szCs w:val="21"/>
              </w:rPr>
            </w:pPr>
            <w:r>
              <w:rPr>
                <w:rFonts w:hint="default" w:ascii="Times New Roman Regular" w:hAnsi="Times New Roman Regular" w:cs="Times New Roman Regular"/>
                <w:color w:val="auto"/>
                <w:kern w:val="0"/>
                <w:sz w:val="21"/>
                <w:szCs w:val="21"/>
              </w:rPr>
              <w:t>选用低噪声设备，设备隔声减振</w:t>
            </w:r>
          </w:p>
        </w:tc>
        <w:tc>
          <w:tcPr>
            <w:tcW w:w="4284" w:type="dxa"/>
            <w:vAlign w:val="center"/>
          </w:tcPr>
          <w:p>
            <w:pPr>
              <w:pStyle w:val="91"/>
              <w:adjustRightInd/>
              <w:spacing w:line="240"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《工业企业厂界环境噪声排放标准》（GB12348-2008）的3类、</w:t>
            </w:r>
            <w:r>
              <w:rPr>
                <w:rFonts w:hint="default" w:ascii="Times New Roman Regular" w:hAnsi="Times New Roman Regular" w:cs="Times New Roman Regular"/>
                <w:color w:val="auto"/>
                <w:lang w:val="en-US" w:eastAsia="zh-Hans"/>
              </w:rPr>
              <w:t>南</w:t>
            </w:r>
            <w:r>
              <w:rPr>
                <w:rFonts w:hint="default" w:ascii="Times New Roman Regular" w:hAnsi="Times New Roman Regular" w:cs="Times New Roman Regular"/>
                <w:color w:val="auto"/>
                <w:lang w:eastAsia="zh-Hans"/>
              </w:rPr>
              <w:t>侧场界执行</w:t>
            </w:r>
            <w:r>
              <w:rPr>
                <w:rFonts w:hint="default" w:ascii="Times New Roman Regular" w:hAnsi="Times New Roman Regular" w:cs="Times New Roman Regular"/>
                <w:color w:val="auto"/>
              </w:rPr>
              <w:t>4</w:t>
            </w:r>
            <w:r>
              <w:rPr>
                <w:rFonts w:hint="default" w:ascii="Times New Roman Regular" w:hAnsi="Times New Roman Regular" w:cs="Times New Roman Regular"/>
                <w:color w:val="auto"/>
                <w:lang w:eastAsia="zh-Hans"/>
              </w:rPr>
              <w:t>类</w:t>
            </w:r>
            <w:r>
              <w:rPr>
                <w:rFonts w:hint="default" w:ascii="Times New Roman Regular" w:hAnsi="Times New Roman Regular" w:cs="Times New Roman Regular"/>
                <w:color w:val="auto"/>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123" w:hRule="atLeast"/>
          <w:jc w:val="center"/>
        </w:trPr>
        <w:tc>
          <w:tcPr>
            <w:tcW w:w="1760" w:type="dxa"/>
            <w:tcMar>
              <w:left w:w="57" w:type="dxa"/>
              <w:right w:w="57" w:type="dxa"/>
            </w:tcMar>
            <w:vAlign w:val="center"/>
          </w:tcPr>
          <w:p>
            <w:pPr>
              <w:spacing w:line="240" w:lineRule="auto"/>
              <w:ind w:left="-105" w:right="-105"/>
              <w:jc w:val="center"/>
              <w:rPr>
                <w:rFonts w:hint="default" w:ascii="Times New Roman Regular" w:hAnsi="Times New Roman Regular" w:cs="Times New Roman Regular"/>
                <w:bCs/>
                <w:color w:val="auto"/>
                <w:sz w:val="21"/>
                <w:szCs w:val="21"/>
              </w:rPr>
            </w:pPr>
            <w:r>
              <w:rPr>
                <w:rFonts w:hint="default" w:ascii="Times New Roman Regular" w:hAnsi="Times New Roman Regular" w:cs="Times New Roman Regular"/>
                <w:bCs/>
                <w:color w:val="auto"/>
                <w:sz w:val="21"/>
                <w:szCs w:val="21"/>
              </w:rPr>
              <w:t>生活垃圾</w:t>
            </w:r>
          </w:p>
        </w:tc>
        <w:tc>
          <w:tcPr>
            <w:tcW w:w="3027" w:type="dxa"/>
            <w:vAlign w:val="center"/>
          </w:tcPr>
          <w:p>
            <w:pPr>
              <w:spacing w:line="240" w:lineRule="auto"/>
              <w:ind w:left="-105" w:right="-105"/>
              <w:jc w:val="center"/>
              <w:rPr>
                <w:rFonts w:hint="default" w:ascii="Times New Roman Regular" w:hAnsi="Times New Roman Regular" w:cs="Times New Roman Regular"/>
                <w:color w:val="auto"/>
                <w:kern w:val="0"/>
                <w:sz w:val="21"/>
                <w:szCs w:val="21"/>
              </w:rPr>
            </w:pPr>
            <w:r>
              <w:rPr>
                <w:rFonts w:hint="default" w:ascii="Times New Roman Regular" w:hAnsi="Times New Roman Regular" w:cs="Times New Roman Regular"/>
                <w:color w:val="auto"/>
                <w:kern w:val="0"/>
                <w:sz w:val="21"/>
                <w:szCs w:val="21"/>
              </w:rPr>
              <w:t>收集后由园区环卫部门统一收集处理</w:t>
            </w:r>
          </w:p>
        </w:tc>
        <w:tc>
          <w:tcPr>
            <w:tcW w:w="4284" w:type="dxa"/>
            <w:vAlign w:val="center"/>
          </w:tcPr>
          <w:p>
            <w:pPr>
              <w:pStyle w:val="91"/>
              <w:adjustRightInd/>
              <w:spacing w:line="240"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《城市环境卫生设施规划规范》（GB50337-2003）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123" w:hRule="atLeast"/>
          <w:jc w:val="center"/>
        </w:trPr>
        <w:tc>
          <w:tcPr>
            <w:tcW w:w="1760" w:type="dxa"/>
            <w:tcMar>
              <w:left w:w="57" w:type="dxa"/>
              <w:right w:w="57" w:type="dxa"/>
            </w:tcMar>
            <w:vAlign w:val="center"/>
          </w:tcPr>
          <w:p>
            <w:pPr>
              <w:spacing w:line="240" w:lineRule="auto"/>
              <w:ind w:left="-105" w:right="-105"/>
              <w:jc w:val="center"/>
              <w:rPr>
                <w:rFonts w:hint="default" w:ascii="Times New Roman Regular" w:hAnsi="Times New Roman Regular" w:cs="Times New Roman Regular"/>
                <w:bCs/>
                <w:color w:val="auto"/>
                <w:sz w:val="21"/>
                <w:szCs w:val="21"/>
              </w:rPr>
            </w:pPr>
            <w:r>
              <w:rPr>
                <w:rFonts w:hint="default" w:ascii="Times New Roman Regular" w:hAnsi="Times New Roman Regular" w:cs="Times New Roman Regular"/>
                <w:bCs/>
                <w:color w:val="auto"/>
                <w:sz w:val="21"/>
                <w:szCs w:val="21"/>
              </w:rPr>
              <w:t>一般工业固废</w:t>
            </w:r>
          </w:p>
        </w:tc>
        <w:tc>
          <w:tcPr>
            <w:tcW w:w="3027" w:type="dxa"/>
            <w:vAlign w:val="center"/>
          </w:tcPr>
          <w:p>
            <w:pPr>
              <w:spacing w:line="240" w:lineRule="auto"/>
              <w:ind w:left="-105" w:right="-105"/>
              <w:jc w:val="center"/>
              <w:rPr>
                <w:rFonts w:hint="default" w:ascii="Times New Roman Regular" w:hAnsi="Times New Roman Regular" w:cs="Times New Roman Regular"/>
                <w:color w:val="auto"/>
                <w:kern w:val="0"/>
                <w:sz w:val="21"/>
                <w:szCs w:val="21"/>
                <w:lang w:eastAsia="zh-Hans"/>
              </w:rPr>
            </w:pPr>
            <w:r>
              <w:rPr>
                <w:rFonts w:hint="default" w:ascii="Times New Roman Regular" w:hAnsi="Times New Roman Regular" w:cs="Times New Roman Regular"/>
                <w:color w:val="auto"/>
                <w:kern w:val="0"/>
                <w:sz w:val="21"/>
                <w:szCs w:val="21"/>
                <w:lang w:val="en-US" w:eastAsia="zh-Hans"/>
              </w:rPr>
              <w:t>残次品和下脚料</w:t>
            </w:r>
            <w:r>
              <w:rPr>
                <w:rFonts w:hint="default" w:ascii="Times New Roman Regular" w:hAnsi="Times New Roman Regular" w:cs="Times New Roman Regular"/>
                <w:color w:val="auto"/>
                <w:kern w:val="0"/>
                <w:sz w:val="21"/>
                <w:szCs w:val="21"/>
                <w:lang w:eastAsia="zh-Hans"/>
              </w:rPr>
              <w:t>外售综合利用</w:t>
            </w:r>
          </w:p>
        </w:tc>
        <w:tc>
          <w:tcPr>
            <w:tcW w:w="4284" w:type="dxa"/>
            <w:vAlign w:val="center"/>
          </w:tcPr>
          <w:p>
            <w:pPr>
              <w:pStyle w:val="91"/>
              <w:spacing w:line="240" w:lineRule="auto"/>
              <w:rPr>
                <w:rFonts w:hint="default" w:ascii="Times New Roman Regular" w:hAnsi="Times New Roman Regular" w:cs="Times New Roman Regular"/>
                <w:color w:val="auto"/>
              </w:rPr>
            </w:pPr>
            <w:r>
              <w:rPr>
                <w:rFonts w:hint="default" w:ascii="Times New Roman Regular" w:hAnsi="Times New Roman Regular" w:cs="Times New Roman Regular"/>
                <w:color w:val="auto"/>
              </w:rPr>
              <w:t>《一般工业固体废物贮存、处置场所污染控制标准》（GB18599-2001）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255" w:hRule="atLeast"/>
          <w:jc w:val="center"/>
        </w:trPr>
        <w:tc>
          <w:tcPr>
            <w:tcW w:w="1760" w:type="dxa"/>
            <w:tcMar>
              <w:left w:w="57" w:type="dxa"/>
              <w:right w:w="57" w:type="dxa"/>
            </w:tcMar>
            <w:vAlign w:val="center"/>
          </w:tcPr>
          <w:p>
            <w:pPr>
              <w:spacing w:line="240" w:lineRule="auto"/>
              <w:ind w:left="-105" w:right="-105"/>
              <w:jc w:val="center"/>
              <w:rPr>
                <w:rFonts w:hint="default" w:ascii="Times New Roman Regular" w:hAnsi="Times New Roman Regular" w:cs="Times New Roman Regular"/>
                <w:bCs/>
                <w:color w:val="auto"/>
                <w:sz w:val="21"/>
                <w:szCs w:val="21"/>
              </w:rPr>
            </w:pPr>
            <w:r>
              <w:rPr>
                <w:rFonts w:hint="default" w:ascii="Times New Roman Regular" w:hAnsi="Times New Roman Regular" w:cs="Times New Roman Regular"/>
                <w:bCs/>
                <w:color w:val="auto"/>
                <w:sz w:val="21"/>
                <w:szCs w:val="21"/>
              </w:rPr>
              <w:t>环境管理</w:t>
            </w:r>
          </w:p>
        </w:tc>
        <w:tc>
          <w:tcPr>
            <w:tcW w:w="3027" w:type="dxa"/>
            <w:vAlign w:val="center"/>
          </w:tcPr>
          <w:p>
            <w:pPr>
              <w:spacing w:line="240" w:lineRule="auto"/>
              <w:ind w:left="-105" w:right="-105"/>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建立日常环境管理制度和环境管理工作计划。加强环保设施运行管理维护，建立环保设施运行台账，确保环保设施正常运行及污染物稳定达标排放</w:t>
            </w:r>
          </w:p>
        </w:tc>
        <w:tc>
          <w:tcPr>
            <w:tcW w:w="4284" w:type="dxa"/>
            <w:vAlign w:val="center"/>
          </w:tcPr>
          <w:p>
            <w:pPr>
              <w:pStyle w:val="91"/>
              <w:adjustRightInd/>
              <w:spacing w:line="240" w:lineRule="auto"/>
              <w:rPr>
                <w:rFonts w:hint="default" w:ascii="Times New Roman Regular" w:hAnsi="Times New Roman Regular" w:cs="Times New Roman Regular"/>
                <w:color w:val="auto"/>
                <w:kern w:val="0"/>
              </w:rPr>
            </w:pPr>
            <w:r>
              <w:rPr>
                <w:rFonts w:hint="default" w:ascii="Times New Roman Regular" w:hAnsi="Times New Roman Regular" w:cs="Times New Roman Regular"/>
                <w:color w:val="auto"/>
                <w:kern w:val="0"/>
              </w:rPr>
              <w:t>验收措施落实情况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255" w:hRule="atLeast"/>
          <w:jc w:val="center"/>
        </w:trPr>
        <w:tc>
          <w:tcPr>
            <w:tcW w:w="1760" w:type="dxa"/>
            <w:tcMar>
              <w:left w:w="57" w:type="dxa"/>
              <w:right w:w="57" w:type="dxa"/>
            </w:tcMar>
            <w:vAlign w:val="center"/>
          </w:tcPr>
          <w:p>
            <w:pPr>
              <w:spacing w:line="240" w:lineRule="auto"/>
              <w:ind w:left="-105" w:right="-105"/>
              <w:jc w:val="center"/>
              <w:rPr>
                <w:rFonts w:hint="default" w:ascii="Times New Roman Regular" w:hAnsi="Times New Roman Regular" w:cs="Times New Roman Regular"/>
                <w:bCs/>
                <w:color w:val="auto"/>
                <w:sz w:val="21"/>
                <w:szCs w:val="21"/>
              </w:rPr>
            </w:pPr>
            <w:r>
              <w:rPr>
                <w:rFonts w:hint="default" w:ascii="Times New Roman Regular" w:hAnsi="Times New Roman Regular" w:cs="Times New Roman Regular"/>
                <w:bCs/>
                <w:color w:val="auto"/>
                <w:sz w:val="21"/>
                <w:szCs w:val="21"/>
              </w:rPr>
              <w:t>环境监测</w:t>
            </w:r>
          </w:p>
        </w:tc>
        <w:tc>
          <w:tcPr>
            <w:tcW w:w="3027" w:type="dxa"/>
            <w:vAlign w:val="center"/>
          </w:tcPr>
          <w:p>
            <w:pPr>
              <w:spacing w:line="240" w:lineRule="auto"/>
              <w:ind w:left="-105" w:right="-105"/>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日常生产中落实环境监测计划。污染源监测计划见表11.2-1。环境监测数据应向社会公开</w:t>
            </w:r>
          </w:p>
        </w:tc>
        <w:tc>
          <w:tcPr>
            <w:tcW w:w="4284" w:type="dxa"/>
            <w:vAlign w:val="center"/>
          </w:tcPr>
          <w:p>
            <w:pPr>
              <w:pStyle w:val="91"/>
              <w:adjustRightInd/>
              <w:spacing w:line="240" w:lineRule="auto"/>
              <w:rPr>
                <w:rFonts w:hint="default" w:ascii="Times New Roman Regular" w:hAnsi="Times New Roman Regular" w:cs="Times New Roman Regular"/>
                <w:color w:val="auto"/>
                <w:kern w:val="0"/>
              </w:rPr>
            </w:pPr>
            <w:r>
              <w:rPr>
                <w:rFonts w:hint="default" w:ascii="Times New Roman Regular" w:hAnsi="Times New Roman Regular" w:cs="Times New Roman Regular"/>
                <w:color w:val="auto"/>
                <w:kern w:val="0"/>
              </w:rPr>
              <w:t>验收措施落实情况</w:t>
            </w:r>
          </w:p>
        </w:tc>
      </w:tr>
    </w:tbl>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385" w:name="_Toc875298987_WPSOffice_Level2"/>
      <w:bookmarkStart w:id="386" w:name="_Toc2022355711"/>
      <w:bookmarkStart w:id="387" w:name="_Toc47618390"/>
      <w:r>
        <w:rPr>
          <w:rFonts w:hint="default" w:ascii="Times New Roman Regular" w:hAnsi="Times New Roman Regular" w:cs="Times New Roman Regular"/>
          <w:bCs w:val="0"/>
          <w:color w:val="auto"/>
          <w:kern w:val="2"/>
        </w:rPr>
        <w:t>11.6 环保信息公开要求</w:t>
      </w:r>
      <w:bookmarkEnd w:id="385"/>
      <w:bookmarkEnd w:id="386"/>
      <w:bookmarkEnd w:id="387"/>
    </w:p>
    <w:p>
      <w:pPr>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 xml:space="preserve">根据《企业事业单位环境信息公开办法》（环境保护部令第31号），企业事业单位应当按照强制公开和自愿公开相结合的原则，及时、如实地公开其环境信息。企业事业单位应当建立健全本单位环境信息公开制度，指定机构负责本单位环境信息公开日常工作，排污单位应当公开以下信息: </w:t>
      </w:r>
    </w:p>
    <w:p>
      <w:pPr>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 xml:space="preserve">（1）基础信息，包括单位名称、组织机构代码、法定代表人、生产地址、联系方式，以及生产经营和管理服务的主要内容、产品及规模; </w:t>
      </w:r>
    </w:p>
    <w:p>
      <w:pPr>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 xml:space="preserve">（2）排污信息，包括主要污染物及其他污染物的名称、排放方式、排放口数量和分布情况、排放浓度和总量、超标情况，以及执行的污染物排放标准、核定的排放总量; </w:t>
      </w:r>
    </w:p>
    <w:p>
      <w:pPr>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（3）防治污染设施的建设和运行情况；</w:t>
      </w:r>
    </w:p>
    <w:p>
      <w:pPr>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（4）建设项目环境影响评价及其他环境保护行政许可情况；</w:t>
      </w:r>
    </w:p>
    <w:p>
      <w:pPr>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（5）其他应当公开的环境信息；</w:t>
      </w:r>
    </w:p>
    <w:p>
      <w:pPr>
        <w:ind w:firstLine="480"/>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列入国家重点监控企业名单的重点排污单位还应当公开其环境自行监测方案。建设单位应按照上述要求公开建设项目的相关信息，采取的信息公开途径可包括：①公告或者公开发行的信息专刊；②广播、电视等新闻媒体；③信息公开服务、监督热线电话；④本单位的资料索取点、信息公开栏、信息亭、电子屏幕、电子触摸屏等场所或者设施；⑤其他便于公众及时、准确获得信息的方式。</w:t>
      </w:r>
    </w:p>
    <w:p>
      <w:pPr>
        <w:pStyle w:val="3"/>
        <w:bidi w:val="0"/>
        <w:outlineLvl w:val="1"/>
        <w:rPr>
          <w:rFonts w:hint="default"/>
          <w:lang w:eastAsia="zh-Hans"/>
        </w:rPr>
      </w:pPr>
      <w:bookmarkStart w:id="388" w:name="_Toc1508753708"/>
      <w:bookmarkStart w:id="389" w:name="_Toc1014510567_WPSOffice_Level1"/>
      <w:bookmarkStart w:id="390" w:name="_Toc47618392"/>
      <w:r>
        <w:rPr>
          <w:rFonts w:hint="default"/>
          <w:lang w:eastAsia="zh-Hans"/>
        </w:rPr>
        <w:t>总量控制</w:t>
      </w:r>
      <w:bookmarkEnd w:id="388"/>
      <w:bookmarkEnd w:id="389"/>
    </w:p>
    <w:p>
      <w:pPr>
        <w:overflowPunct w:val="0"/>
        <w:ind w:firstLine="48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根据“十三五”主要污染物排放总量控制要求，总量控制项目为化学需氧量（COD</w:t>
      </w:r>
      <w:r>
        <w:rPr>
          <w:rFonts w:hint="default" w:ascii="Times New Roman Regular" w:hAnsi="Times New Roman Regular" w:cs="Times New Roman Regular"/>
          <w:color w:val="auto"/>
          <w:vertAlign w:val="subscript"/>
        </w:rPr>
        <w:t>Cr</w:t>
      </w:r>
      <w:r>
        <w:rPr>
          <w:rFonts w:hint="default" w:ascii="Times New Roman Regular" w:hAnsi="Times New Roman Regular" w:cs="Times New Roman Regular"/>
          <w:color w:val="auto"/>
        </w:rPr>
        <w:t>）和氨氮（NH</w:t>
      </w:r>
      <w:r>
        <w:rPr>
          <w:rFonts w:hint="default" w:ascii="Times New Roman Regular" w:hAnsi="Times New Roman Regular" w:cs="Times New Roman Regular"/>
          <w:color w:val="auto"/>
          <w:vertAlign w:val="subscript"/>
        </w:rPr>
        <w:t>3</w:t>
      </w:r>
      <w:r>
        <w:rPr>
          <w:rFonts w:hint="default" w:ascii="Times New Roman Regular" w:hAnsi="Times New Roman Regular" w:cs="Times New Roman Regular"/>
          <w:color w:val="auto"/>
        </w:rPr>
        <w:t>-N）、二氧化硫（SO</w:t>
      </w:r>
      <w:r>
        <w:rPr>
          <w:rFonts w:hint="default" w:ascii="Times New Roman Regular" w:hAnsi="Times New Roman Regular" w:cs="Times New Roman Regular"/>
          <w:color w:val="auto"/>
          <w:vertAlign w:val="subscript"/>
        </w:rPr>
        <w:t>2</w:t>
      </w:r>
      <w:r>
        <w:rPr>
          <w:rFonts w:hint="default" w:ascii="Times New Roman Regular" w:hAnsi="Times New Roman Regular" w:cs="Times New Roman Regular"/>
          <w:color w:val="auto"/>
        </w:rPr>
        <w:t>）、氮氧化物（NO</w:t>
      </w:r>
      <w:r>
        <w:rPr>
          <w:rFonts w:hint="default" w:ascii="Times New Roman Regular" w:hAnsi="Times New Roman Regular" w:cs="Times New Roman Regular"/>
          <w:color w:val="auto"/>
          <w:vertAlign w:val="subscript"/>
        </w:rPr>
        <w:t>x</w:t>
      </w:r>
      <w:r>
        <w:rPr>
          <w:rFonts w:hint="default" w:ascii="Times New Roman Regular" w:hAnsi="Times New Roman Regular" w:cs="Times New Roman Regular"/>
          <w:color w:val="auto"/>
        </w:rPr>
        <w:t>）。</w:t>
      </w:r>
    </w:p>
    <w:p>
      <w:pPr>
        <w:ind w:firstLine="480"/>
        <w:rPr>
          <w:rFonts w:hint="default" w:ascii="Times New Roman Regular" w:hAnsi="Times New Roman Regular" w:cs="Times New Roman Regular"/>
          <w:bCs/>
          <w:color w:val="auto"/>
        </w:rPr>
      </w:pPr>
      <w:r>
        <w:rPr>
          <w:rFonts w:hint="default" w:ascii="Times New Roman Regular" w:hAnsi="Times New Roman Regular" w:cs="Times New Roman Regular"/>
          <w:color w:val="auto"/>
        </w:rPr>
        <w:t>根据国家实施污染物排放总量控制的要求以及本项目污染物排放特点，确定本项目产生的污水为生活污水，生活污水不要求总量指标调剂。</w:t>
      </w:r>
    </w:p>
    <w:p>
      <w:pPr>
        <w:pStyle w:val="3"/>
        <w:bidi w:val="0"/>
        <w:outlineLvl w:val="1"/>
        <w:rPr>
          <w:rFonts w:hint="default"/>
        </w:rPr>
      </w:pPr>
      <w:bookmarkStart w:id="391" w:name="_Toc2006426036_WPSOffice_Level1"/>
      <w:bookmarkStart w:id="392" w:name="_Toc136666580"/>
      <w:r>
        <w:rPr>
          <w:rFonts w:hint="default"/>
        </w:rPr>
        <w:t>结论与建议</w:t>
      </w:r>
      <w:bookmarkEnd w:id="390"/>
      <w:bookmarkEnd w:id="391"/>
      <w:bookmarkEnd w:id="392"/>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393" w:name="_Toc887092559_WPSOffice_Level2"/>
      <w:bookmarkStart w:id="394" w:name="_Toc1295191417"/>
      <w:bookmarkStart w:id="395" w:name="_Toc47618393"/>
      <w:r>
        <w:rPr>
          <w:rFonts w:hint="default" w:ascii="Times New Roman Regular" w:hAnsi="Times New Roman Regular" w:cs="Times New Roman Regular"/>
          <w:bCs w:val="0"/>
          <w:color w:val="auto"/>
          <w:kern w:val="2"/>
        </w:rPr>
        <w:t>13.1 工程概况</w:t>
      </w:r>
      <w:bookmarkEnd w:id="393"/>
      <w:bookmarkEnd w:id="394"/>
      <w:bookmarkEnd w:id="395"/>
    </w:p>
    <w:p>
      <w:pPr>
        <w:ind w:firstLine="480" w:firstLineChars="200"/>
        <w:rPr>
          <w:rFonts w:hint="default" w:ascii="Times New Roman Regular" w:hAnsi="Times New Roman Regular" w:cs="Times New Roman Regular"/>
          <w:color w:val="FF0000"/>
        </w:rPr>
      </w:pPr>
      <w:bookmarkStart w:id="396" w:name="_Toc47618394"/>
      <w:r>
        <w:rPr>
          <w:rFonts w:hint="default" w:ascii="Times New Roman Regular" w:hAnsi="Times New Roman Regular" w:cs="Times New Roman Regular"/>
          <w:color w:val="auto"/>
          <w:lang w:eastAsia="zh-Hans"/>
        </w:rPr>
        <w:t>福建欧玛克智能科技有限公司</w:t>
      </w:r>
      <w:r>
        <w:rPr>
          <w:rFonts w:hint="default" w:ascii="Times New Roman Regular" w:hAnsi="Times New Roman Regular" w:cs="Times New Roman Regular"/>
          <w:color w:val="auto"/>
        </w:rPr>
        <w:t>是一家</w:t>
      </w:r>
      <w:r>
        <w:rPr>
          <w:rFonts w:hint="eastAsia" w:ascii="Times New Roman Regular" w:hAnsi="Times New Roman Regular" w:cs="Times New Roman Regular"/>
          <w:color w:val="auto"/>
          <w:lang w:val="en-US" w:eastAsia="zh-Hans"/>
        </w:rPr>
        <w:t>金属制品</w:t>
      </w:r>
      <w:r>
        <w:rPr>
          <w:rFonts w:hint="default" w:ascii="Times New Roman Regular" w:hAnsi="Times New Roman Regular" w:cs="Times New Roman Regular"/>
          <w:color w:val="auto"/>
          <w:lang w:val="en-US" w:eastAsia="zh-Hans"/>
        </w:rPr>
        <w:t>生产加工</w:t>
      </w:r>
      <w:r>
        <w:rPr>
          <w:rFonts w:hint="default" w:ascii="Times New Roman Regular" w:hAnsi="Times New Roman Regular" w:cs="Times New Roman Regular"/>
          <w:color w:val="auto"/>
        </w:rPr>
        <w:t>的公司。公司租</w:t>
      </w:r>
      <w:r>
        <w:rPr>
          <w:rFonts w:hint="default" w:ascii="Times New Roman Regular" w:hAnsi="Times New Roman Regular" w:cs="Times New Roman Regular"/>
          <w:color w:val="auto"/>
          <w:lang w:val="en-US" w:eastAsia="zh-Hans"/>
        </w:rPr>
        <w:t>用</w:t>
      </w:r>
      <w:r>
        <w:rPr>
          <w:rFonts w:hint="default" w:ascii="Times New Roman Regular" w:hAnsi="Times New Roman Regular" w:cs="Times New Roman Regular"/>
          <w:color w:val="auto"/>
          <w:lang w:eastAsia="zh-Hans"/>
        </w:rPr>
        <w:t>福州东郁机械包装有限公司</w:t>
      </w:r>
      <w:r>
        <w:rPr>
          <w:rFonts w:hint="default" w:ascii="Times New Roman Regular" w:hAnsi="Times New Roman Regular" w:cs="Times New Roman Regular"/>
          <w:color w:val="auto"/>
          <w:lang w:val="en-US" w:eastAsia="zh-Hans"/>
        </w:rPr>
        <w:t>建设</w:t>
      </w:r>
      <w:r>
        <w:rPr>
          <w:rFonts w:hint="default" w:ascii="Times New Roman Regular" w:hAnsi="Times New Roman Regular" w:cs="Times New Roman Regular"/>
          <w:color w:val="auto"/>
          <w:lang w:eastAsia="zh-Hans"/>
        </w:rPr>
        <w:t>福建欧玛克智能科技有限公司</w:t>
      </w:r>
      <w:r>
        <w:rPr>
          <w:rFonts w:hint="eastAsia" w:ascii="Times New Roman Regular" w:hAnsi="Times New Roman Regular" w:cs="Times New Roman Regular"/>
          <w:color w:val="auto"/>
          <w:highlight w:val="none"/>
          <w:lang w:val="en-US" w:eastAsia="zh-Hans"/>
        </w:rPr>
        <w:t>机电设备制造</w:t>
      </w:r>
      <w:r>
        <w:rPr>
          <w:rFonts w:hint="default" w:ascii="Times New Roman Regular" w:hAnsi="Times New Roman Regular" w:cs="Times New Roman Regular"/>
          <w:color w:val="auto"/>
          <w:highlight w:val="none"/>
        </w:rPr>
        <w:t>项目。</w:t>
      </w:r>
      <w:r>
        <w:rPr>
          <w:rFonts w:hint="default" w:ascii="Times New Roman Regular" w:hAnsi="Times New Roman Regular" w:cs="Times New Roman Regular"/>
          <w:color w:val="auto"/>
        </w:rPr>
        <w:t>租用</w:t>
      </w:r>
      <w:r>
        <w:rPr>
          <w:rFonts w:hint="default" w:ascii="Times New Roman Regular" w:hAnsi="Times New Roman Regular" w:cs="Times New Roman Regular"/>
          <w:color w:val="auto"/>
          <w:lang w:val="en-US" w:eastAsia="zh-Hans"/>
        </w:rPr>
        <w:t>厂房</w:t>
      </w:r>
      <w:r>
        <w:rPr>
          <w:rFonts w:hint="default" w:ascii="Times New Roman Regular" w:hAnsi="Times New Roman Regular" w:cs="Times New Roman Regular"/>
          <w:color w:val="auto"/>
        </w:rPr>
        <w:t>占地面积2900m</w:t>
      </w:r>
      <w:r>
        <w:rPr>
          <w:rFonts w:hint="default" w:ascii="Times New Roman Regular" w:hAnsi="Times New Roman Regular" w:cs="Times New Roman Regular"/>
          <w:color w:val="auto"/>
          <w:vertAlign w:val="superscript"/>
        </w:rPr>
        <w:t>2</w:t>
      </w:r>
      <w:r>
        <w:rPr>
          <w:rFonts w:hint="default" w:ascii="Times New Roman Regular" w:hAnsi="Times New Roman Regular" w:cs="Times New Roman Regular"/>
          <w:color w:val="auto"/>
        </w:rPr>
        <w:t>，项目建成后</w:t>
      </w:r>
      <w:r>
        <w:rPr>
          <w:rFonts w:hint="default" w:ascii="Times New Roman Regular" w:hAnsi="Times New Roman Regular" w:eastAsia="宋体" w:cs="Times New Roman Regular"/>
          <w:b w:val="0"/>
          <w:bCs/>
          <w:color w:val="auto"/>
          <w:sz w:val="24"/>
          <w:szCs w:val="24"/>
          <w:lang w:val="en-US" w:eastAsia="zh-Hans"/>
        </w:rPr>
        <w:t>年生产平开门机</w:t>
      </w:r>
      <w:r>
        <w:rPr>
          <w:rFonts w:hint="default" w:ascii="Times New Roman Regular" w:hAnsi="Times New Roman Regular" w:eastAsia="宋体" w:cs="Times New Roman Regular"/>
          <w:b w:val="0"/>
          <w:bCs/>
          <w:color w:val="auto"/>
          <w:sz w:val="24"/>
          <w:szCs w:val="24"/>
          <w:lang w:eastAsia="zh-Hans"/>
        </w:rPr>
        <w:t>3.5</w:t>
      </w:r>
      <w:r>
        <w:rPr>
          <w:rFonts w:hint="default" w:ascii="Times New Roman Regular" w:hAnsi="Times New Roman Regular" w:eastAsia="宋体" w:cs="Times New Roman Regular"/>
          <w:b w:val="0"/>
          <w:bCs/>
          <w:color w:val="auto"/>
          <w:sz w:val="24"/>
          <w:szCs w:val="24"/>
          <w:lang w:val="en-US" w:eastAsia="zh-Hans"/>
        </w:rPr>
        <w:t>万套</w:t>
      </w:r>
      <w:r>
        <w:rPr>
          <w:rFonts w:hint="default" w:ascii="Times New Roman Regular" w:hAnsi="Times New Roman Regular" w:eastAsia="宋体" w:cs="Times New Roman Regular"/>
          <w:b w:val="0"/>
          <w:bCs/>
          <w:color w:val="auto"/>
          <w:sz w:val="24"/>
          <w:szCs w:val="24"/>
          <w:lang w:eastAsia="zh-Hans"/>
        </w:rPr>
        <w:t>，</w:t>
      </w:r>
      <w:r>
        <w:rPr>
          <w:rFonts w:hint="default" w:ascii="Times New Roman Regular" w:hAnsi="Times New Roman Regular" w:eastAsia="宋体" w:cs="Times New Roman Regular"/>
          <w:b w:val="0"/>
          <w:bCs/>
          <w:color w:val="auto"/>
          <w:sz w:val="24"/>
          <w:szCs w:val="24"/>
          <w:lang w:val="en-US" w:eastAsia="zh-Hans"/>
        </w:rPr>
        <w:t>平移门机</w:t>
      </w:r>
      <w:r>
        <w:rPr>
          <w:rFonts w:hint="default" w:ascii="Times New Roman Regular" w:hAnsi="Times New Roman Regular" w:eastAsia="宋体" w:cs="Times New Roman Regular"/>
          <w:b w:val="0"/>
          <w:bCs/>
          <w:color w:val="auto"/>
          <w:sz w:val="24"/>
          <w:szCs w:val="24"/>
          <w:lang w:eastAsia="zh-Hans"/>
        </w:rPr>
        <w:t>2</w:t>
      </w:r>
      <w:r>
        <w:rPr>
          <w:rFonts w:hint="default" w:ascii="Times New Roman Regular" w:hAnsi="Times New Roman Regular" w:eastAsia="宋体" w:cs="Times New Roman Regular"/>
          <w:b w:val="0"/>
          <w:bCs/>
          <w:color w:val="auto"/>
          <w:sz w:val="24"/>
          <w:szCs w:val="24"/>
          <w:lang w:val="en-US" w:eastAsia="zh-Hans"/>
        </w:rPr>
        <w:t>万套</w:t>
      </w:r>
      <w:r>
        <w:rPr>
          <w:rFonts w:hint="default" w:ascii="Times New Roman Regular" w:hAnsi="Times New Roman Regular" w:eastAsia="宋体" w:cs="Times New Roman Regular"/>
          <w:b w:val="0"/>
          <w:bCs/>
          <w:color w:val="auto"/>
          <w:sz w:val="24"/>
          <w:szCs w:val="24"/>
          <w:lang w:eastAsia="zh-Hans"/>
        </w:rPr>
        <w:t>、</w:t>
      </w:r>
      <w:r>
        <w:rPr>
          <w:rFonts w:hint="default" w:ascii="Times New Roman Regular" w:hAnsi="Times New Roman Regular" w:eastAsia="宋体" w:cs="Times New Roman Regular"/>
          <w:b w:val="0"/>
          <w:bCs/>
          <w:color w:val="auto"/>
          <w:sz w:val="24"/>
          <w:szCs w:val="24"/>
          <w:lang w:val="en-US" w:eastAsia="zh-Hans"/>
        </w:rPr>
        <w:t>重型双轮机</w:t>
      </w:r>
      <w:r>
        <w:rPr>
          <w:rFonts w:hint="default" w:ascii="Times New Roman Regular" w:hAnsi="Times New Roman Regular" w:eastAsia="宋体" w:cs="Times New Roman Regular"/>
          <w:b w:val="0"/>
          <w:bCs/>
          <w:color w:val="auto"/>
          <w:sz w:val="24"/>
          <w:szCs w:val="24"/>
          <w:lang w:eastAsia="zh-Hans"/>
        </w:rPr>
        <w:t>1000</w:t>
      </w:r>
      <w:r>
        <w:rPr>
          <w:rFonts w:hint="default" w:ascii="Times New Roman Regular" w:hAnsi="Times New Roman Regular" w:eastAsia="宋体" w:cs="Times New Roman Regular"/>
          <w:b w:val="0"/>
          <w:bCs/>
          <w:color w:val="auto"/>
          <w:sz w:val="24"/>
          <w:szCs w:val="24"/>
          <w:lang w:val="en-US" w:eastAsia="zh-Hans"/>
        </w:rPr>
        <w:t>套</w:t>
      </w:r>
      <w:r>
        <w:rPr>
          <w:rFonts w:hint="default" w:ascii="Times New Roman Regular" w:hAnsi="Times New Roman Regular" w:eastAsia="宋体" w:cs="Times New Roman Regular"/>
          <w:b w:val="0"/>
          <w:bCs/>
          <w:color w:val="auto"/>
          <w:sz w:val="24"/>
          <w:szCs w:val="24"/>
          <w:lang w:eastAsia="zh-Hans"/>
        </w:rPr>
        <w:t>、</w:t>
      </w:r>
      <w:r>
        <w:rPr>
          <w:rFonts w:hint="default" w:ascii="Times New Roman Regular" w:hAnsi="Times New Roman Regular" w:eastAsia="宋体" w:cs="Times New Roman Regular"/>
          <w:b w:val="0"/>
          <w:bCs/>
          <w:color w:val="auto"/>
          <w:sz w:val="24"/>
          <w:szCs w:val="24"/>
          <w:lang w:val="en-US" w:eastAsia="zh-Hans"/>
        </w:rPr>
        <w:t>曲臂机</w:t>
      </w:r>
      <w:r>
        <w:rPr>
          <w:rFonts w:hint="default" w:ascii="Times New Roman Regular" w:hAnsi="Times New Roman Regular" w:eastAsia="宋体" w:cs="Times New Roman Regular"/>
          <w:b w:val="0"/>
          <w:bCs/>
          <w:color w:val="auto"/>
          <w:sz w:val="24"/>
          <w:szCs w:val="24"/>
          <w:lang w:eastAsia="zh-Hans"/>
        </w:rPr>
        <w:t>3000</w:t>
      </w:r>
      <w:r>
        <w:rPr>
          <w:rFonts w:hint="default" w:ascii="Times New Roman Regular" w:hAnsi="Times New Roman Regular" w:eastAsia="宋体" w:cs="Times New Roman Regular"/>
          <w:b w:val="0"/>
          <w:bCs/>
          <w:color w:val="auto"/>
          <w:sz w:val="24"/>
          <w:szCs w:val="24"/>
          <w:lang w:val="en-US" w:eastAsia="zh-Hans"/>
        </w:rPr>
        <w:t>套</w:t>
      </w:r>
      <w:r>
        <w:rPr>
          <w:rFonts w:hint="default" w:ascii="Times New Roman Regular" w:hAnsi="Times New Roman Regular" w:cs="Times New Roman Regular"/>
          <w:color w:val="auto"/>
        </w:rPr>
        <w:t>项目劳动定员25人，年工作300天，日工作7小时。</w:t>
      </w:r>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397" w:name="_Toc1387899527"/>
      <w:bookmarkStart w:id="398" w:name="_Toc1533161639_WPSOffice_Level2"/>
      <w:r>
        <w:rPr>
          <w:rFonts w:hint="default" w:ascii="Times New Roman Regular" w:hAnsi="Times New Roman Regular" w:cs="Times New Roman Regular"/>
          <w:bCs w:val="0"/>
          <w:color w:val="auto"/>
          <w:kern w:val="2"/>
        </w:rPr>
        <w:t>13.2</w:t>
      </w:r>
      <w:r>
        <w:rPr>
          <w:rFonts w:hint="default" w:ascii="Times New Roman Regular" w:hAnsi="Times New Roman Regular" w:cs="Times New Roman Regular"/>
          <w:bCs w:val="0"/>
          <w:color w:val="auto"/>
          <w:kern w:val="2"/>
          <w:lang w:eastAsia="zh-Hans"/>
        </w:rPr>
        <w:t>评价</w:t>
      </w:r>
      <w:r>
        <w:rPr>
          <w:rFonts w:hint="default" w:ascii="Times New Roman Regular" w:hAnsi="Times New Roman Regular" w:cs="Times New Roman Regular"/>
          <w:bCs w:val="0"/>
          <w:color w:val="auto"/>
          <w:kern w:val="2"/>
        </w:rPr>
        <w:t>结论</w:t>
      </w:r>
      <w:bookmarkEnd w:id="396"/>
      <w:bookmarkEnd w:id="397"/>
      <w:bookmarkEnd w:id="398"/>
    </w:p>
    <w:p>
      <w:pPr>
        <w:pStyle w:val="128"/>
        <w:keepNext/>
        <w:spacing w:before="156" w:beforeLines="50"/>
        <w:outlineLvl w:val="9"/>
        <w:rPr>
          <w:rFonts w:hint="default" w:ascii="Times New Roman Regular" w:hAnsi="Times New Roman Regular" w:cs="Times New Roman Regular"/>
          <w:color w:val="auto"/>
          <w:lang w:eastAsia="zh-Hans"/>
        </w:rPr>
      </w:pPr>
      <w:bookmarkStart w:id="399" w:name="_Toc459976575"/>
      <w:bookmarkStart w:id="400" w:name="_Toc44272350"/>
      <w:bookmarkStart w:id="401" w:name="_Toc42613127"/>
      <w:bookmarkStart w:id="402" w:name="_Toc47618401"/>
      <w:bookmarkStart w:id="403" w:name="_Toc44275506"/>
      <w:bookmarkStart w:id="404" w:name="_Toc46314292"/>
      <w:r>
        <w:rPr>
          <w:rFonts w:hint="default" w:ascii="Times New Roman Regular" w:hAnsi="Times New Roman Regular" w:cs="Times New Roman Regular"/>
          <w:color w:val="auto"/>
        </w:rPr>
        <w:t>13</w:t>
      </w:r>
      <w:r>
        <w:rPr>
          <w:rFonts w:hint="default" w:ascii="Times New Roman Regular" w:hAnsi="Times New Roman Regular" w:cs="Times New Roman Regular"/>
          <w:color w:val="auto"/>
          <w:lang w:eastAsia="zh-Hans"/>
        </w:rPr>
        <w:t>.2.1 环境质量现状评价结论</w:t>
      </w:r>
      <w:bookmarkEnd w:id="399"/>
    </w:p>
    <w:p>
      <w:pPr>
        <w:numPr>
          <w:ilvl w:val="0"/>
          <w:numId w:val="0"/>
        </w:numPr>
        <w:ind w:firstLine="480" w:firstLineChars="200"/>
        <w:rPr>
          <w:rFonts w:hint="default" w:ascii="Times New Roman Regular" w:hAnsi="Times New Roman Regular" w:cs="Times New Roman Regular"/>
          <w:color w:val="auto"/>
          <w:lang w:eastAsia="zh-Hans"/>
        </w:rPr>
      </w:pPr>
      <w:r>
        <w:rPr>
          <w:rFonts w:hint="default" w:ascii="Times New Roman Regular" w:hAnsi="Times New Roman Regular" w:cs="Times New Roman Regular"/>
          <w:color w:val="auto"/>
          <w:lang w:eastAsia="zh-Hans"/>
        </w:rPr>
        <w:t>（1）水环境</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根据福建省生态环境厅网站数据，2020年1～3月，全省12条主要河流143个水质评价断面总体水质为优。I类～III类水质比例为95.8%，同比上升2.1个百分点；I类～II类水质比例为57.3%，同比持平。各类水质比例如下：I类占6.3%，II类占51.0%，III类占38.5%，IV类占3.5%，V类占0.7%，无劣V类水。</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（2）大气环境现状</w:t>
      </w:r>
    </w:p>
    <w:p>
      <w:pPr>
        <w:pStyle w:val="67"/>
        <w:adjustRightInd/>
        <w:snapToGrid/>
        <w:ind w:firstLine="480"/>
        <w:rPr>
          <w:rFonts w:hint="default" w:ascii="Times New Roman Regular" w:hAnsi="Times New Roman Regular" w:eastAsia="宋体" w:cs="Times New Roman Regular"/>
          <w:color w:val="auto"/>
          <w:kern w:val="0"/>
          <w:sz w:val="24"/>
          <w:szCs w:val="28"/>
        </w:rPr>
      </w:pPr>
      <w:r>
        <w:rPr>
          <w:rFonts w:hint="default" w:ascii="Times New Roman Regular" w:hAnsi="Times New Roman Regular" w:eastAsia="宋体" w:cs="Times New Roman Regular"/>
          <w:color w:val="auto"/>
          <w:kern w:val="0"/>
          <w:sz w:val="24"/>
          <w:szCs w:val="28"/>
        </w:rPr>
        <w:t>根据福州市闽侯县人民政府网站公布数据，2020年6月份闽侯县县城环境空气质量继续保持良好，达到规定的相应功能区标准。</w:t>
      </w:r>
    </w:p>
    <w:p>
      <w:pPr>
        <w:ind w:firstLine="480" w:firstLineChars="200"/>
        <w:rPr>
          <w:rFonts w:hint="default" w:ascii="Times New Roman Regular" w:hAnsi="Times New Roman Regular" w:cs="Times New Roman Regular"/>
          <w:color w:val="auto"/>
        </w:rPr>
      </w:pPr>
      <w:r>
        <w:rPr>
          <w:rFonts w:hint="default" w:ascii="Times New Roman Regular" w:hAnsi="Times New Roman Regular" w:eastAsia="宋体" w:cs="Times New Roman Regular"/>
          <w:color w:val="auto"/>
          <w:kern w:val="0"/>
          <w:sz w:val="24"/>
          <w:szCs w:val="28"/>
        </w:rPr>
        <w:t>闽侯县6月份县城空气质量SO</w:t>
      </w:r>
      <w:r>
        <w:rPr>
          <w:rFonts w:hint="default" w:ascii="Times New Roman Regular" w:hAnsi="Times New Roman Regular" w:eastAsia="宋体" w:cs="Times New Roman Regular"/>
          <w:color w:val="auto"/>
          <w:kern w:val="0"/>
          <w:sz w:val="24"/>
          <w:szCs w:val="28"/>
          <w:vertAlign w:val="subscript"/>
        </w:rPr>
        <w:t>2</w:t>
      </w:r>
      <w:r>
        <w:rPr>
          <w:rFonts w:hint="default" w:ascii="Times New Roman Regular" w:hAnsi="Times New Roman Regular" w:eastAsia="宋体" w:cs="Times New Roman Regular"/>
          <w:color w:val="auto"/>
          <w:kern w:val="0"/>
          <w:sz w:val="24"/>
          <w:szCs w:val="28"/>
        </w:rPr>
        <w:t>、NO</w:t>
      </w:r>
      <w:r>
        <w:rPr>
          <w:rFonts w:hint="default" w:ascii="Times New Roman Regular" w:hAnsi="Times New Roman Regular" w:eastAsia="宋体" w:cs="Times New Roman Regular"/>
          <w:color w:val="auto"/>
          <w:kern w:val="0"/>
          <w:sz w:val="24"/>
          <w:szCs w:val="28"/>
          <w:vertAlign w:val="subscript"/>
        </w:rPr>
        <w:t>2</w:t>
      </w:r>
      <w:r>
        <w:rPr>
          <w:rFonts w:hint="default" w:ascii="Times New Roman Regular" w:hAnsi="Times New Roman Regular" w:eastAsia="宋体" w:cs="Times New Roman Regular"/>
          <w:color w:val="auto"/>
          <w:kern w:val="0"/>
          <w:sz w:val="24"/>
          <w:szCs w:val="28"/>
        </w:rPr>
        <w:t>、PM</w:t>
      </w:r>
      <w:r>
        <w:rPr>
          <w:rFonts w:hint="default" w:ascii="Times New Roman Regular" w:hAnsi="Times New Roman Regular" w:eastAsia="宋体" w:cs="Times New Roman Regular"/>
          <w:color w:val="auto"/>
          <w:kern w:val="0"/>
          <w:sz w:val="24"/>
          <w:szCs w:val="28"/>
          <w:vertAlign w:val="subscript"/>
        </w:rPr>
        <w:t>10</w:t>
      </w:r>
      <w:r>
        <w:rPr>
          <w:rFonts w:hint="default" w:ascii="Times New Roman Regular" w:hAnsi="Times New Roman Regular" w:eastAsia="宋体" w:cs="Times New Roman Regular"/>
          <w:color w:val="auto"/>
          <w:kern w:val="0"/>
          <w:sz w:val="24"/>
          <w:szCs w:val="28"/>
        </w:rPr>
        <w:t>、CO、O</w:t>
      </w:r>
      <w:r>
        <w:rPr>
          <w:rFonts w:hint="default" w:ascii="Times New Roman Regular" w:hAnsi="Times New Roman Regular" w:eastAsia="宋体" w:cs="Times New Roman Regular"/>
          <w:color w:val="auto"/>
          <w:kern w:val="0"/>
          <w:sz w:val="24"/>
          <w:szCs w:val="28"/>
          <w:vertAlign w:val="subscript"/>
        </w:rPr>
        <w:t>3</w:t>
      </w:r>
      <w:r>
        <w:rPr>
          <w:rFonts w:hint="default" w:ascii="Times New Roman Regular" w:hAnsi="Times New Roman Regular" w:eastAsia="宋体" w:cs="Times New Roman Regular"/>
          <w:color w:val="auto"/>
          <w:kern w:val="0"/>
          <w:sz w:val="24"/>
          <w:szCs w:val="28"/>
        </w:rPr>
        <w:t>、PM</w:t>
      </w:r>
      <w:r>
        <w:rPr>
          <w:rFonts w:hint="default" w:ascii="Times New Roman Regular" w:hAnsi="Times New Roman Regular" w:eastAsia="宋体" w:cs="Times New Roman Regular"/>
          <w:color w:val="auto"/>
          <w:kern w:val="0"/>
          <w:sz w:val="24"/>
          <w:szCs w:val="28"/>
          <w:vertAlign w:val="subscript"/>
        </w:rPr>
        <w:t>2.5</w:t>
      </w:r>
      <w:r>
        <w:rPr>
          <w:rFonts w:hint="default" w:ascii="Times New Roman Regular" w:hAnsi="Times New Roman Regular" w:eastAsia="宋体" w:cs="Times New Roman Regular"/>
          <w:color w:val="auto"/>
          <w:kern w:val="0"/>
          <w:sz w:val="24"/>
          <w:szCs w:val="28"/>
        </w:rPr>
        <w:t>等6项污染物浓度指标的24小时均值（其中O3为日最大8小时平均）达到国家环境空气质量标准（GB 3095-2012）二级水平，6月份县城首要污染物为O</w:t>
      </w:r>
      <w:r>
        <w:rPr>
          <w:rFonts w:hint="default" w:ascii="Times New Roman Regular" w:hAnsi="Times New Roman Regular" w:eastAsia="宋体" w:cs="Times New Roman Regular"/>
          <w:color w:val="auto"/>
          <w:kern w:val="0"/>
          <w:sz w:val="24"/>
          <w:szCs w:val="28"/>
          <w:vertAlign w:val="subscript"/>
        </w:rPr>
        <w:t>3</w:t>
      </w:r>
      <w:r>
        <w:rPr>
          <w:rFonts w:hint="default" w:ascii="Times New Roman Regular" w:hAnsi="Times New Roman Regular" w:eastAsia="宋体" w:cs="Times New Roman Regular"/>
          <w:color w:val="auto"/>
          <w:kern w:val="0"/>
          <w:sz w:val="24"/>
          <w:szCs w:val="28"/>
        </w:rPr>
        <w:t>。</w:t>
      </w:r>
      <w:r>
        <w:rPr>
          <w:rFonts w:hint="default" w:ascii="Times New Roman Regular" w:hAnsi="Times New Roman Regular" w:cs="Times New Roman Regular"/>
          <w:color w:val="auto"/>
        </w:rPr>
        <w:t>（3）声环境质量现状</w:t>
      </w:r>
    </w:p>
    <w:p>
      <w:pPr>
        <w:ind w:firstLine="480" w:firstLineChars="200"/>
        <w:rPr>
          <w:rFonts w:hint="default" w:ascii="Times New Roman Regular" w:hAnsi="Times New Roman Regular" w:cs="Times New Roman Regular"/>
          <w:color w:val="FF0000"/>
        </w:rPr>
      </w:pPr>
      <w:r>
        <w:rPr>
          <w:rFonts w:hint="default" w:ascii="Times New Roman Regular" w:hAnsi="Times New Roman Regular" w:cs="Times New Roman Regular"/>
          <w:color w:val="auto"/>
        </w:rPr>
        <w:t>根据监测结果，项目各厂界测点声环境质量现状可达到《声环境质量标准》（GB3096-2008）中3类、4a类标准要求，声环境质量现状良好。</w:t>
      </w:r>
    </w:p>
    <w:p>
      <w:pPr>
        <w:pStyle w:val="128"/>
        <w:keepNext/>
        <w:spacing w:before="156" w:beforeLines="50"/>
        <w:outlineLvl w:val="9"/>
        <w:rPr>
          <w:rFonts w:hint="default" w:ascii="Times New Roman Regular" w:hAnsi="Times New Roman Regular" w:cs="Times New Roman Regular"/>
          <w:color w:val="auto"/>
          <w:lang w:eastAsia="zh-Hans"/>
        </w:rPr>
      </w:pPr>
      <w:bookmarkStart w:id="405" w:name="_Toc2032650472"/>
      <w:r>
        <w:rPr>
          <w:rFonts w:hint="default" w:ascii="Times New Roman Regular" w:hAnsi="Times New Roman Regular" w:cs="Times New Roman Regular"/>
          <w:color w:val="auto"/>
        </w:rPr>
        <w:t>13</w:t>
      </w:r>
      <w:r>
        <w:rPr>
          <w:rFonts w:hint="default" w:ascii="Times New Roman Regular" w:hAnsi="Times New Roman Regular" w:cs="Times New Roman Regular"/>
          <w:color w:val="auto"/>
          <w:lang w:eastAsia="zh-Hans"/>
        </w:rPr>
        <w:t>.2.2 环境影响分析结论</w:t>
      </w:r>
      <w:bookmarkEnd w:id="405"/>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（1）水环境影响分析结论</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本项目运营期生活污水经化粪池后达到《污水综合排放标准》（GB8978-1996）表4三级标准后排入市政污水管网，最后进入</w:t>
      </w:r>
      <w:r>
        <w:rPr>
          <w:rFonts w:hint="default" w:ascii="Times New Roman Regular" w:hAnsi="Times New Roman Regular" w:cs="Times New Roman Regular"/>
          <w:color w:val="auto"/>
          <w:lang w:val="en-US" w:eastAsia="zh-Hans"/>
        </w:rPr>
        <w:t>福州</w:t>
      </w:r>
      <w:r>
        <w:rPr>
          <w:rFonts w:hint="default" w:ascii="Times New Roman Regular" w:hAnsi="Times New Roman Regular" w:cs="Times New Roman Regular"/>
          <w:color w:val="auto"/>
        </w:rPr>
        <w:t>青口新区污水处理厂处理，对周边环境影响不大。</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（2）大气环境影响分析结论</w:t>
      </w:r>
    </w:p>
    <w:p>
      <w:pPr>
        <w:ind w:firstLine="480"/>
        <w:rPr>
          <w:rFonts w:hint="default" w:ascii="Times New Roman Regular" w:hAnsi="Times New Roman Regular" w:cs="Times New Roman Regular"/>
          <w:color w:val="FF0000"/>
        </w:rPr>
      </w:pPr>
      <w:r>
        <w:rPr>
          <w:rFonts w:hint="default" w:ascii="Times New Roman Regular" w:hAnsi="Times New Roman Regular" w:cs="Times New Roman Regular"/>
          <w:color w:val="auto"/>
          <w:lang w:val="en-US" w:eastAsia="zh-Hans"/>
        </w:rPr>
        <w:t>项目</w:t>
      </w:r>
      <w:r>
        <w:rPr>
          <w:rFonts w:hint="eastAsia" w:ascii="Times New Roman Regular" w:hAnsi="Times New Roman Regular" w:cs="Times New Roman Regular"/>
          <w:color w:val="auto"/>
          <w:sz w:val="24"/>
          <w:szCs w:val="24"/>
          <w:lang w:val="en-US" w:eastAsia="zh-Hans"/>
        </w:rPr>
        <w:t>少量粉尘无组织排放</w:t>
      </w:r>
      <w:r>
        <w:rPr>
          <w:rFonts w:hint="default" w:ascii="Times New Roman Regular" w:hAnsi="Times New Roman Regular" w:cs="Times New Roman Regular"/>
          <w:color w:val="auto"/>
          <w:sz w:val="24"/>
          <w:szCs w:val="24"/>
          <w:lang w:eastAsia="zh-Hans"/>
        </w:rPr>
        <w:t>，</w:t>
      </w:r>
      <w:r>
        <w:rPr>
          <w:rFonts w:hint="eastAsia" w:ascii="Times New Roman Regular" w:hAnsi="Times New Roman Regular" w:cs="Times New Roman Regular"/>
          <w:color w:val="auto"/>
          <w:sz w:val="24"/>
          <w:szCs w:val="24"/>
          <w:lang w:val="en-US" w:eastAsia="zh-Hans"/>
        </w:rPr>
        <w:t>通过加强车间通风换气</w:t>
      </w:r>
      <w:r>
        <w:rPr>
          <w:rFonts w:hint="default" w:ascii="Times New Roman Regular" w:hAnsi="Times New Roman Regular" w:cs="Times New Roman Regular"/>
          <w:color w:val="auto"/>
          <w:sz w:val="24"/>
          <w:szCs w:val="24"/>
          <w:lang w:eastAsia="zh-Hans"/>
        </w:rPr>
        <w:t>，</w:t>
      </w:r>
      <w:r>
        <w:rPr>
          <w:rFonts w:hint="eastAsia" w:ascii="Times New Roman Regular" w:hAnsi="Times New Roman Regular" w:cs="Times New Roman Regular"/>
          <w:color w:val="auto"/>
          <w:sz w:val="24"/>
          <w:szCs w:val="24"/>
          <w:lang w:val="en-US" w:eastAsia="zh-Hans"/>
        </w:rPr>
        <w:t>不会对周边大气环境产生影响</w:t>
      </w:r>
      <w:r>
        <w:rPr>
          <w:rFonts w:hint="default" w:ascii="Times New Roman Regular" w:hAnsi="Times New Roman Regular" w:cs="Times New Roman Regular"/>
          <w:color w:val="auto"/>
          <w:sz w:val="24"/>
          <w:szCs w:val="24"/>
          <w:lang w:eastAsia="zh-Hans"/>
        </w:rPr>
        <w:t>。</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（3）声环境影响分析结论</w:t>
      </w:r>
    </w:p>
    <w:p>
      <w:pPr>
        <w:adjustRightInd w:val="0"/>
        <w:snapToGrid w:val="0"/>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通过采取减振、隔声、降噪，项目噪声在各厂界的贡献值能够满足《工业企业厂界环境噪声排放标准》（GB12348-2008）中3类、4类标准限值要求</w:t>
      </w:r>
      <w:r>
        <w:rPr>
          <w:rFonts w:hint="default" w:ascii="Times New Roman Regular" w:hAnsi="Times New Roman Regular" w:cs="Times New Roman Regular"/>
          <w:bCs/>
          <w:color w:val="auto"/>
        </w:rPr>
        <w:t>。</w:t>
      </w:r>
      <w:r>
        <w:rPr>
          <w:rFonts w:hint="default" w:ascii="Times New Roman Regular" w:hAnsi="Times New Roman Regular" w:cs="Times New Roman Regular"/>
          <w:color w:val="auto"/>
        </w:rPr>
        <w:t>项目边界噪声排放达标，对声环境敏感目标基本不产生影响，对周围环境影响较小。</w:t>
      </w:r>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（4）固体废物影响分析</w:t>
      </w:r>
    </w:p>
    <w:p>
      <w:pPr>
        <w:adjustRightInd w:val="0"/>
        <w:snapToGrid w:val="0"/>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本项目一般固废包括</w:t>
      </w:r>
      <w:r>
        <w:rPr>
          <w:rFonts w:hint="default" w:ascii="Times New Roman Regular" w:hAnsi="Times New Roman Regular" w:cs="Times New Roman Regular"/>
          <w:color w:val="auto"/>
          <w:lang w:val="en-US" w:eastAsia="zh-Hans"/>
        </w:rPr>
        <w:t>残次品和下脚料</w:t>
      </w:r>
      <w:r>
        <w:rPr>
          <w:rFonts w:hint="default" w:ascii="Times New Roman Regular" w:hAnsi="Times New Roman Regular" w:cs="Times New Roman Regular"/>
          <w:color w:val="auto"/>
        </w:rPr>
        <w:t>，该部分固废均作回收综合利用处理；</w:t>
      </w:r>
      <w:r>
        <w:rPr>
          <w:rFonts w:hint="eastAsia" w:ascii="Times New Roman Regular" w:hAnsi="Times New Roman Regular" w:cs="Times New Roman Regular"/>
          <w:color w:val="auto"/>
          <w:lang w:val="en-US" w:eastAsia="zh-Hans"/>
        </w:rPr>
        <w:t>胶水包装物由出售公司回收</w:t>
      </w:r>
      <w:r>
        <w:rPr>
          <w:rFonts w:hint="default" w:ascii="Times New Roman Regular" w:hAnsi="Times New Roman Regular" w:cs="Times New Roman Regular"/>
          <w:color w:val="auto"/>
          <w:lang w:eastAsia="zh-Hans"/>
        </w:rPr>
        <w:t>；</w:t>
      </w:r>
      <w:r>
        <w:rPr>
          <w:rFonts w:hint="default" w:ascii="Times New Roman Regular" w:hAnsi="Times New Roman Regular" w:cs="Times New Roman Regular"/>
          <w:color w:val="auto"/>
        </w:rPr>
        <w:t>生活垃圾由专人负责清理，进行袋装化收集，由环卫部门按时收集。</w:t>
      </w:r>
    </w:p>
    <w:p>
      <w:pPr>
        <w:pStyle w:val="128"/>
        <w:keepNext/>
        <w:spacing w:before="156" w:beforeLines="50"/>
        <w:outlineLvl w:val="9"/>
        <w:rPr>
          <w:rFonts w:hint="default" w:ascii="Times New Roman Regular" w:hAnsi="Times New Roman Regular" w:cs="Times New Roman Regular"/>
          <w:color w:val="auto"/>
          <w:lang w:eastAsia="zh-Hans"/>
        </w:rPr>
      </w:pPr>
      <w:bookmarkStart w:id="406" w:name="_Toc586626428"/>
      <w:r>
        <w:rPr>
          <w:rFonts w:hint="default" w:ascii="Times New Roman Regular" w:hAnsi="Times New Roman Regular" w:cs="Times New Roman Regular"/>
          <w:color w:val="auto"/>
        </w:rPr>
        <w:t>13</w:t>
      </w:r>
      <w:r>
        <w:rPr>
          <w:rFonts w:hint="default" w:ascii="Times New Roman Regular" w:hAnsi="Times New Roman Regular" w:cs="Times New Roman Regular"/>
          <w:color w:val="auto"/>
          <w:lang w:eastAsia="zh-Hans"/>
        </w:rPr>
        <w:t xml:space="preserve">.2.3 </w:t>
      </w:r>
      <w:r>
        <w:rPr>
          <w:rFonts w:hint="default" w:ascii="Times New Roman Regular" w:hAnsi="Times New Roman Regular" w:cs="Times New Roman Regular"/>
          <w:color w:val="auto"/>
          <w:lang w:val="en-US" w:eastAsia="zh-Hans"/>
        </w:rPr>
        <w:t>产业政策适宜性分析</w:t>
      </w:r>
      <w:r>
        <w:rPr>
          <w:rFonts w:hint="default" w:ascii="Times New Roman Regular" w:hAnsi="Times New Roman Regular" w:cs="Times New Roman Regular"/>
          <w:color w:val="auto"/>
          <w:lang w:eastAsia="zh-Hans"/>
        </w:rPr>
        <w:t>结论</w:t>
      </w:r>
      <w:bookmarkEnd w:id="406"/>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本项目为</w:t>
      </w:r>
      <w:r>
        <w:rPr>
          <w:rFonts w:hint="eastAsia" w:ascii="Times New Roman Regular" w:hAnsi="Times New Roman Regular" w:cs="Times New Roman Regular"/>
          <w:color w:val="auto"/>
          <w:lang w:val="en-US" w:eastAsia="zh-Hans"/>
        </w:rPr>
        <w:t>金属制品</w:t>
      </w:r>
      <w:r>
        <w:rPr>
          <w:rFonts w:hint="default" w:ascii="Times New Roman Regular" w:hAnsi="Times New Roman Regular" w:cs="Times New Roman Regular"/>
          <w:color w:val="auto"/>
          <w:lang w:val="en-US" w:eastAsia="zh-Hans"/>
        </w:rPr>
        <w:t>生产加工</w:t>
      </w:r>
      <w:r>
        <w:rPr>
          <w:rFonts w:hint="default" w:ascii="Times New Roman Regular" w:hAnsi="Times New Roman Regular" w:cs="Times New Roman Regular"/>
          <w:color w:val="auto"/>
        </w:rPr>
        <w:t>项目，根据《产业结构调整指导目录（2011 年本）（修正）》相关规定，本项目不属于国家鼓励类、限制类和淘汰类产业，属于允许类项目，因此本项目建设符合国家现行产业政策。</w:t>
      </w:r>
    </w:p>
    <w:p>
      <w:pPr>
        <w:pStyle w:val="128"/>
        <w:keepNext/>
        <w:spacing w:before="156" w:beforeLines="50"/>
        <w:outlineLvl w:val="9"/>
        <w:rPr>
          <w:rFonts w:hint="default" w:ascii="Times New Roman Regular" w:hAnsi="Times New Roman Regular" w:cs="Times New Roman Regular"/>
          <w:color w:val="auto"/>
          <w:lang w:eastAsia="zh-Hans"/>
        </w:rPr>
      </w:pPr>
      <w:bookmarkStart w:id="407" w:name="_Toc332952019"/>
      <w:r>
        <w:rPr>
          <w:rFonts w:hint="default" w:ascii="Times New Roman Regular" w:hAnsi="Times New Roman Regular" w:cs="Times New Roman Regular"/>
          <w:color w:val="auto"/>
        </w:rPr>
        <w:t>13</w:t>
      </w:r>
      <w:r>
        <w:rPr>
          <w:rFonts w:hint="default" w:ascii="Times New Roman Regular" w:hAnsi="Times New Roman Regular" w:cs="Times New Roman Regular"/>
          <w:color w:val="auto"/>
          <w:lang w:eastAsia="zh-Hans"/>
        </w:rPr>
        <w:t xml:space="preserve">.2.4 </w:t>
      </w:r>
      <w:r>
        <w:rPr>
          <w:rFonts w:hint="default" w:ascii="Times New Roman Regular" w:hAnsi="Times New Roman Regular" w:cs="Times New Roman Regular"/>
          <w:color w:val="auto"/>
          <w:lang w:val="en-US" w:eastAsia="zh-Hans"/>
        </w:rPr>
        <w:t>总量控制</w:t>
      </w:r>
      <w:r>
        <w:rPr>
          <w:rFonts w:hint="default" w:ascii="Times New Roman Regular" w:hAnsi="Times New Roman Regular" w:cs="Times New Roman Regular"/>
          <w:color w:val="auto"/>
          <w:lang w:eastAsia="zh-Hans"/>
        </w:rPr>
        <w:t>结论</w:t>
      </w:r>
      <w:bookmarkEnd w:id="400"/>
      <w:bookmarkEnd w:id="401"/>
      <w:bookmarkEnd w:id="402"/>
      <w:bookmarkEnd w:id="403"/>
      <w:bookmarkEnd w:id="404"/>
      <w:bookmarkEnd w:id="407"/>
    </w:p>
    <w:p>
      <w:pPr>
        <w:overflowPunct w:val="0"/>
        <w:ind w:firstLine="480"/>
        <w:rPr>
          <w:rFonts w:hint="default" w:ascii="Times New Roman Regular" w:hAnsi="Times New Roman Regular" w:cs="Times New Roman Regular"/>
          <w:color w:val="auto"/>
        </w:rPr>
      </w:pPr>
      <w:bookmarkStart w:id="408" w:name="_Toc47618406"/>
      <w:r>
        <w:rPr>
          <w:rFonts w:hint="default" w:ascii="Times New Roman Regular" w:hAnsi="Times New Roman Regular" w:cs="Times New Roman Regular"/>
          <w:color w:val="auto"/>
        </w:rPr>
        <w:t>根据“十三五”主要污染物排放总量控制要求，总量控制项目为化学需氧量（COD</w:t>
      </w:r>
      <w:r>
        <w:rPr>
          <w:rFonts w:hint="default" w:ascii="Times New Roman Regular" w:hAnsi="Times New Roman Regular" w:cs="Times New Roman Regular"/>
          <w:color w:val="auto"/>
          <w:vertAlign w:val="subscript"/>
        </w:rPr>
        <w:t>Cr</w:t>
      </w:r>
      <w:r>
        <w:rPr>
          <w:rFonts w:hint="default" w:ascii="Times New Roman Regular" w:hAnsi="Times New Roman Regular" w:cs="Times New Roman Regular"/>
          <w:color w:val="auto"/>
        </w:rPr>
        <w:t>）和氨氮（NH</w:t>
      </w:r>
      <w:r>
        <w:rPr>
          <w:rFonts w:hint="default" w:ascii="Times New Roman Regular" w:hAnsi="Times New Roman Regular" w:cs="Times New Roman Regular"/>
          <w:color w:val="auto"/>
          <w:vertAlign w:val="subscript"/>
        </w:rPr>
        <w:t>3</w:t>
      </w:r>
      <w:r>
        <w:rPr>
          <w:rFonts w:hint="default" w:ascii="Times New Roman Regular" w:hAnsi="Times New Roman Regular" w:cs="Times New Roman Regular"/>
          <w:color w:val="auto"/>
        </w:rPr>
        <w:t>-N）、二氧化硫（SO</w:t>
      </w:r>
      <w:r>
        <w:rPr>
          <w:rFonts w:hint="default" w:ascii="Times New Roman Regular" w:hAnsi="Times New Roman Regular" w:cs="Times New Roman Regular"/>
          <w:color w:val="auto"/>
          <w:vertAlign w:val="subscript"/>
        </w:rPr>
        <w:t>2</w:t>
      </w:r>
      <w:r>
        <w:rPr>
          <w:rFonts w:hint="default" w:ascii="Times New Roman Regular" w:hAnsi="Times New Roman Regular" w:cs="Times New Roman Regular"/>
          <w:color w:val="auto"/>
        </w:rPr>
        <w:t>）、氮氧化物（NO</w:t>
      </w:r>
      <w:r>
        <w:rPr>
          <w:rFonts w:hint="default" w:ascii="Times New Roman Regular" w:hAnsi="Times New Roman Regular" w:cs="Times New Roman Regular"/>
          <w:color w:val="auto"/>
          <w:vertAlign w:val="subscript"/>
        </w:rPr>
        <w:t>x</w:t>
      </w:r>
      <w:r>
        <w:rPr>
          <w:rFonts w:hint="default" w:ascii="Times New Roman Regular" w:hAnsi="Times New Roman Regular" w:cs="Times New Roman Regular"/>
          <w:color w:val="auto"/>
        </w:rPr>
        <w:t>）。</w:t>
      </w:r>
    </w:p>
    <w:p>
      <w:pPr>
        <w:ind w:firstLine="480"/>
        <w:rPr>
          <w:rFonts w:hint="default" w:ascii="Times New Roman Regular" w:hAnsi="Times New Roman Regular" w:cs="Times New Roman Regular"/>
          <w:bCs/>
          <w:color w:val="auto"/>
        </w:rPr>
      </w:pPr>
      <w:r>
        <w:rPr>
          <w:rFonts w:hint="default" w:ascii="Times New Roman Regular" w:hAnsi="Times New Roman Regular" w:cs="Times New Roman Regular"/>
          <w:color w:val="auto"/>
        </w:rPr>
        <w:t>根据国家实施污染物排放总量控制的要求以及本项目污染物排放特点，确定本项目产生的污水为生活污水，生活污水不要求总量指标调剂。</w:t>
      </w:r>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409" w:name="_Toc191386320_WPSOffice_Level2"/>
      <w:bookmarkStart w:id="410" w:name="_Toc1729682898"/>
      <w:r>
        <w:rPr>
          <w:rFonts w:hint="default" w:ascii="Times New Roman Regular" w:hAnsi="Times New Roman Regular" w:cs="Times New Roman Regular"/>
          <w:bCs w:val="0"/>
          <w:color w:val="auto"/>
          <w:kern w:val="2"/>
        </w:rPr>
        <w:t xml:space="preserve">13.3 </w:t>
      </w:r>
      <w:r>
        <w:rPr>
          <w:rFonts w:hint="default" w:ascii="Times New Roman Regular" w:hAnsi="Times New Roman Regular" w:cs="Times New Roman Regular"/>
          <w:bCs w:val="0"/>
          <w:color w:val="auto"/>
          <w:kern w:val="2"/>
          <w:lang w:eastAsia="zh-Hans"/>
        </w:rPr>
        <w:t>主要环保对策及建议</w:t>
      </w:r>
      <w:bookmarkEnd w:id="409"/>
      <w:bookmarkEnd w:id="410"/>
    </w:p>
    <w:p>
      <w:pPr>
        <w:widowControl w:val="0"/>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该项目须要落实的环保工程及其验收标准如表13.3-1所示。</w:t>
      </w:r>
    </w:p>
    <w:p>
      <w:pPr>
        <w:jc w:val="center"/>
        <w:rPr>
          <w:rFonts w:hint="default" w:ascii="Times New Roman Regular" w:hAnsi="Times New Roman Regular" w:cs="Times New Roman Regular"/>
          <w:b/>
          <w:color w:val="auto"/>
        </w:rPr>
      </w:pPr>
      <w:r>
        <w:rPr>
          <w:rFonts w:hint="default" w:ascii="Times New Roman Regular" w:hAnsi="Times New Roman Regular" w:cs="Times New Roman Regular"/>
          <w:b/>
          <w:color w:val="auto"/>
        </w:rPr>
        <w:t>表13.3-1   该项目需落实的环保工程措施</w:t>
      </w:r>
    </w:p>
    <w:tbl>
      <w:tblPr>
        <w:tblStyle w:val="36"/>
        <w:tblW w:w="852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1"/>
        <w:gridCol w:w="430"/>
        <w:gridCol w:w="1134"/>
        <w:gridCol w:w="1853"/>
        <w:gridCol w:w="1360"/>
        <w:gridCol w:w="33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1"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序号</w:t>
            </w:r>
          </w:p>
        </w:tc>
        <w:tc>
          <w:tcPr>
            <w:tcW w:w="1564" w:type="dxa"/>
            <w:gridSpan w:val="2"/>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污染源</w:t>
            </w:r>
          </w:p>
        </w:tc>
        <w:tc>
          <w:tcPr>
            <w:tcW w:w="1853"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环保治理措施</w:t>
            </w:r>
          </w:p>
        </w:tc>
        <w:tc>
          <w:tcPr>
            <w:tcW w:w="1360"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处理规模</w:t>
            </w:r>
          </w:p>
        </w:tc>
        <w:tc>
          <w:tcPr>
            <w:tcW w:w="3330"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验收要求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1"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1</w:t>
            </w:r>
          </w:p>
        </w:tc>
        <w:tc>
          <w:tcPr>
            <w:tcW w:w="1564" w:type="dxa"/>
            <w:gridSpan w:val="2"/>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生活污水</w:t>
            </w:r>
          </w:p>
        </w:tc>
        <w:tc>
          <w:tcPr>
            <w:tcW w:w="1853"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设置化粪池，经化粪池处理后排入市政污水管网</w:t>
            </w:r>
          </w:p>
        </w:tc>
        <w:tc>
          <w:tcPr>
            <w:tcW w:w="1360"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3m</w:t>
            </w:r>
            <w:r>
              <w:rPr>
                <w:rFonts w:hint="default" w:ascii="Times New Roman Regular" w:hAnsi="Times New Roman Regular" w:cs="Times New Roman Regular"/>
                <w:color w:val="auto"/>
                <w:sz w:val="21"/>
                <w:szCs w:val="21"/>
                <w:vertAlign w:val="superscript"/>
              </w:rPr>
              <w:t>3</w:t>
            </w:r>
            <w:r>
              <w:rPr>
                <w:rFonts w:hint="default" w:ascii="Times New Roman Regular" w:hAnsi="Times New Roman Regular" w:cs="Times New Roman Regular"/>
                <w:color w:val="auto"/>
                <w:sz w:val="21"/>
                <w:szCs w:val="21"/>
              </w:rPr>
              <w:t>/d</w:t>
            </w:r>
          </w:p>
        </w:tc>
        <w:tc>
          <w:tcPr>
            <w:tcW w:w="3330"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满足《污水综合排放标准》（GB8978-1996）表4三级标准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1"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2</w:t>
            </w:r>
          </w:p>
        </w:tc>
        <w:tc>
          <w:tcPr>
            <w:tcW w:w="1564" w:type="dxa"/>
            <w:gridSpan w:val="2"/>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eastAsia" w:ascii="Times New Roman Regular" w:hAnsi="Times New Roman Regular" w:cs="Times New Roman Regular"/>
                <w:color w:val="auto"/>
                <w:sz w:val="21"/>
                <w:szCs w:val="21"/>
                <w:lang w:val="en-US" w:eastAsia="zh-Hans"/>
              </w:rPr>
              <w:t>无组织粉尘</w:t>
            </w:r>
          </w:p>
        </w:tc>
        <w:tc>
          <w:tcPr>
            <w:tcW w:w="1853" w:type="dxa"/>
            <w:vAlign w:val="center"/>
          </w:tcPr>
          <w:p>
            <w:pPr>
              <w:autoSpaceDE w:val="0"/>
              <w:autoSpaceDN w:val="0"/>
              <w:spacing w:line="240" w:lineRule="auto"/>
              <w:jc w:val="center"/>
              <w:textAlignment w:val="bottom"/>
              <w:rPr>
                <w:rFonts w:hint="eastAsia" w:ascii="Times New Roman Regular" w:hAnsi="Times New Roman Regular" w:eastAsia="宋体" w:cs="Times New Roman Regular"/>
                <w:color w:val="auto"/>
                <w:sz w:val="21"/>
                <w:szCs w:val="21"/>
                <w:lang w:val="en-US" w:eastAsia="zh-Hans"/>
              </w:rPr>
            </w:pPr>
            <w:r>
              <w:rPr>
                <w:rFonts w:hint="eastAsia" w:ascii="Times New Roman Regular" w:hAnsi="Times New Roman Regular" w:cs="Times New Roman Regular"/>
                <w:color w:val="auto"/>
                <w:sz w:val="21"/>
                <w:szCs w:val="21"/>
                <w:lang w:val="en-US" w:eastAsia="zh-Hans"/>
              </w:rPr>
              <w:t>车间排气扇通风换气</w:t>
            </w:r>
          </w:p>
        </w:tc>
        <w:tc>
          <w:tcPr>
            <w:tcW w:w="1360"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w:t>
            </w:r>
          </w:p>
        </w:tc>
        <w:tc>
          <w:tcPr>
            <w:tcW w:w="3330"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highlight w:val="none"/>
              </w:rPr>
              <w:t>颗粒物排放满足《大气污染物综合排放标准》（GB16297-1996）表2二级标准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1" w:type="dxa"/>
            <w:vMerge w:val="restart"/>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3</w:t>
            </w:r>
          </w:p>
        </w:tc>
        <w:tc>
          <w:tcPr>
            <w:tcW w:w="430" w:type="dxa"/>
            <w:vMerge w:val="restart"/>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固废</w:t>
            </w:r>
          </w:p>
        </w:tc>
        <w:tc>
          <w:tcPr>
            <w:tcW w:w="1134"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生活垃圾</w:t>
            </w:r>
          </w:p>
        </w:tc>
        <w:tc>
          <w:tcPr>
            <w:tcW w:w="3213" w:type="dxa"/>
            <w:gridSpan w:val="2"/>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配备垃圾桶，委托环卫部门清运</w:t>
            </w:r>
          </w:p>
        </w:tc>
        <w:tc>
          <w:tcPr>
            <w:tcW w:w="3330" w:type="dxa"/>
            <w:vMerge w:val="restart"/>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验收落实情况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1" w:type="dxa"/>
            <w:vMerge w:val="continue"/>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p>
        </w:tc>
        <w:tc>
          <w:tcPr>
            <w:tcW w:w="430" w:type="dxa"/>
            <w:vMerge w:val="continue"/>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p>
        </w:tc>
        <w:tc>
          <w:tcPr>
            <w:tcW w:w="1134"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一般固废</w:t>
            </w:r>
          </w:p>
        </w:tc>
        <w:tc>
          <w:tcPr>
            <w:tcW w:w="3213" w:type="dxa"/>
            <w:gridSpan w:val="2"/>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外售厂商回收或综合利用</w:t>
            </w:r>
          </w:p>
        </w:tc>
        <w:tc>
          <w:tcPr>
            <w:tcW w:w="3330" w:type="dxa"/>
            <w:vMerge w:val="continue"/>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1"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4</w:t>
            </w:r>
          </w:p>
        </w:tc>
        <w:tc>
          <w:tcPr>
            <w:tcW w:w="1564" w:type="dxa"/>
            <w:gridSpan w:val="2"/>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噪声</w:t>
            </w:r>
          </w:p>
        </w:tc>
        <w:tc>
          <w:tcPr>
            <w:tcW w:w="3213" w:type="dxa"/>
            <w:gridSpan w:val="2"/>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隔声、减震、降噪</w:t>
            </w:r>
          </w:p>
        </w:tc>
        <w:tc>
          <w:tcPr>
            <w:tcW w:w="3330" w:type="dxa"/>
            <w:vAlign w:val="center"/>
          </w:tcPr>
          <w:p>
            <w:pPr>
              <w:autoSpaceDE w:val="0"/>
              <w:autoSpaceDN w:val="0"/>
              <w:spacing w:line="240" w:lineRule="auto"/>
              <w:jc w:val="center"/>
              <w:textAlignment w:val="bottom"/>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各边界噪声满足《工业企业厂界环境噪声排放标准》（GB12348-2008）中3类、4类标准限值要求（昼间≤65 dB、昼间≤70dB）。</w:t>
            </w:r>
          </w:p>
        </w:tc>
      </w:tr>
    </w:tbl>
    <w:p>
      <w:pPr>
        <w:pStyle w:val="4"/>
        <w:keepNext/>
        <w:keepLines/>
        <w:widowControl w:val="0"/>
        <w:spacing w:before="156" w:beforeLines="50" w:after="156" w:afterLines="50"/>
        <w:outlineLvl w:val="2"/>
        <w:rPr>
          <w:rFonts w:hint="default" w:ascii="Times New Roman Regular" w:hAnsi="Times New Roman Regular" w:cs="Times New Roman Regular"/>
          <w:color w:val="auto"/>
        </w:rPr>
      </w:pPr>
      <w:bookmarkStart w:id="411" w:name="_Toc294337247"/>
      <w:bookmarkStart w:id="412" w:name="_Toc1846860681_WPSOffice_Level2"/>
      <w:r>
        <w:rPr>
          <w:rFonts w:hint="default" w:ascii="Times New Roman Regular" w:hAnsi="Times New Roman Regular" w:cs="Times New Roman Regular"/>
          <w:bCs w:val="0"/>
          <w:color w:val="auto"/>
          <w:kern w:val="2"/>
        </w:rPr>
        <w:t>13.4 建设项目竣工环保验收</w:t>
      </w:r>
      <w:bookmarkEnd w:id="408"/>
      <w:bookmarkEnd w:id="411"/>
      <w:bookmarkEnd w:id="412"/>
    </w:p>
    <w:p>
      <w:pPr>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0"/>
        </w:rPr>
        <w:t>根据《建设项目环境保护管理条例》（国务院令第682号）和《关于规范建设单位自主开展建设项目竣工环境保护验收的通知（征求意见稿）》（环办环评函[2017]1235号）文件精神，建设单位应对竣工环境保护进行自主验收。</w:t>
      </w:r>
      <w:r>
        <w:rPr>
          <w:rFonts w:hint="default" w:ascii="Times New Roman Regular" w:hAnsi="Times New Roman Regular" w:cs="Times New Roman Regular"/>
          <w:color w:val="auto"/>
        </w:rPr>
        <w:t>本项目</w:t>
      </w:r>
      <w:r>
        <w:rPr>
          <w:rFonts w:hint="default" w:ascii="Times New Roman Regular" w:hAnsi="Times New Roman Regular" w:cs="Times New Roman Regular"/>
          <w:color w:val="auto"/>
          <w:szCs w:val="20"/>
        </w:rPr>
        <w:t>有关竣工环保验收内容见表11.5-1。</w:t>
      </w:r>
    </w:p>
    <w:p>
      <w:pPr>
        <w:pStyle w:val="4"/>
        <w:keepNext/>
        <w:keepLines/>
        <w:widowControl w:val="0"/>
        <w:spacing w:before="156" w:beforeLines="50" w:after="156" w:afterLines="50"/>
        <w:outlineLvl w:val="2"/>
        <w:rPr>
          <w:rFonts w:hint="default" w:ascii="Times New Roman Regular" w:hAnsi="Times New Roman Regular" w:cs="Times New Roman Regular"/>
          <w:bCs w:val="0"/>
          <w:color w:val="auto"/>
          <w:kern w:val="2"/>
        </w:rPr>
      </w:pPr>
      <w:bookmarkStart w:id="413" w:name="_Toc1271271288"/>
      <w:bookmarkStart w:id="414" w:name="_Toc47618407"/>
      <w:bookmarkStart w:id="415" w:name="_Toc458831829_WPSOffice_Level2"/>
      <w:r>
        <w:rPr>
          <w:rFonts w:hint="default" w:ascii="Times New Roman Regular" w:hAnsi="Times New Roman Regular" w:cs="Times New Roman Regular"/>
          <w:bCs w:val="0"/>
          <w:color w:val="auto"/>
          <w:kern w:val="2"/>
        </w:rPr>
        <w:t>13.5 建议</w:t>
      </w:r>
      <w:bookmarkEnd w:id="413"/>
      <w:bookmarkEnd w:id="414"/>
      <w:bookmarkEnd w:id="415"/>
    </w:p>
    <w:p>
      <w:pPr>
        <w:spacing w:line="480" w:lineRule="exact"/>
        <w:ind w:firstLine="480" w:firstLineChars="200"/>
        <w:rPr>
          <w:rFonts w:hint="default" w:ascii="Times New Roman Regular" w:hAnsi="Times New Roman Regular" w:cs="Times New Roman Regular"/>
          <w:color w:val="auto"/>
        </w:rPr>
      </w:pPr>
      <w:r>
        <w:rPr>
          <w:rFonts w:hint="default" w:ascii="Times New Roman Regular" w:hAnsi="Times New Roman Regular" w:cs="Times New Roman Regular"/>
          <w:color w:val="auto"/>
        </w:rPr>
        <w:t>（1）关心并积极听取可能受项目环境影响的附近居民等人员、单位的反映，定期向项目最高管理者和当地环保部门汇报项目环境保护工作的情况，同时接受当地环境保护部门的监督和管理。遵守有关环境法律、法规，树立良好的形象，实现经济效益与社会效益、环境效益相统一。</w:t>
      </w:r>
    </w:p>
    <w:p>
      <w:pPr>
        <w:spacing w:line="480" w:lineRule="exact"/>
        <w:ind w:firstLine="480" w:firstLineChars="200"/>
        <w:rPr>
          <w:rFonts w:hint="default" w:ascii="Times New Roman Regular" w:hAnsi="Times New Roman Regular" w:cs="Times New Roman Regular"/>
          <w:color w:val="FF0000"/>
        </w:rPr>
        <w:sectPr>
          <w:footerReference r:id="rId5"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AndChars" w:linePitch="312" w:charSpace="0"/>
        </w:sectPr>
      </w:pPr>
      <w:r>
        <w:rPr>
          <w:rFonts w:hint="default" w:ascii="Times New Roman Regular" w:hAnsi="Times New Roman Regular" w:cs="Times New Roman Regular"/>
          <w:color w:val="auto"/>
        </w:rPr>
        <w:t>（2）严格执行本次环境影响评价所提出的环境保护措施。</w:t>
      </w:r>
    </w:p>
    <w:p>
      <w:pPr>
        <w:jc w:val="right"/>
        <w:rPr>
          <w:rFonts w:hint="eastAsia" w:ascii="Times New Roman Regular" w:hAnsi="Times New Roman Regular" w:eastAsia="宋体" w:cs="Times New Roman Regular"/>
          <w:b/>
          <w:color w:val="auto"/>
          <w:lang w:eastAsia="zh-CN"/>
        </w:rPr>
      </w:pPr>
      <w:r>
        <w:rPr>
          <w:rFonts w:hint="eastAsia" w:ascii="Times New Roman Regular" w:hAnsi="Times New Roman Regular" w:eastAsia="宋体" w:cs="Times New Roman Regular"/>
          <w:b/>
          <w:color w:val="auto"/>
          <w:lang w:eastAsia="zh-CN"/>
        </w:rPr>
        <w:drawing>
          <wp:anchor distT="0" distB="0" distL="114300" distR="114300" simplePos="0" relativeHeight="254772224" behindDoc="1" locked="0" layoutInCell="1" allowOverlap="1">
            <wp:simplePos x="0" y="0"/>
            <wp:positionH relativeFrom="column">
              <wp:posOffset>-1114425</wp:posOffset>
            </wp:positionH>
            <wp:positionV relativeFrom="paragraph">
              <wp:posOffset>-935990</wp:posOffset>
            </wp:positionV>
            <wp:extent cx="7483475" cy="10591165"/>
            <wp:effectExtent l="0" t="0" r="3175" b="635"/>
            <wp:wrapNone/>
            <wp:docPr id="73" name="图片 73" descr="daeae7c39470368c335de4c10f66f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daeae7c39470368c335de4c10f66ffd"/>
                    <pic:cNvPicPr>
                      <a:picLocks noChangeAspect="1"/>
                    </pic:cNvPicPr>
                  </pic:nvPicPr>
                  <pic:blipFill>
                    <a:blip r:embed="rId27"/>
                    <a:stretch>
                      <a:fillRect/>
                    </a:stretch>
                  </pic:blipFill>
                  <pic:spPr>
                    <a:xfrm>
                      <a:off x="0" y="0"/>
                      <a:ext cx="7483475" cy="10591165"/>
                    </a:xfrm>
                    <a:prstGeom prst="rect">
                      <a:avLst/>
                    </a:prstGeom>
                  </pic:spPr>
                </pic:pic>
              </a:graphicData>
            </a:graphic>
          </wp:anchor>
        </w:drawing>
      </w:r>
    </w:p>
    <w:p>
      <w:pPr>
        <w:jc w:val="right"/>
        <w:rPr>
          <w:rFonts w:hint="default" w:ascii="Times New Roman Regular" w:hAnsi="Times New Roman Regular" w:cs="Times New Roman Regular"/>
          <w:b/>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pPr>
        <w:ind w:left="-284" w:hanging="142"/>
        <w:rPr>
          <w:rFonts w:hint="default" w:ascii="Times New Roman Regular" w:hAnsi="Times New Roman Regular" w:cs="Times New Roman Regular"/>
          <w:color w:val="auto"/>
          <w:sz w:val="28"/>
          <w:szCs w:val="28"/>
        </w:rPr>
      </w:pPr>
      <w:r>
        <w:rPr>
          <w:rFonts w:hint="default" w:ascii="Times New Roman Regular" w:hAnsi="Times New Roman Regular" w:cs="Times New Roman Regular"/>
          <w:color w:val="auto"/>
          <w:sz w:val="28"/>
          <w:szCs w:val="28"/>
          <w:lang w:val="en-GB"/>
        </w:rPr>
        <mc:AlternateContent>
          <mc:Choice Requires="wps">
            <w:drawing>
              <wp:anchor distT="0" distB="0" distL="114300" distR="114300" simplePos="0" relativeHeight="251590656" behindDoc="1" locked="0" layoutInCell="1" allowOverlap="1">
                <wp:simplePos x="0" y="0"/>
                <wp:positionH relativeFrom="column">
                  <wp:posOffset>-368300</wp:posOffset>
                </wp:positionH>
                <wp:positionV relativeFrom="paragraph">
                  <wp:posOffset>-69215</wp:posOffset>
                </wp:positionV>
                <wp:extent cx="6007100" cy="8872220"/>
                <wp:effectExtent l="0" t="0" r="15240" b="18415"/>
                <wp:wrapNone/>
                <wp:docPr id="2" name="Rectangle 2"/>
                <wp:cNvGraphicFramePr/>
                <a:graphic xmlns:a="http://schemas.openxmlformats.org/drawingml/2006/main">
                  <a:graphicData uri="http://schemas.microsoft.com/office/word/2010/wordprocessingShape">
                    <wps:wsp>
                      <wps:cNvSpPr>
                        <a:spLocks noChangeArrowheads="1"/>
                      </wps:cNvSpPr>
                      <wps:spPr bwMode="auto">
                        <a:xfrm>
                          <a:off x="0" y="0"/>
                          <a:ext cx="6007100" cy="8872220"/>
                        </a:xfrm>
                        <a:prstGeom prst="rect">
                          <a:avLst/>
                        </a:prstGeom>
                        <a:solidFill>
                          <a:srgbClr val="FFFFFF"/>
                        </a:solidFill>
                        <a:ln w="9525" cmpd="sng">
                          <a:solidFill>
                            <a:srgbClr val="000000"/>
                          </a:solidFill>
                          <a:miter lim="800000"/>
                        </a:ln>
                      </wps:spPr>
                      <wps:txbx>
                        <w:txbxContent>
                          <w:p>
                            <w:pPr>
                              <w:jc w:val="center"/>
                            </w:pPr>
                          </w:p>
                        </w:txbxContent>
                      </wps:txbx>
                      <wps:bodyPr rot="0" vert="horz" wrap="square" lIns="91440" tIns="45720" rIns="91440" bIns="45720" anchor="t" anchorCtr="0" upright="1">
                        <a:noAutofit/>
                      </wps:bodyPr>
                    </wps:wsp>
                  </a:graphicData>
                </a:graphic>
              </wp:anchor>
            </w:drawing>
          </mc:Choice>
          <mc:Fallback>
            <w:pict>
              <v:rect id="Rectangle 2" o:spid="_x0000_s1026" o:spt="1" style="position:absolute;left:0pt;margin-left:-29pt;margin-top:-5.45pt;height:698.6pt;width:473pt;z-index:-251725824;mso-width-relative:page;mso-height-relative:page;" fillcolor="#FFFFFF" filled="t" stroked="t" coordsize="21600,21600" o:gfxdata="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YDQTX2QAAAAwBAAAPAAAAAAAAAAEAIAAAACIAAABkcnMvZG93bnJl&#10;di54bWxQSwECFAAUAAAACACHTuJAxZpdYDUCAACJBAAADgAAAAAAAAABACAAAAAoAQAAZHJzL2Uy&#10;b0RvYy54bWxQSwUGAAAAAAYABgBZAQAAzwUAAAAA&#10;">
                <v:fill on="t" focussize="0,0"/>
                <v:stroke color="#000000" miterlimit="8" joinstyle="miter"/>
                <v:imagedata o:title=""/>
                <o:lock v:ext="edit" aspectratio="f"/>
                <v:textbox>
                  <w:txbxContent>
                    <w:p>
                      <w:pPr>
                        <w:jc w:val="center"/>
                      </w:pPr>
                    </w:p>
                  </w:txbxContent>
                </v:textbox>
              </v:rect>
            </w:pict>
          </mc:Fallback>
        </mc:AlternateContent>
      </w:r>
      <w:r>
        <w:rPr>
          <w:rFonts w:hint="default" w:ascii="Times New Roman Regular" w:hAnsi="Times New Roman Regular" w:cs="Times New Roman Regular"/>
          <w:color w:val="auto"/>
          <w:sz w:val="28"/>
          <w:szCs w:val="28"/>
        </w:rPr>
        <w:t>主管部门预审意见：</w:t>
      </w:r>
    </w:p>
    <w:p>
      <w:pPr>
        <w:tabs>
          <w:tab w:val="left" w:pos="2086"/>
        </w:tabs>
        <w:rPr>
          <w:rFonts w:hint="default" w:ascii="Times New Roman Regular" w:hAnsi="Times New Roman Regular" w:cs="Times New Roman Regular"/>
          <w:color w:val="auto"/>
          <w:sz w:val="28"/>
          <w:szCs w:val="28"/>
        </w:rPr>
      </w:pPr>
    </w:p>
    <w:p>
      <w:pPr>
        <w:tabs>
          <w:tab w:val="left" w:pos="2086"/>
        </w:tabs>
        <w:rPr>
          <w:rFonts w:hint="default" w:ascii="Times New Roman Regular" w:hAnsi="Times New Roman Regular" w:cs="Times New Roman Regular"/>
          <w:color w:val="auto"/>
        </w:rPr>
      </w:pPr>
    </w:p>
    <w:p>
      <w:pPr>
        <w:rPr>
          <w:rFonts w:hint="default" w:ascii="Times New Roman Regular" w:hAnsi="Times New Roman Regular" w:cs="Times New Roman Regular"/>
          <w:color w:val="auto"/>
        </w:rPr>
      </w:pPr>
    </w:p>
    <w:p>
      <w:pPr>
        <w:bidi w:val="0"/>
        <w:rPr>
          <w:rFonts w:hint="default" w:ascii="Times New Roman Regular" w:hAnsi="Times New Roman Regular" w:cs="Times New Roman Regular"/>
          <w:color w:val="auto"/>
          <w:sz w:val="28"/>
          <w:szCs w:val="28"/>
        </w:rPr>
      </w:pPr>
      <w:r>
        <w:rPr>
          <w:rFonts w:hint="default" w:ascii="Times New Roman Regular" w:hAnsi="Times New Roman Regular" w:cs="Times New Roman Regular"/>
          <w:color w:val="auto"/>
        </w:rPr>
        <w:t xml:space="preserve">                                                                                                         </w:t>
      </w:r>
      <w:bookmarkStart w:id="416" w:name="_Toc66678211_WPSOffice_Level1"/>
      <w:bookmarkStart w:id="417" w:name="_Toc1272758322_WPSOffice_Level2"/>
      <w:r>
        <w:rPr>
          <w:rFonts w:hint="default" w:ascii="Times New Roman Regular" w:hAnsi="Times New Roman Regular" w:cs="Times New Roman Regular"/>
          <w:color w:val="auto"/>
          <w:sz w:val="28"/>
          <w:szCs w:val="28"/>
        </w:rPr>
        <w:t>盖 章</w:t>
      </w:r>
      <w:bookmarkEnd w:id="416"/>
      <w:bookmarkEnd w:id="417"/>
    </w:p>
    <w:p>
      <w:pPr>
        <w:ind w:hanging="426"/>
        <w:rPr>
          <w:rFonts w:hint="default" w:ascii="Times New Roman Regular" w:hAnsi="Times New Roman Regular" w:cs="Times New Roman Regular"/>
          <w:color w:val="auto"/>
          <w:sz w:val="28"/>
          <w:szCs w:val="28"/>
        </w:rPr>
      </w:pPr>
      <w:r>
        <w:rPr>
          <w:rFonts w:hint="default" w:ascii="Times New Roman Regular" w:hAnsi="Times New Roman Regular" w:cs="Times New Roman Regular"/>
          <w:color w:val="auto"/>
          <w:lang w:val="en-GB"/>
        </w:rPr>
        <mc:AlternateContent>
          <mc:Choice Requires="wps">
            <w:drawing>
              <wp:anchor distT="0" distB="0" distL="114300" distR="114300" simplePos="0" relativeHeight="251591680" behindDoc="0" locked="0" layoutInCell="1" allowOverlap="1">
                <wp:simplePos x="0" y="0"/>
                <wp:positionH relativeFrom="column">
                  <wp:posOffset>-368300</wp:posOffset>
                </wp:positionH>
                <wp:positionV relativeFrom="paragraph">
                  <wp:posOffset>345440</wp:posOffset>
                </wp:positionV>
                <wp:extent cx="6019800" cy="1270"/>
                <wp:effectExtent l="8890" t="6985" r="29210" b="29845"/>
                <wp:wrapNone/>
                <wp:docPr id="1" name="Straight Connector 1"/>
                <wp:cNvGraphicFramePr/>
                <a:graphic xmlns:a="http://schemas.openxmlformats.org/drawingml/2006/main">
                  <a:graphicData uri="http://schemas.microsoft.com/office/word/2010/wordprocessingShape">
                    <wps:wsp>
                      <wps:cNvCnPr>
                        <a:cxnSpLocks noChangeShapeType="1"/>
                      </wps:cNvCnPr>
                      <wps:spPr bwMode="auto">
                        <a:xfrm flipV="1">
                          <a:off x="0" y="0"/>
                          <a:ext cx="6019800" cy="1270"/>
                        </a:xfrm>
                        <a:prstGeom prst="line">
                          <a:avLst/>
                        </a:prstGeom>
                        <a:noFill/>
                        <a:ln w="9525" cmpd="sng">
                          <a:solidFill>
                            <a:srgbClr val="000000"/>
                          </a:solidFill>
                          <a:round/>
                        </a:ln>
                      </wps:spPr>
                      <wps:bodyPr/>
                    </wps:wsp>
                  </a:graphicData>
                </a:graphic>
              </wp:anchor>
            </w:drawing>
          </mc:Choice>
          <mc:Fallback>
            <w:pict>
              <v:line id="Straight Connector 1" o:spid="_x0000_s1026" o:spt="20" style="position:absolute;left:0pt;flip:y;margin-left:-29pt;margin-top:27.2pt;height:0.1pt;width:474pt;z-index:251591680;mso-width-relative:page;mso-height-relative:page;" filled="f" stroked="t" coordsize="21600,21600" o:gfxdata="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ljX2MdcAAAAJ&#10;AQAADwAAAAAAAAABACAAAAAiAAAAZHJzL2Rvd25yZXYueG1sUEsBAhQAFAAAAAgAh07iQAEa2nrk&#10;AQAAxQMAAA4AAAAAAAAAAQAgAAAAJgEAAGRycy9lMm9Eb2MueG1sUEsFBgAAAAAGAAYAWQEAAHwF&#10;AAAAAA==&#10;">
                <v:fill on="f" focussize="0,0"/>
                <v:stroke color="#000000" joinstyle="round"/>
                <v:imagedata o:title=""/>
                <o:lock v:ext="edit" aspectratio="f"/>
              </v:line>
            </w:pict>
          </mc:Fallback>
        </mc:AlternateContent>
      </w:r>
      <w:r>
        <w:rPr>
          <w:rFonts w:hint="default" w:ascii="Times New Roman Regular" w:hAnsi="Times New Roman Regular" w:cs="Times New Roman Regular"/>
          <w:color w:val="auto"/>
          <w:sz w:val="28"/>
          <w:szCs w:val="28"/>
        </w:rPr>
        <w:t>经办人：                                                                          年     月     日</w:t>
      </w:r>
    </w:p>
    <w:p>
      <w:pPr>
        <w:bidi w:val="0"/>
        <w:rPr>
          <w:rFonts w:hint="default"/>
          <w:sz w:val="28"/>
          <w:szCs w:val="28"/>
        </w:rPr>
      </w:pPr>
      <w:bookmarkStart w:id="418" w:name="_Toc164510087_WPSOffice_Level2"/>
      <w:bookmarkStart w:id="419" w:name="_Toc1821712190_WPSOffice_Level1"/>
      <w:r>
        <w:rPr>
          <w:rFonts w:hint="default"/>
          <w:sz w:val="28"/>
          <w:szCs w:val="28"/>
        </w:rPr>
        <w:t>县级环境保护行政主管部门审批（审查）意见：</w:t>
      </w:r>
      <w:bookmarkEnd w:id="418"/>
      <w:bookmarkEnd w:id="419"/>
    </w:p>
    <w:p>
      <w:pPr>
        <w:rPr>
          <w:rFonts w:hint="default" w:ascii="Times New Roman Regular" w:hAnsi="Times New Roman Regular" w:cs="Times New Roman Regular"/>
          <w:color w:val="auto"/>
        </w:rPr>
      </w:pPr>
    </w:p>
    <w:p>
      <w:pPr>
        <w:rPr>
          <w:rFonts w:hint="default" w:ascii="Times New Roman Regular" w:hAnsi="Times New Roman Regular" w:cs="Times New Roman Regular"/>
          <w:color w:val="auto"/>
        </w:rPr>
      </w:pPr>
    </w:p>
    <w:p>
      <w:pPr>
        <w:rPr>
          <w:rFonts w:hint="default" w:ascii="Times New Roman Regular" w:hAnsi="Times New Roman Regular" w:cs="Times New Roman Regular"/>
          <w:color w:val="auto"/>
        </w:rPr>
      </w:pPr>
    </w:p>
    <w:p>
      <w:pPr>
        <w:rPr>
          <w:rFonts w:hint="default" w:ascii="Times New Roman Regular" w:hAnsi="Times New Roman Regular" w:cs="Times New Roman Regular"/>
          <w:color w:val="auto"/>
        </w:rPr>
      </w:pPr>
    </w:p>
    <w:p>
      <w:pPr>
        <w:rPr>
          <w:rFonts w:hint="default" w:ascii="Times New Roman Regular" w:hAnsi="Times New Roman Regular" w:cs="Times New Roman Regular"/>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26" w:charSpace="0"/>
        </w:sectPr>
      </w:pPr>
      <w:bookmarkStart w:id="455" w:name="_GoBack"/>
      <w:bookmarkEnd w:id="455"/>
    </w:p>
    <w:p>
      <w:pPr>
        <w:pStyle w:val="110"/>
        <w:widowControl w:val="0"/>
        <w:tabs>
          <w:tab w:val="left" w:pos="1283"/>
        </w:tabs>
        <w:spacing w:before="163" w:beforeLines="50" w:after="163" w:afterLines="50" w:line="360" w:lineRule="auto"/>
        <w:ind w:firstLine="0"/>
        <w:outlineLvl w:val="0"/>
        <w:rPr>
          <w:rFonts w:hint="default" w:ascii="Times New Roman Regular" w:hAnsi="Times New Roman Regular" w:eastAsia="宋体" w:cs="Times New Roman Regular"/>
          <w:b/>
          <w:color w:val="auto"/>
          <w:kern w:val="2"/>
          <w:szCs w:val="28"/>
        </w:rPr>
      </w:pPr>
      <w:bookmarkStart w:id="420" w:name="_Toc842422051_WPSOffice_Level1"/>
      <w:bookmarkStart w:id="421" w:name="_Toc758993901"/>
      <w:r>
        <w:rPr>
          <w:rFonts w:hint="default" w:ascii="Times New Roman Regular" w:hAnsi="Times New Roman Regular" w:eastAsia="宋体" w:cs="Times New Roman Regular"/>
          <w:b/>
          <w:color w:val="auto"/>
          <w:kern w:val="2"/>
          <w:szCs w:val="28"/>
        </w:rPr>
        <w:t xml:space="preserve">附图1 </w:t>
      </w:r>
      <w:r>
        <w:rPr>
          <w:rFonts w:hint="default" w:ascii="Times New Roman Regular" w:hAnsi="Times New Roman Regular" w:eastAsia="宋体" w:cs="Times New Roman Regular"/>
          <w:b/>
          <w:color w:val="auto"/>
          <w:kern w:val="2"/>
          <w:szCs w:val="28"/>
          <w:lang w:eastAsia="zh-Hans"/>
        </w:rPr>
        <w:t>项目周边环境</w:t>
      </w:r>
      <w:r>
        <w:rPr>
          <w:rFonts w:hint="default" w:ascii="Times New Roman Regular" w:hAnsi="Times New Roman Regular" w:eastAsia="宋体" w:cs="Times New Roman Regular"/>
          <w:b/>
          <w:color w:val="auto"/>
          <w:kern w:val="2"/>
          <w:szCs w:val="28"/>
        </w:rPr>
        <w:t>图</w:t>
      </w:r>
      <w:bookmarkEnd w:id="420"/>
      <w:bookmarkEnd w:id="421"/>
    </w:p>
    <w:p>
      <w:pPr>
        <w:jc w:val="center"/>
        <w:rPr>
          <w:rFonts w:hint="default" w:ascii="Times New Roman Regular" w:hAnsi="Times New Roman Regular" w:cs="Times New Roman Regular"/>
          <w:b/>
          <w:color w:val="FF0000"/>
          <w:szCs w:val="28"/>
        </w:rPr>
      </w:pPr>
      <w:r>
        <w:rPr>
          <w:rFonts w:hint="default" w:ascii="Times New Roman Regular" w:hAnsi="Times New Roman Regular" w:cs="Times New Roman Regular"/>
          <w:color w:val="FF0000"/>
        </w:rPr>
        <w:drawing>
          <wp:anchor distT="0" distB="0" distL="114300" distR="114300" simplePos="0" relativeHeight="254262272" behindDoc="1" locked="0" layoutInCell="1" allowOverlap="1">
            <wp:simplePos x="0" y="0"/>
            <wp:positionH relativeFrom="column">
              <wp:posOffset>0</wp:posOffset>
            </wp:positionH>
            <wp:positionV relativeFrom="paragraph">
              <wp:posOffset>80010</wp:posOffset>
            </wp:positionV>
            <wp:extent cx="8857615" cy="4392930"/>
            <wp:effectExtent l="0" t="0" r="6985" b="1270"/>
            <wp:wrapNone/>
            <wp:docPr id="6" name="图片 6" descr="Screenshot 2020-11-05 at 9.41.49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creenshot 2020-11-05 at 9.41.49 PM"/>
                    <pic:cNvPicPr>
                      <a:picLocks noChangeAspect="1"/>
                    </pic:cNvPicPr>
                  </pic:nvPicPr>
                  <pic:blipFill>
                    <a:blip r:embed="rId28"/>
                    <a:stretch>
                      <a:fillRect/>
                    </a:stretch>
                  </pic:blipFill>
                  <pic:spPr>
                    <a:xfrm>
                      <a:off x="0" y="0"/>
                      <a:ext cx="8857615" cy="4392930"/>
                    </a:xfrm>
                    <a:prstGeom prst="rect">
                      <a:avLst/>
                    </a:prstGeom>
                  </pic:spPr>
                </pic:pic>
              </a:graphicData>
            </a:graphic>
          </wp:anchor>
        </w:drawing>
      </w:r>
      <w:r>
        <w:rPr>
          <w:rFonts w:hint="default" w:ascii="Times New Roman Regular" w:hAnsi="Times New Roman Regular" w:cs="Times New Roman Regular"/>
          <w:color w:val="FF0000"/>
        </w:rPr>
        <mc:AlternateContent>
          <mc:Choice Requires="wps">
            <w:drawing>
              <wp:anchor distT="0" distB="0" distL="114300" distR="114300" simplePos="0" relativeHeight="252152832" behindDoc="0" locked="0" layoutInCell="1" allowOverlap="1">
                <wp:simplePos x="0" y="0"/>
                <wp:positionH relativeFrom="column">
                  <wp:posOffset>4291330</wp:posOffset>
                </wp:positionH>
                <wp:positionV relativeFrom="paragraph">
                  <wp:posOffset>3027680</wp:posOffset>
                </wp:positionV>
                <wp:extent cx="524510" cy="39116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524510" cy="391160"/>
                        </a:xfrm>
                        <a:prstGeom prst="rect">
                          <a:avLst/>
                        </a:prstGeom>
                        <a:solidFill>
                          <a:srgbClr val="000000">
                            <a:alpha val="0"/>
                          </a:srgbClr>
                        </a:solidFill>
                        <a:ln w="9525" cap="flat" cmpd="sng">
                          <a:solidFill>
                            <a:srgbClr val="00B0F0">
                              <a:alpha val="0"/>
                            </a:srgbClr>
                          </a:solidFill>
                          <a:prstDash val="solid"/>
                          <a:miter/>
                          <a:headEnd type="none" w="med" len="med"/>
                          <a:tailEnd type="none" w="med" len="med"/>
                        </a:ln>
                      </wps:spPr>
                      <wps:txbx>
                        <w:txbxContent>
                          <w:p>
                            <w:pPr>
                              <w:rPr>
                                <w:b/>
                                <w:bCs/>
                                <w:color w:val="00B0F0"/>
                                <w:highlight w:val="cyan"/>
                              </w:rPr>
                            </w:pPr>
                          </w:p>
                        </w:txbxContent>
                      </wps:txbx>
                      <wps:bodyPr upright="1"/>
                    </wps:wsp>
                  </a:graphicData>
                </a:graphic>
              </wp:anchor>
            </w:drawing>
          </mc:Choice>
          <mc:Fallback>
            <w:pict>
              <v:shape id="_x0000_s1026" o:spid="_x0000_s1026" o:spt="202" type="#_x0000_t202" style="position:absolute;left:0pt;margin-left:337.9pt;margin-top:238.4pt;height:30.8pt;width:41.3pt;z-index:252152832;mso-width-relative:page;mso-height-relative:page;" fillcolor="#000000" filled="t" stroked="t" coordsize="21600,21600" o:gfxdata="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fw9332QAAAAsBAAAP&#10;AAAAAAAAAAEAIAAAACIAAABkcnMvZG93bnJldi54bWxQSwECFAAUAAAACACHTuJAzLMrdxcCAABx&#10;BAAADgAAAAAAAAABACAAAAAoAQAAZHJzL2Uyb0RvYy54bWxQSwUGAAAAAAYABgBZAQAAsQUAAAAA&#10;">
                <v:fill on="t" opacity="0f" focussize="0,0"/>
                <v:stroke color="#00B0F0" opacity="0f" joinstyle="miter"/>
                <v:imagedata o:title=""/>
                <o:lock v:ext="edit" aspectratio="f"/>
                <v:textbox>
                  <w:txbxContent>
                    <w:p>
                      <w:pPr>
                        <w:rPr>
                          <w:b/>
                          <w:bCs/>
                          <w:color w:val="00B0F0"/>
                          <w:highlight w:val="cyan"/>
                        </w:rPr>
                      </w:pPr>
                    </w:p>
                  </w:txbxContent>
                </v:textbox>
              </v:shape>
            </w:pict>
          </mc:Fallback>
        </mc:AlternateContent>
      </w:r>
    </w:p>
    <w:p>
      <w:pPr>
        <w:tabs>
          <w:tab w:val="left" w:pos="1952"/>
        </w:tabs>
        <w:jc w:val="left"/>
        <w:rPr>
          <w:rFonts w:hint="default" w:ascii="Times New Roman Regular" w:hAnsi="Times New Roman Regular" w:cs="Times New Roman Regular"/>
          <w:color w:val="FF0000"/>
        </w:rPr>
        <w:sectPr>
          <w:pgSz w:w="16838" w:h="11906" w:orient="landscape"/>
          <w:pgMar w:top="1797" w:right="1440" w:bottom="1462"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r>
        <w:rPr>
          <w:rFonts w:hint="default" w:ascii="Times New Roman Regular" w:hAnsi="Times New Roman Regular" w:cs="Times New Roman Regular"/>
          <w:color w:val="FF0000"/>
        </w:rPr>
        <mc:AlternateContent>
          <mc:Choice Requires="wps">
            <w:drawing>
              <wp:anchor distT="0" distB="0" distL="114300" distR="114300" simplePos="0" relativeHeight="254770176" behindDoc="0" locked="0" layoutInCell="1" allowOverlap="1">
                <wp:simplePos x="0" y="0"/>
                <wp:positionH relativeFrom="column">
                  <wp:posOffset>4425950</wp:posOffset>
                </wp:positionH>
                <wp:positionV relativeFrom="paragraph">
                  <wp:posOffset>2179320</wp:posOffset>
                </wp:positionV>
                <wp:extent cx="2517775" cy="577215"/>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2517775" cy="577215"/>
                        </a:xfrm>
                        <a:prstGeom prst="rect">
                          <a:avLst/>
                        </a:prstGeom>
                        <a:noFill/>
                        <a:ln w="9525" cap="flat" cmpd="sng">
                          <a:solidFill>
                            <a:srgbClr val="00B0F0">
                              <a:alpha val="0"/>
                            </a:srgbClr>
                          </a:solidFill>
                          <a:prstDash val="solid"/>
                          <a:miter/>
                          <a:headEnd type="none" w="med" len="med"/>
                          <a:tailEnd type="none" w="med" len="med"/>
                        </a:ln>
                      </wps:spPr>
                      <wps:txbx>
                        <w:txbxContent>
                          <w:p>
                            <w:pPr>
                              <w:spacing w:line="240" w:lineRule="auto"/>
                              <w:rPr>
                                <w:rFonts w:hint="eastAsia"/>
                                <w:b/>
                                <w:bCs/>
                                <w:color w:val="000000" w:themeColor="text1"/>
                                <w:lang w:val="en-US" w:eastAsia="zh-Hans"/>
                                <w14:textFill>
                                  <w14:solidFill>
                                    <w14:schemeClr w14:val="tx1"/>
                                  </w14:solidFill>
                                </w14:textFill>
                              </w:rPr>
                            </w:pPr>
                            <w:r>
                              <w:rPr>
                                <w:rFonts w:hint="eastAsia"/>
                                <w:b/>
                                <w:bCs/>
                                <w:color w:val="000000" w:themeColor="text1"/>
                                <w:lang w:val="en-US" w:eastAsia="zh-Hans"/>
                                <w14:textFill>
                                  <w14:solidFill>
                                    <w14:schemeClr w14:val="tx1"/>
                                  </w14:solidFill>
                                </w14:textFill>
                              </w:rPr>
                              <w:t>福州泰鸿机械</w:t>
                            </w:r>
                          </w:p>
                          <w:p>
                            <w:pPr>
                              <w:spacing w:line="240" w:lineRule="auto"/>
                              <w:rPr>
                                <w:rFonts w:hint="eastAsia" w:eastAsia="宋体"/>
                                <w:b/>
                                <w:bCs/>
                                <w:color w:val="000000" w:themeColor="text1"/>
                                <w:lang w:val="en-US" w:eastAsia="zh-Hans"/>
                                <w14:textFill>
                                  <w14:solidFill>
                                    <w14:schemeClr w14:val="tx1"/>
                                  </w14:solidFill>
                                </w14:textFill>
                              </w:rPr>
                            </w:pPr>
                            <w:r>
                              <w:rPr>
                                <w:rFonts w:hint="eastAsia"/>
                                <w:b/>
                                <w:bCs/>
                                <w:color w:val="000000" w:themeColor="text1"/>
                                <w:lang w:val="en-US" w:eastAsia="zh-Hans"/>
                                <w14:textFill>
                                  <w14:solidFill>
                                    <w14:schemeClr w14:val="tx1"/>
                                  </w14:solidFill>
                                </w14:textFill>
                              </w:rPr>
                              <w:t>有限公司</w:t>
                            </w:r>
                          </w:p>
                        </w:txbxContent>
                      </wps:txbx>
                      <wps:bodyPr upright="1"/>
                    </wps:wsp>
                  </a:graphicData>
                </a:graphic>
              </wp:anchor>
            </w:drawing>
          </mc:Choice>
          <mc:Fallback>
            <w:pict>
              <v:shape id="_x0000_s1026" o:spid="_x0000_s1026" o:spt="202" type="#_x0000_t202" style="position:absolute;left:0pt;margin-left:348.5pt;margin-top:171.6pt;height:45.45pt;width:198.25pt;z-index:254770176;mso-width-relative:page;mso-height-relative:page;" filled="f" stroked="t" coordsize="21600,21600" o:gfxdata="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T3zNp3AAAAAwBAAAPAAAA&#10;AAAAAAEAIAAAACIAAABkcnMvZG93bnJldi54bWxQSwECFAAUAAAACACHTuJAi+FduhECAAAsBAAA&#10;DgAAAAAAAAABACAAAAArAQAAZHJzL2Uyb0RvYy54bWxQSwUGAAAAAAYABgBZAQAArgUAAAAA&#10;">
                <v:fill on="f" focussize="0,0"/>
                <v:stroke color="#00B0F0" opacity="0f" joinstyle="miter"/>
                <v:imagedata o:title=""/>
                <o:lock v:ext="edit" aspectratio="f"/>
                <v:textbox>
                  <w:txbxContent>
                    <w:p>
                      <w:pPr>
                        <w:spacing w:line="240" w:lineRule="auto"/>
                        <w:rPr>
                          <w:rFonts w:hint="eastAsia"/>
                          <w:b/>
                          <w:bCs/>
                          <w:color w:val="000000" w:themeColor="text1"/>
                          <w:lang w:val="en-US" w:eastAsia="zh-Hans"/>
                          <w14:textFill>
                            <w14:solidFill>
                              <w14:schemeClr w14:val="tx1"/>
                            </w14:solidFill>
                          </w14:textFill>
                        </w:rPr>
                      </w:pPr>
                      <w:r>
                        <w:rPr>
                          <w:rFonts w:hint="eastAsia"/>
                          <w:b/>
                          <w:bCs/>
                          <w:color w:val="000000" w:themeColor="text1"/>
                          <w:lang w:val="en-US" w:eastAsia="zh-Hans"/>
                          <w14:textFill>
                            <w14:solidFill>
                              <w14:schemeClr w14:val="tx1"/>
                            </w14:solidFill>
                          </w14:textFill>
                        </w:rPr>
                        <w:t>福州泰鸿机械</w:t>
                      </w:r>
                    </w:p>
                    <w:p>
                      <w:pPr>
                        <w:spacing w:line="240" w:lineRule="auto"/>
                        <w:rPr>
                          <w:rFonts w:hint="eastAsia" w:eastAsia="宋体"/>
                          <w:b/>
                          <w:bCs/>
                          <w:color w:val="000000" w:themeColor="text1"/>
                          <w:lang w:val="en-US" w:eastAsia="zh-Hans"/>
                          <w14:textFill>
                            <w14:solidFill>
                              <w14:schemeClr w14:val="tx1"/>
                            </w14:solidFill>
                          </w14:textFill>
                        </w:rPr>
                      </w:pPr>
                      <w:r>
                        <w:rPr>
                          <w:rFonts w:hint="eastAsia"/>
                          <w:b/>
                          <w:bCs/>
                          <w:color w:val="000000" w:themeColor="text1"/>
                          <w:lang w:val="en-US" w:eastAsia="zh-Hans"/>
                          <w14:textFill>
                            <w14:solidFill>
                              <w14:schemeClr w14:val="tx1"/>
                            </w14:solidFill>
                          </w14:textFill>
                        </w:rPr>
                        <w:t>有限公司</w:t>
                      </w:r>
                    </w:p>
                  </w:txbxContent>
                </v:textbox>
              </v:shap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4767104" behindDoc="0" locked="0" layoutInCell="1" allowOverlap="1">
                <wp:simplePos x="0" y="0"/>
                <wp:positionH relativeFrom="column">
                  <wp:posOffset>2794635</wp:posOffset>
                </wp:positionH>
                <wp:positionV relativeFrom="paragraph">
                  <wp:posOffset>2814955</wp:posOffset>
                </wp:positionV>
                <wp:extent cx="2517775" cy="577215"/>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2517775" cy="577215"/>
                        </a:xfrm>
                        <a:prstGeom prst="rect">
                          <a:avLst/>
                        </a:prstGeom>
                        <a:noFill/>
                        <a:ln w="9525" cap="flat" cmpd="sng">
                          <a:solidFill>
                            <a:srgbClr val="00B0F0">
                              <a:alpha val="0"/>
                            </a:srgbClr>
                          </a:solidFill>
                          <a:prstDash val="solid"/>
                          <a:miter/>
                          <a:headEnd type="none" w="med" len="med"/>
                          <a:tailEnd type="none" w="med" len="med"/>
                        </a:ln>
                      </wps:spPr>
                      <wps:txbx>
                        <w:txbxContent>
                          <w:p>
                            <w:pPr>
                              <w:spacing w:line="240" w:lineRule="auto"/>
                              <w:rPr>
                                <w:rFonts w:hint="eastAsia" w:ascii="Times New Roman" w:hAnsi="Times New Roman" w:cs="Times New Roman"/>
                                <w:b/>
                                <w:bCs/>
                                <w:color w:val="auto"/>
                                <w:lang w:val="en-US" w:eastAsia="zh-Hans"/>
                              </w:rPr>
                            </w:pPr>
                            <w:r>
                              <w:rPr>
                                <w:rFonts w:hint="eastAsia" w:ascii="Times New Roman" w:hAnsi="Times New Roman" w:cs="Times New Roman"/>
                                <w:b/>
                                <w:bCs/>
                                <w:color w:val="auto"/>
                                <w:lang w:val="en-US" w:eastAsia="zh-Hans"/>
                              </w:rPr>
                              <w:t>正道汽车配件</w:t>
                            </w:r>
                          </w:p>
                          <w:p>
                            <w:pPr>
                              <w:spacing w:line="240" w:lineRule="auto"/>
                              <w:rPr>
                                <w:rFonts w:hint="eastAsia"/>
                                <w:b/>
                                <w:bCs/>
                                <w:lang w:val="en-US" w:eastAsia="zh-Hans"/>
                              </w:rPr>
                            </w:pPr>
                            <w:r>
                              <w:rPr>
                                <w:rFonts w:hint="default" w:ascii="Times New Roman" w:hAnsi="Times New Roman" w:cs="Times New Roman"/>
                                <w:b/>
                                <w:bCs/>
                                <w:color w:val="auto"/>
                                <w:lang w:eastAsia="zh-Hans"/>
                              </w:rPr>
                              <w:t>（</w:t>
                            </w:r>
                            <w:r>
                              <w:rPr>
                                <w:rFonts w:hint="eastAsia" w:ascii="Times New Roman" w:hAnsi="Times New Roman" w:cs="Times New Roman"/>
                                <w:b/>
                                <w:bCs/>
                                <w:color w:val="auto"/>
                                <w:lang w:val="en-US" w:eastAsia="zh-Hans"/>
                              </w:rPr>
                              <w:t>福州</w:t>
                            </w:r>
                            <w:r>
                              <w:rPr>
                                <w:rFonts w:hint="default" w:ascii="Times New Roman" w:hAnsi="Times New Roman" w:cs="Times New Roman"/>
                                <w:b/>
                                <w:bCs/>
                                <w:color w:val="auto"/>
                                <w:lang w:eastAsia="zh-Hans"/>
                              </w:rPr>
                              <w:t>）</w:t>
                            </w:r>
                            <w:r>
                              <w:rPr>
                                <w:rFonts w:hint="eastAsia" w:ascii="Times New Roman" w:hAnsi="Times New Roman" w:cs="Times New Roman"/>
                                <w:b/>
                                <w:bCs/>
                                <w:color w:val="auto"/>
                                <w:lang w:val="en-US" w:eastAsia="zh-Hans"/>
                              </w:rPr>
                              <w:t>有限公司</w:t>
                            </w:r>
                          </w:p>
                        </w:txbxContent>
                      </wps:txbx>
                      <wps:bodyPr upright="1"/>
                    </wps:wsp>
                  </a:graphicData>
                </a:graphic>
              </wp:anchor>
            </w:drawing>
          </mc:Choice>
          <mc:Fallback>
            <w:pict>
              <v:shape id="_x0000_s1026" o:spid="_x0000_s1026" o:spt="202" type="#_x0000_t202" style="position:absolute;left:0pt;margin-left:220.05pt;margin-top:221.65pt;height:45.45pt;width:198.25pt;z-index:254767104;mso-width-relative:page;mso-height-relative:page;" filled="f" stroked="t" coordsize="21600,21600" o:gfxdata="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HVkpCtsAAAALAQAADwAA&#10;AAAAAAABACAAAAAiAAAAZHJzL2Rvd25yZXYueG1sUEsBAhQAFAAAAAgAh07iQBdQRZMTAgAALAQA&#10;AA4AAAAAAAAAAQAgAAAAKgEAAGRycy9lMm9Eb2MueG1sUEsFBgAAAAAGAAYAWQEAAK8FAAAAAA==&#10;">
                <v:fill on="f" focussize="0,0"/>
                <v:stroke color="#00B0F0" opacity="0f" joinstyle="miter"/>
                <v:imagedata o:title=""/>
                <o:lock v:ext="edit" aspectratio="f"/>
                <v:textbox>
                  <w:txbxContent>
                    <w:p>
                      <w:pPr>
                        <w:spacing w:line="240" w:lineRule="auto"/>
                        <w:rPr>
                          <w:rFonts w:hint="eastAsia" w:ascii="Times New Roman" w:hAnsi="Times New Roman" w:cs="Times New Roman"/>
                          <w:b/>
                          <w:bCs/>
                          <w:color w:val="auto"/>
                          <w:lang w:val="en-US" w:eastAsia="zh-Hans"/>
                        </w:rPr>
                      </w:pPr>
                      <w:r>
                        <w:rPr>
                          <w:rFonts w:hint="eastAsia" w:ascii="Times New Roman" w:hAnsi="Times New Roman" w:cs="Times New Roman"/>
                          <w:b/>
                          <w:bCs/>
                          <w:color w:val="auto"/>
                          <w:lang w:val="en-US" w:eastAsia="zh-Hans"/>
                        </w:rPr>
                        <w:t>正道汽车配件</w:t>
                      </w:r>
                    </w:p>
                    <w:p>
                      <w:pPr>
                        <w:spacing w:line="240" w:lineRule="auto"/>
                        <w:rPr>
                          <w:rFonts w:hint="eastAsia"/>
                          <w:b/>
                          <w:bCs/>
                          <w:lang w:val="en-US" w:eastAsia="zh-Hans"/>
                        </w:rPr>
                      </w:pPr>
                      <w:r>
                        <w:rPr>
                          <w:rFonts w:hint="default" w:ascii="Times New Roman" w:hAnsi="Times New Roman" w:cs="Times New Roman"/>
                          <w:b/>
                          <w:bCs/>
                          <w:color w:val="auto"/>
                          <w:lang w:eastAsia="zh-Hans"/>
                        </w:rPr>
                        <w:t>（</w:t>
                      </w:r>
                      <w:r>
                        <w:rPr>
                          <w:rFonts w:hint="eastAsia" w:ascii="Times New Roman" w:hAnsi="Times New Roman" w:cs="Times New Roman"/>
                          <w:b/>
                          <w:bCs/>
                          <w:color w:val="auto"/>
                          <w:lang w:val="en-US" w:eastAsia="zh-Hans"/>
                        </w:rPr>
                        <w:t>福州</w:t>
                      </w:r>
                      <w:r>
                        <w:rPr>
                          <w:rFonts w:hint="default" w:ascii="Times New Roman" w:hAnsi="Times New Roman" w:cs="Times New Roman"/>
                          <w:b/>
                          <w:bCs/>
                          <w:color w:val="auto"/>
                          <w:lang w:eastAsia="zh-Hans"/>
                        </w:rPr>
                        <w:t>）</w:t>
                      </w:r>
                      <w:r>
                        <w:rPr>
                          <w:rFonts w:hint="eastAsia" w:ascii="Times New Roman" w:hAnsi="Times New Roman" w:cs="Times New Roman"/>
                          <w:b/>
                          <w:bCs/>
                          <w:color w:val="auto"/>
                          <w:lang w:val="en-US" w:eastAsia="zh-Hans"/>
                        </w:rPr>
                        <w:t>有限公司</w:t>
                      </w:r>
                    </w:p>
                  </w:txbxContent>
                </v:textbox>
              </v:shap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4769152" behindDoc="0" locked="0" layoutInCell="1" allowOverlap="1">
                <wp:simplePos x="0" y="0"/>
                <wp:positionH relativeFrom="column">
                  <wp:posOffset>2557780</wp:posOffset>
                </wp:positionH>
                <wp:positionV relativeFrom="paragraph">
                  <wp:posOffset>692785</wp:posOffset>
                </wp:positionV>
                <wp:extent cx="2517775" cy="577215"/>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2517775" cy="577215"/>
                        </a:xfrm>
                        <a:prstGeom prst="rect">
                          <a:avLst/>
                        </a:prstGeom>
                        <a:noFill/>
                        <a:ln w="9525" cap="flat" cmpd="sng">
                          <a:solidFill>
                            <a:srgbClr val="00B0F0">
                              <a:alpha val="0"/>
                            </a:srgbClr>
                          </a:solidFill>
                          <a:prstDash val="solid"/>
                          <a:miter/>
                          <a:headEnd type="none" w="med" len="med"/>
                          <a:tailEnd type="none" w="med" len="med"/>
                        </a:ln>
                      </wps:spPr>
                      <wps:txbx>
                        <w:txbxContent>
                          <w:p>
                            <w:pPr>
                              <w:keepNext w:val="0"/>
                              <w:keepLines w:val="0"/>
                              <w:widowControl/>
                              <w:suppressLineNumbers w:val="0"/>
                              <w:jc w:val="left"/>
                              <w:rPr>
                                <w:rFonts w:hint="eastAsia" w:eastAsia="宋体"/>
                                <w:b/>
                                <w:bCs/>
                                <w:color w:val="000000" w:themeColor="text1"/>
                                <w:lang w:val="en-US" w:eastAsia="zh-Hans"/>
                                <w14:textFill>
                                  <w14:solidFill>
                                    <w14:schemeClr w14:val="tx1"/>
                                  </w14:solidFill>
                                </w14:textFill>
                              </w:rPr>
                            </w:pPr>
                            <w:r>
                              <w:rPr>
                                <w:rFonts w:hint="eastAsia"/>
                                <w:b/>
                                <w:bCs/>
                                <w:color w:val="000000" w:themeColor="text1"/>
                                <w:lang w:val="en-US" w:eastAsia="zh-Hans"/>
                                <w14:textFill>
                                  <w14:solidFill>
                                    <w14:schemeClr w14:val="tx1"/>
                                  </w14:solidFill>
                                </w14:textFill>
                              </w:rPr>
                              <w:t>福州小</w:t>
                            </w:r>
                            <w:r>
                              <w:rPr>
                                <w:rFonts w:hint="eastAsia"/>
                                <w:b/>
                                <w:bCs/>
                                <w:color w:val="000000" w:themeColor="text1"/>
                                <w:lang w:val="en-US" w:eastAsia="zh-CN"/>
                                <w14:textFill>
                                  <w14:solidFill>
                                    <w14:schemeClr w14:val="tx1"/>
                                  </w14:solidFill>
                                </w14:textFill>
                              </w:rPr>
                              <w:t>糸</w:t>
                            </w:r>
                            <w:r>
                              <w:rPr>
                                <w:rFonts w:hint="eastAsia"/>
                                <w:b/>
                                <w:bCs/>
                                <w:color w:val="000000" w:themeColor="text1"/>
                                <w:lang w:val="en-US" w:eastAsia="zh-Hans"/>
                                <w14:textFill>
                                  <w14:solidFill>
                                    <w14:schemeClr w14:val="tx1"/>
                                  </w14:solidFill>
                                </w14:textFill>
                              </w:rPr>
                              <w:t>大亿车灯有限公司</w:t>
                            </w:r>
                          </w:p>
                        </w:txbxContent>
                      </wps:txbx>
                      <wps:bodyPr upright="1"/>
                    </wps:wsp>
                  </a:graphicData>
                </a:graphic>
              </wp:anchor>
            </w:drawing>
          </mc:Choice>
          <mc:Fallback>
            <w:pict>
              <v:shape id="_x0000_s1026" o:spid="_x0000_s1026" o:spt="202" type="#_x0000_t202" style="position:absolute;left:0pt;margin-left:201.4pt;margin-top:54.55pt;height:45.45pt;width:198.25pt;z-index:254769152;mso-width-relative:page;mso-height-relative:page;" filled="f" stroked="t" coordsize="21600,21600" o:gfxdata="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zxAkraAAAACwEAAA8AAAAA&#10;AAAAAQAgAAAAIgAAAGRycy9kb3ducmV2LnhtbFBLAQIUABQAAAAIAIdO4kDosSviEgIAACwEAAAO&#10;AAAAAAAAAAEAIAAAACkBAABkcnMvZTJvRG9jLnhtbFBLBQYAAAAABgAGAFkBAACtBQAAAAA=&#10;">
                <v:fill on="f" focussize="0,0"/>
                <v:stroke color="#00B0F0" opacity="0f" joinstyle="miter"/>
                <v:imagedata o:title=""/>
                <o:lock v:ext="edit" aspectratio="f"/>
                <v:textbox>
                  <w:txbxContent>
                    <w:p>
                      <w:pPr>
                        <w:keepNext w:val="0"/>
                        <w:keepLines w:val="0"/>
                        <w:widowControl/>
                        <w:suppressLineNumbers w:val="0"/>
                        <w:jc w:val="left"/>
                        <w:rPr>
                          <w:rFonts w:hint="eastAsia" w:eastAsia="宋体"/>
                          <w:b/>
                          <w:bCs/>
                          <w:color w:val="000000" w:themeColor="text1"/>
                          <w:lang w:val="en-US" w:eastAsia="zh-Hans"/>
                          <w14:textFill>
                            <w14:solidFill>
                              <w14:schemeClr w14:val="tx1"/>
                            </w14:solidFill>
                          </w14:textFill>
                        </w:rPr>
                      </w:pPr>
                      <w:r>
                        <w:rPr>
                          <w:rFonts w:hint="eastAsia"/>
                          <w:b/>
                          <w:bCs/>
                          <w:color w:val="000000" w:themeColor="text1"/>
                          <w:lang w:val="en-US" w:eastAsia="zh-Hans"/>
                          <w14:textFill>
                            <w14:solidFill>
                              <w14:schemeClr w14:val="tx1"/>
                            </w14:solidFill>
                          </w14:textFill>
                        </w:rPr>
                        <w:t>福州小</w:t>
                      </w:r>
                      <w:r>
                        <w:rPr>
                          <w:rFonts w:hint="eastAsia"/>
                          <w:b/>
                          <w:bCs/>
                          <w:color w:val="000000" w:themeColor="text1"/>
                          <w:lang w:val="en-US" w:eastAsia="zh-CN"/>
                          <w14:textFill>
                            <w14:solidFill>
                              <w14:schemeClr w14:val="tx1"/>
                            </w14:solidFill>
                          </w14:textFill>
                        </w:rPr>
                        <w:t>糸</w:t>
                      </w:r>
                      <w:r>
                        <w:rPr>
                          <w:rFonts w:hint="eastAsia"/>
                          <w:b/>
                          <w:bCs/>
                          <w:color w:val="000000" w:themeColor="text1"/>
                          <w:lang w:val="en-US" w:eastAsia="zh-Hans"/>
                          <w14:textFill>
                            <w14:solidFill>
                              <w14:schemeClr w14:val="tx1"/>
                            </w14:solidFill>
                          </w14:textFill>
                        </w:rPr>
                        <w:t>大亿车灯有限公司</w:t>
                      </w:r>
                    </w:p>
                  </w:txbxContent>
                </v:textbox>
              </v:shap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4768128" behindDoc="0" locked="0" layoutInCell="1" allowOverlap="1">
                <wp:simplePos x="0" y="0"/>
                <wp:positionH relativeFrom="column">
                  <wp:posOffset>4422140</wp:posOffset>
                </wp:positionH>
                <wp:positionV relativeFrom="paragraph">
                  <wp:posOffset>1072515</wp:posOffset>
                </wp:positionV>
                <wp:extent cx="2517775" cy="577215"/>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2517775" cy="577215"/>
                        </a:xfrm>
                        <a:prstGeom prst="rect">
                          <a:avLst/>
                        </a:prstGeom>
                        <a:noFill/>
                        <a:ln w="9525" cap="flat" cmpd="sng">
                          <a:solidFill>
                            <a:srgbClr val="00B0F0">
                              <a:alpha val="0"/>
                            </a:srgbClr>
                          </a:solidFill>
                          <a:prstDash val="solid"/>
                          <a:miter/>
                          <a:headEnd type="none" w="med" len="med"/>
                          <a:tailEnd type="none" w="med" len="med"/>
                        </a:ln>
                      </wps:spPr>
                      <wps:txbx>
                        <w:txbxContent>
                          <w:p>
                            <w:pPr>
                              <w:spacing w:line="240" w:lineRule="auto"/>
                              <w:rPr>
                                <w:rFonts w:hint="eastAsia" w:eastAsia="宋体"/>
                                <w:b/>
                                <w:bCs/>
                                <w:color w:val="000000" w:themeColor="text1"/>
                                <w:lang w:val="en-US" w:eastAsia="zh-Hans"/>
                                <w14:textFill>
                                  <w14:solidFill>
                                    <w14:schemeClr w14:val="tx1"/>
                                  </w14:solidFill>
                                </w14:textFill>
                              </w:rPr>
                            </w:pPr>
                            <w:r>
                              <w:rPr>
                                <w:rFonts w:hint="eastAsia"/>
                                <w:b/>
                                <w:bCs/>
                                <w:color w:val="000000" w:themeColor="text1"/>
                                <w:lang w:val="en-US" w:eastAsia="zh-Hans"/>
                                <w14:textFill>
                                  <w14:solidFill>
                                    <w14:schemeClr w14:val="tx1"/>
                                  </w14:solidFill>
                                </w14:textFill>
                              </w:rPr>
                              <w:t>福州新易制模有限公司</w:t>
                            </w:r>
                          </w:p>
                        </w:txbxContent>
                      </wps:txbx>
                      <wps:bodyPr upright="1"/>
                    </wps:wsp>
                  </a:graphicData>
                </a:graphic>
              </wp:anchor>
            </w:drawing>
          </mc:Choice>
          <mc:Fallback>
            <w:pict>
              <v:shape id="_x0000_s1026" o:spid="_x0000_s1026" o:spt="202" type="#_x0000_t202" style="position:absolute;left:0pt;margin-left:348.2pt;margin-top:84.45pt;height:45.45pt;width:198.25pt;z-index:254768128;mso-width-relative:page;mso-height-relative:page;" filled="f" stroked="t" coordsize="21600,21600" o:gfxdata="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2a3ZENwAAAAMAQAADwAA&#10;AAAAAAABACAAAAAiAAAAZHJzL2Rvd25yZXYueG1sUEsBAhQAFAAAAAgAh07iQDdCJDcSAgAALAQA&#10;AA4AAAAAAAAAAQAgAAAAKwEAAGRycy9lMm9Eb2MueG1sUEsFBgAAAAAGAAYAWQEAAK8FAAAAAA==&#10;">
                <v:fill on="f" focussize="0,0"/>
                <v:stroke color="#00B0F0" opacity="0f" joinstyle="miter"/>
                <v:imagedata o:title=""/>
                <o:lock v:ext="edit" aspectratio="f"/>
                <v:textbox>
                  <w:txbxContent>
                    <w:p>
                      <w:pPr>
                        <w:spacing w:line="240" w:lineRule="auto"/>
                        <w:rPr>
                          <w:rFonts w:hint="eastAsia" w:eastAsia="宋体"/>
                          <w:b/>
                          <w:bCs/>
                          <w:color w:val="000000" w:themeColor="text1"/>
                          <w:lang w:val="en-US" w:eastAsia="zh-Hans"/>
                          <w14:textFill>
                            <w14:solidFill>
                              <w14:schemeClr w14:val="tx1"/>
                            </w14:solidFill>
                          </w14:textFill>
                        </w:rPr>
                      </w:pPr>
                      <w:r>
                        <w:rPr>
                          <w:rFonts w:hint="eastAsia"/>
                          <w:b/>
                          <w:bCs/>
                          <w:color w:val="000000" w:themeColor="text1"/>
                          <w:lang w:val="en-US" w:eastAsia="zh-Hans"/>
                          <w14:textFill>
                            <w14:solidFill>
                              <w14:schemeClr w14:val="tx1"/>
                            </w14:solidFill>
                          </w14:textFill>
                        </w:rPr>
                        <w:t>福州新易制模有限公司</w:t>
                      </w:r>
                    </w:p>
                  </w:txbxContent>
                </v:textbox>
              </v:shap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2155904" behindDoc="0" locked="0" layoutInCell="1" allowOverlap="1">
                <wp:simplePos x="0" y="0"/>
                <wp:positionH relativeFrom="column">
                  <wp:posOffset>6181725</wp:posOffset>
                </wp:positionH>
                <wp:positionV relativeFrom="paragraph">
                  <wp:posOffset>1691640</wp:posOffset>
                </wp:positionV>
                <wp:extent cx="2517775" cy="577215"/>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2517775" cy="577215"/>
                        </a:xfrm>
                        <a:prstGeom prst="rect">
                          <a:avLst/>
                        </a:prstGeom>
                        <a:noFill/>
                        <a:ln w="9525" cap="flat" cmpd="sng">
                          <a:solidFill>
                            <a:srgbClr val="00B0F0">
                              <a:alpha val="0"/>
                            </a:srgbClr>
                          </a:solidFill>
                          <a:prstDash val="solid"/>
                          <a:miter/>
                          <a:headEnd type="none" w="med" len="med"/>
                          <a:tailEnd type="none" w="med" len="med"/>
                        </a:ln>
                      </wps:spPr>
                      <wps:txbx>
                        <w:txbxContent>
                          <w:p>
                            <w:pPr>
                              <w:spacing w:line="240" w:lineRule="auto"/>
                              <w:rPr>
                                <w:rFonts w:hint="eastAsia"/>
                                <w:b/>
                                <w:bCs/>
                                <w:color w:val="000000" w:themeColor="text1"/>
                                <w:lang w:val="en-US" w:eastAsia="zh-Hans"/>
                                <w14:textFill>
                                  <w14:solidFill>
                                    <w14:schemeClr w14:val="tx1"/>
                                  </w14:solidFill>
                                </w14:textFill>
                              </w:rPr>
                            </w:pPr>
                            <w:r>
                              <w:rPr>
                                <w:rFonts w:hint="eastAsia"/>
                                <w:b/>
                                <w:bCs/>
                                <w:color w:val="000000" w:themeColor="text1"/>
                                <w:lang w:val="en-US" w:eastAsia="zh-Hans"/>
                                <w14:textFill>
                                  <w14:solidFill>
                                    <w14:schemeClr w14:val="tx1"/>
                                  </w14:solidFill>
                                </w14:textFill>
                              </w:rPr>
                              <w:t>福建东碧汽车零件</w:t>
                            </w:r>
                          </w:p>
                          <w:p>
                            <w:pPr>
                              <w:spacing w:line="240" w:lineRule="auto"/>
                              <w:rPr>
                                <w:rFonts w:hint="eastAsia" w:eastAsia="宋体"/>
                                <w:b/>
                                <w:bCs/>
                                <w:color w:val="000000" w:themeColor="text1"/>
                                <w:lang w:val="en-US" w:eastAsia="zh-Hans"/>
                                <w14:textFill>
                                  <w14:solidFill>
                                    <w14:schemeClr w14:val="tx1"/>
                                  </w14:solidFill>
                                </w14:textFill>
                              </w:rPr>
                            </w:pPr>
                            <w:r>
                              <w:rPr>
                                <w:rFonts w:hint="eastAsia"/>
                                <w:b/>
                                <w:bCs/>
                                <w:color w:val="000000" w:themeColor="text1"/>
                                <w:lang w:val="en-US" w:eastAsia="zh-Hans"/>
                                <w14:textFill>
                                  <w14:solidFill>
                                    <w14:schemeClr w14:val="tx1"/>
                                  </w14:solidFill>
                                </w14:textFill>
                              </w:rPr>
                              <w:t>有限公司</w:t>
                            </w:r>
                          </w:p>
                        </w:txbxContent>
                      </wps:txbx>
                      <wps:bodyPr upright="1"/>
                    </wps:wsp>
                  </a:graphicData>
                </a:graphic>
              </wp:anchor>
            </w:drawing>
          </mc:Choice>
          <mc:Fallback>
            <w:pict>
              <v:shape id="_x0000_s1026" o:spid="_x0000_s1026" o:spt="202" type="#_x0000_t202" style="position:absolute;left:0pt;margin-left:486.75pt;margin-top:133.2pt;height:45.45pt;width:198.25pt;z-index:252155904;mso-width-relative:page;mso-height-relative:page;" filled="f" stroked="t" coordsize="21600,21600" o:gfxdata="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ounp93AAAAAwBAAAPAAAA&#10;AAAAAAEAIAAAACIAAABkcnMvZG93bnJldi54bWxQSwECFAAUAAAACACHTuJANmCXpBECAAAsBAAA&#10;DgAAAAAAAAABACAAAAArAQAAZHJzL2Uyb0RvYy54bWxQSwUGAAAAAAYABgBZAQAArgUAAAAA&#10;">
                <v:fill on="f" focussize="0,0"/>
                <v:stroke color="#00B0F0" opacity="0f" joinstyle="miter"/>
                <v:imagedata o:title=""/>
                <o:lock v:ext="edit" aspectratio="f"/>
                <v:textbox>
                  <w:txbxContent>
                    <w:p>
                      <w:pPr>
                        <w:spacing w:line="240" w:lineRule="auto"/>
                        <w:rPr>
                          <w:rFonts w:hint="eastAsia"/>
                          <w:b/>
                          <w:bCs/>
                          <w:color w:val="000000" w:themeColor="text1"/>
                          <w:lang w:val="en-US" w:eastAsia="zh-Hans"/>
                          <w14:textFill>
                            <w14:solidFill>
                              <w14:schemeClr w14:val="tx1"/>
                            </w14:solidFill>
                          </w14:textFill>
                        </w:rPr>
                      </w:pPr>
                      <w:r>
                        <w:rPr>
                          <w:rFonts w:hint="eastAsia"/>
                          <w:b/>
                          <w:bCs/>
                          <w:color w:val="000000" w:themeColor="text1"/>
                          <w:lang w:val="en-US" w:eastAsia="zh-Hans"/>
                          <w14:textFill>
                            <w14:solidFill>
                              <w14:schemeClr w14:val="tx1"/>
                            </w14:solidFill>
                          </w14:textFill>
                        </w:rPr>
                        <w:t>福建东碧汽车零件</w:t>
                      </w:r>
                    </w:p>
                    <w:p>
                      <w:pPr>
                        <w:spacing w:line="240" w:lineRule="auto"/>
                        <w:rPr>
                          <w:rFonts w:hint="eastAsia" w:eastAsia="宋体"/>
                          <w:b/>
                          <w:bCs/>
                          <w:color w:val="000000" w:themeColor="text1"/>
                          <w:lang w:val="en-US" w:eastAsia="zh-Hans"/>
                          <w14:textFill>
                            <w14:solidFill>
                              <w14:schemeClr w14:val="tx1"/>
                            </w14:solidFill>
                          </w14:textFill>
                        </w:rPr>
                      </w:pPr>
                      <w:r>
                        <w:rPr>
                          <w:rFonts w:hint="eastAsia"/>
                          <w:b/>
                          <w:bCs/>
                          <w:color w:val="000000" w:themeColor="text1"/>
                          <w:lang w:val="en-US" w:eastAsia="zh-Hans"/>
                          <w14:textFill>
                            <w14:solidFill>
                              <w14:schemeClr w14:val="tx1"/>
                            </w14:solidFill>
                          </w14:textFill>
                        </w:rPr>
                        <w:t>有限公司</w:t>
                      </w:r>
                    </w:p>
                  </w:txbxContent>
                </v:textbox>
              </v:shap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2180480" behindDoc="0" locked="0" layoutInCell="1" allowOverlap="1">
                <wp:simplePos x="0" y="0"/>
                <wp:positionH relativeFrom="column">
                  <wp:posOffset>2778760</wp:posOffset>
                </wp:positionH>
                <wp:positionV relativeFrom="paragraph">
                  <wp:posOffset>2547620</wp:posOffset>
                </wp:positionV>
                <wp:extent cx="628650" cy="3429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628650" cy="342900"/>
                        </a:xfrm>
                        <a:prstGeom prst="rect">
                          <a:avLst/>
                        </a:prstGeom>
                        <a:noFill/>
                        <a:ln w="9525">
                          <a:noFill/>
                        </a:ln>
                      </wps:spPr>
                      <wps:txbx>
                        <w:txbxContent>
                          <w:p>
                            <w:pPr>
                              <w:rPr>
                                <w:rFonts w:hint="default" w:ascii="Times New Roman Bold" w:hAnsi="Times New Roman Bold" w:cs="Times New Roman Bold"/>
                                <w:b/>
                                <w:bCs/>
                              </w:rPr>
                            </w:pPr>
                            <w:r>
                              <w:rPr>
                                <w:rFonts w:hint="default" w:ascii="Times New Roman Bold" w:hAnsi="Times New Roman Bold" w:cs="Times New Roman Bold"/>
                                <w:b/>
                                <w:bCs/>
                              </w:rPr>
                              <w:t>270m</w:t>
                            </w:r>
                          </w:p>
                        </w:txbxContent>
                      </wps:txbx>
                      <wps:bodyPr upright="1"/>
                    </wps:wsp>
                  </a:graphicData>
                </a:graphic>
              </wp:anchor>
            </w:drawing>
          </mc:Choice>
          <mc:Fallback>
            <w:pict>
              <v:shape id="_x0000_s1026" o:spid="_x0000_s1026" o:spt="202" type="#_x0000_t202" style="position:absolute;left:0pt;margin-left:218.8pt;margin-top:200.6pt;height:27pt;width:49.5pt;z-index:252180480;mso-width-relative:page;mso-height-relative:page;" filled="f" stroked="f" coordsize="21600,21600" o:gfxdata="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B/SfNPYAAAACwEAAA8AAAAAAAAAAQAgAAAAIgAAAGRycy9kb3ducmV2LnhtbFBLAQIUABQA&#10;AAAIAIdO4kDoTJJgtwEAAFgDAAAOAAAAAAAAAAEAIAAAACcBAABkcnMvZTJvRG9jLnhtbFBLBQYA&#10;AAAABgAGAFkBAABQBQAAAAA=&#10;">
                <v:fill on="f" focussize="0,0"/>
                <v:stroke on="f"/>
                <v:imagedata o:title=""/>
                <o:lock v:ext="edit" aspectratio="f"/>
                <v:textbox>
                  <w:txbxContent>
                    <w:p>
                      <w:pPr>
                        <w:rPr>
                          <w:rFonts w:hint="default" w:ascii="Times New Roman Bold" w:hAnsi="Times New Roman Bold" w:cs="Times New Roman Bold"/>
                          <w:b/>
                          <w:bCs/>
                        </w:rPr>
                      </w:pPr>
                      <w:r>
                        <w:rPr>
                          <w:rFonts w:hint="default" w:ascii="Times New Roman Bold" w:hAnsi="Times New Roman Bold" w:cs="Times New Roman Bold"/>
                          <w:b/>
                          <w:bCs/>
                        </w:rPr>
                        <w:t>270m</w:t>
                      </w:r>
                    </w:p>
                  </w:txbxContent>
                </v:textbox>
              </v:shap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2177408" behindDoc="0" locked="0" layoutInCell="1" allowOverlap="1">
                <wp:simplePos x="0" y="0"/>
                <wp:positionH relativeFrom="column">
                  <wp:posOffset>1666875</wp:posOffset>
                </wp:positionH>
                <wp:positionV relativeFrom="paragraph">
                  <wp:posOffset>3354705</wp:posOffset>
                </wp:positionV>
                <wp:extent cx="627380" cy="311150"/>
                <wp:effectExtent l="0" t="0" r="0" b="0"/>
                <wp:wrapNone/>
                <wp:docPr id="44" name="矩形 44"/>
                <wp:cNvGraphicFramePr/>
                <a:graphic xmlns:a="http://schemas.openxmlformats.org/drawingml/2006/main">
                  <a:graphicData uri="http://schemas.microsoft.com/office/word/2010/wordprocessingShape">
                    <wps:wsp>
                      <wps:cNvSpPr/>
                      <wps:spPr>
                        <a:xfrm>
                          <a:off x="0" y="0"/>
                          <a:ext cx="627380" cy="311150"/>
                        </a:xfrm>
                        <a:prstGeom prst="rect">
                          <a:avLst/>
                        </a:prstGeom>
                        <a:noFill/>
                        <a:ln w="9525">
                          <a:noFill/>
                        </a:ln>
                      </wps:spPr>
                      <wps:txbx>
                        <w:txbxContent>
                          <w:p>
                            <w:pPr>
                              <w:rPr>
                                <w:rFonts w:hint="eastAsia" w:eastAsia="宋体"/>
                                <w:b/>
                                <w:bCs/>
                                <w:color w:val="FF0000"/>
                                <w:highlight w:val="yellow"/>
                                <w:lang w:val="en-US" w:eastAsia="zh-Hans"/>
                              </w:rPr>
                            </w:pPr>
                            <w:r>
                              <w:rPr>
                                <w:rFonts w:hint="eastAsia"/>
                                <w:b/>
                                <w:bCs/>
                                <w:color w:val="FF0000"/>
                                <w:highlight w:val="yellow"/>
                                <w:lang w:val="en-US" w:eastAsia="zh-Hans"/>
                              </w:rPr>
                              <w:t>长楼村</w:t>
                            </w:r>
                          </w:p>
                        </w:txbxContent>
                      </wps:txbx>
                      <wps:bodyPr lIns="0" tIns="0" rIns="0" bIns="0" upright="1"/>
                    </wps:wsp>
                  </a:graphicData>
                </a:graphic>
              </wp:anchor>
            </w:drawing>
          </mc:Choice>
          <mc:Fallback>
            <w:pict>
              <v:rect id="_x0000_s1026" o:spid="_x0000_s1026" o:spt="1" style="position:absolute;left:0pt;margin-left:131.25pt;margin-top:264.15pt;height:24.5pt;width:49.4pt;z-index:252177408;mso-width-relative:page;mso-height-relative:page;" filled="f" stroked="f" coordsize="21600,21600" o:gfxdata="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ELTFFDbAAAACwEAAA8AAAAAAAAAAQAgAAAAIgAAAGRycy9kb3ducmV2LnhtbFBL&#10;AQIUABQAAAAIAIdO4kBJ9Nr4ugEAAG8DAAAOAAAAAAAAAAEAIAAAACoBAABkcnMvZTJvRG9jLnht&#10;bFBLBQYAAAAABgAGAFkBAABWBQAAAAA=&#10;">
                <v:fill on="f" focussize="0,0"/>
                <v:stroke on="f"/>
                <v:imagedata o:title=""/>
                <o:lock v:ext="edit" aspectratio="f"/>
                <v:textbox inset="0mm,0mm,0mm,0mm">
                  <w:txbxContent>
                    <w:p>
                      <w:pPr>
                        <w:rPr>
                          <w:rFonts w:hint="eastAsia" w:eastAsia="宋体"/>
                          <w:b/>
                          <w:bCs/>
                          <w:color w:val="FF0000"/>
                          <w:highlight w:val="yellow"/>
                          <w:lang w:val="en-US" w:eastAsia="zh-Hans"/>
                        </w:rPr>
                      </w:pPr>
                      <w:r>
                        <w:rPr>
                          <w:rFonts w:hint="eastAsia"/>
                          <w:b/>
                          <w:bCs/>
                          <w:color w:val="FF0000"/>
                          <w:highlight w:val="yellow"/>
                          <w:lang w:val="en-US" w:eastAsia="zh-Hans"/>
                        </w:rPr>
                        <w:t>长楼村</w:t>
                      </w:r>
                    </w:p>
                  </w:txbxContent>
                </v:textbox>
              </v:rect>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2178432" behindDoc="0" locked="0" layoutInCell="1" allowOverlap="1">
                <wp:simplePos x="0" y="0"/>
                <wp:positionH relativeFrom="column">
                  <wp:posOffset>2188210</wp:posOffset>
                </wp:positionH>
                <wp:positionV relativeFrom="paragraph">
                  <wp:posOffset>3449955</wp:posOffset>
                </wp:positionV>
                <wp:extent cx="120650" cy="107950"/>
                <wp:effectExtent l="6350" t="6350" r="25400" b="12700"/>
                <wp:wrapNone/>
                <wp:docPr id="45" name="流程图: 汇总连接 45"/>
                <wp:cNvGraphicFramePr/>
                <a:graphic xmlns:a="http://schemas.openxmlformats.org/drawingml/2006/main">
                  <a:graphicData uri="http://schemas.microsoft.com/office/word/2010/wordprocessingShape">
                    <wps:wsp>
                      <wps:cNvSpPr/>
                      <wps:spPr>
                        <a:xfrm>
                          <a:off x="0" y="0"/>
                          <a:ext cx="120650" cy="107950"/>
                        </a:xfrm>
                        <a:prstGeom prst="flowChartSummingJunction">
                          <a:avLst/>
                        </a:prstGeom>
                        <a:solidFill>
                          <a:srgbClr val="FFFFFF"/>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23" type="#_x0000_t123" style="position:absolute;left:0pt;margin-left:172.3pt;margin-top:271.65pt;height:8.5pt;width:9.5pt;z-index:252178432;mso-width-relative:page;mso-height-relative:page;" fillcolor="#FFFFFF" filled="t" stroked="t" coordsize="21600,21600" o:gfxdata="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TeZia9cA&#10;AAALAQAADwAAAAAAAAABACAAAAAiAAAAZHJzL2Rvd25yZXYueG1sUEsBAhQAFAAAAAgAh07iQFPb&#10;Oz4gAgAAOgQAAA4AAAAAAAAAAQAgAAAAJgEAAGRycy9lMm9Eb2MueG1sUEsFBgAAAAAGAAYAWQEA&#10;ALgFAAAAAA==&#10;">
                <v:fill on="t" focussize="0,0"/>
                <v:stroke color="#FF0000" joinstyle="round"/>
                <v:imagedata o:title=""/>
                <o:lock v:ext="edit" aspectratio="f"/>
              </v:shap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2179456" behindDoc="0" locked="0" layoutInCell="1" allowOverlap="1">
                <wp:simplePos x="0" y="0"/>
                <wp:positionH relativeFrom="column">
                  <wp:posOffset>2291080</wp:posOffset>
                </wp:positionH>
                <wp:positionV relativeFrom="paragraph">
                  <wp:posOffset>2216150</wp:posOffset>
                </wp:positionV>
                <wp:extent cx="1866900" cy="1249680"/>
                <wp:effectExtent l="0" t="0" r="12700" b="20320"/>
                <wp:wrapNone/>
                <wp:docPr id="46" name="直接连接符 46"/>
                <wp:cNvGraphicFramePr/>
                <a:graphic xmlns:a="http://schemas.openxmlformats.org/drawingml/2006/main">
                  <a:graphicData uri="http://schemas.microsoft.com/office/word/2010/wordprocessingShape">
                    <wps:wsp>
                      <wps:cNvCnPr>
                        <a:stCxn id="45" idx="7"/>
                        <a:endCxn id="30" idx="2"/>
                      </wps:cNvCnPr>
                      <wps:spPr>
                        <a:xfrm flipV="1">
                          <a:off x="0" y="0"/>
                          <a:ext cx="1866900" cy="1249680"/>
                        </a:xfrm>
                        <a:prstGeom prst="line">
                          <a:avLst/>
                        </a:prstGeom>
                        <a:ln w="9525" cap="flat" cmpd="sng">
                          <a:solidFill>
                            <a:srgbClr val="000000"/>
                          </a:solidFill>
                          <a:prstDash val="solid"/>
                          <a:headEnd type="arrow" w="med" len="med"/>
                          <a:tailEnd type="arrow" w="med" len="med"/>
                        </a:ln>
                      </wps:spPr>
                      <wps:bodyPr/>
                    </wps:wsp>
                  </a:graphicData>
                </a:graphic>
              </wp:anchor>
            </w:drawing>
          </mc:Choice>
          <mc:Fallback>
            <w:pict>
              <v:line id="_x0000_s1026" o:spid="_x0000_s1026" o:spt="20" style="position:absolute;left:0pt;flip:y;margin-left:180.4pt;margin-top:174.5pt;height:98.4pt;width:147pt;z-index:252179456;mso-width-relative:page;mso-height-relative:page;" filled="f" stroked="t" coordsize="21600,21600" o:gfxdata="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Hmwe6doAAAALAQAA&#10;DwAAAAAAAAABACAAAAAiAAAAZHJzL2Rvd25yZXYueG1sUEsBAhQAFAAAAAgAh07iQAszQzsXAgAA&#10;LgQAAA4AAAAAAAAAAQAgAAAAKQEAAGRycy9lMm9Eb2MueG1sUEsFBgAAAAAGAAYAWQEAALIFAAAA&#10;AA==&#10;">
                <v:fill on="f" focussize="0,0"/>
                <v:stroke color="#000000" joinstyle="round" startarrow="open" endarrow="open"/>
                <v:imagedata o:title=""/>
                <o:lock v:ext="edit" aspectratio="f"/>
              </v:lin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4765056" behindDoc="0" locked="0" layoutInCell="1" allowOverlap="1">
                <wp:simplePos x="0" y="0"/>
                <wp:positionH relativeFrom="column">
                  <wp:posOffset>5092065</wp:posOffset>
                </wp:positionH>
                <wp:positionV relativeFrom="paragraph">
                  <wp:posOffset>1313180</wp:posOffset>
                </wp:positionV>
                <wp:extent cx="1447800" cy="39116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447800" cy="391160"/>
                        </a:xfrm>
                        <a:prstGeom prst="rect">
                          <a:avLst/>
                        </a:prstGeom>
                        <a:noFill/>
                        <a:ln w="9525" cap="flat" cmpd="sng">
                          <a:solidFill>
                            <a:srgbClr val="00B0F0">
                              <a:alpha val="0"/>
                            </a:srgbClr>
                          </a:solidFill>
                          <a:prstDash val="solid"/>
                          <a:miter/>
                          <a:headEnd type="none" w="med" len="med"/>
                          <a:tailEnd type="none" w="med" len="med"/>
                        </a:ln>
                      </wps:spPr>
                      <wps:txbx>
                        <w:txbxContent>
                          <w:p>
                            <w:pPr>
                              <w:rPr>
                                <w:rFonts w:hint="eastAsia"/>
                                <w:highlight w:val="red"/>
                                <w:lang w:val="en-US" w:eastAsia="zh-Hans"/>
                              </w:rPr>
                            </w:pPr>
                            <w:r>
                              <w:rPr>
                                <w:rFonts w:hint="eastAsia"/>
                                <w:highlight w:val="red"/>
                                <w:lang w:val="en-US" w:eastAsia="zh-Hans"/>
                              </w:rPr>
                              <w:t>本项目所在位置</w:t>
                            </w:r>
                          </w:p>
                        </w:txbxContent>
                      </wps:txbx>
                      <wps:bodyPr upright="1"/>
                    </wps:wsp>
                  </a:graphicData>
                </a:graphic>
              </wp:anchor>
            </w:drawing>
          </mc:Choice>
          <mc:Fallback>
            <w:pict>
              <v:shape id="_x0000_s1026" o:spid="_x0000_s1026" o:spt="202" type="#_x0000_t202" style="position:absolute;left:0pt;margin-left:400.95pt;margin-top:103.4pt;height:30.8pt;width:114pt;z-index:254765056;mso-width-relative:page;mso-height-relative:page;" filled="f" stroked="t" coordsize="21600,21600" o:gfxdata="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CePI59kAAAAMAQAADwAA&#10;AAAAAAABACAAAAAiAAAAZHJzL2Rvd25yZXYueG1sUEsBAhQAFAAAAAgAh07iQPlk0i8VAgAALAQA&#10;AA4AAAAAAAAAAQAgAAAAKAEAAGRycy9lMm9Eb2MueG1sUEsFBgAAAAAGAAYAWQEAAK8FAAAAAA==&#10;">
                <v:fill on="f" focussize="0,0"/>
                <v:stroke color="#00B0F0" opacity="0f" joinstyle="miter"/>
                <v:imagedata o:title=""/>
                <o:lock v:ext="edit" aspectratio="f"/>
                <v:textbox>
                  <w:txbxContent>
                    <w:p>
                      <w:pPr>
                        <w:rPr>
                          <w:rFonts w:hint="eastAsia"/>
                          <w:highlight w:val="red"/>
                          <w:lang w:val="en-US" w:eastAsia="zh-Hans"/>
                        </w:rPr>
                      </w:pPr>
                      <w:r>
                        <w:rPr>
                          <w:rFonts w:hint="eastAsia"/>
                          <w:highlight w:val="red"/>
                          <w:lang w:val="en-US" w:eastAsia="zh-Hans"/>
                        </w:rPr>
                        <w:t>本项目所在位置</w:t>
                      </w:r>
                    </w:p>
                  </w:txbxContent>
                </v:textbox>
              </v:shape>
            </w:pict>
          </mc:Fallback>
        </mc:AlternateContent>
      </w:r>
      <w:r>
        <w:rPr>
          <w:rFonts w:hint="default" w:ascii="Times New Roman Regular" w:hAnsi="Times New Roman Regular" w:cs="Times New Roman Regular"/>
          <w:sz w:val="24"/>
        </w:rPr>
        <mc:AlternateContent>
          <mc:Choice Requires="wps">
            <w:drawing>
              <wp:anchor distT="0" distB="0" distL="114300" distR="114300" simplePos="0" relativeHeight="254766080" behindDoc="0" locked="0" layoutInCell="1" allowOverlap="1">
                <wp:simplePos x="0" y="0"/>
                <wp:positionH relativeFrom="column">
                  <wp:posOffset>4473575</wp:posOffset>
                </wp:positionH>
                <wp:positionV relativeFrom="paragraph">
                  <wp:posOffset>1631950</wp:posOffset>
                </wp:positionV>
                <wp:extent cx="803910" cy="469900"/>
                <wp:effectExtent l="3175" t="5715" r="5715" b="6985"/>
                <wp:wrapNone/>
                <wp:docPr id="51" name="直接连接符 51"/>
                <wp:cNvGraphicFramePr/>
                <a:graphic xmlns:a="http://schemas.openxmlformats.org/drawingml/2006/main">
                  <a:graphicData uri="http://schemas.microsoft.com/office/word/2010/wordprocessingShape">
                    <wps:wsp>
                      <wps:cNvCnPr/>
                      <wps:spPr>
                        <a:xfrm flipV="1">
                          <a:off x="0" y="0"/>
                          <a:ext cx="803910" cy="469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352.25pt;margin-top:128.5pt;height:37pt;width:63.3pt;z-index:254766080;mso-width-relative:page;mso-height-relative:page;" filled="f" stroked="t" coordsize="21600,21600" o:gfxdata="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q8uD49kAAAALAQAADwAAAAAAAAABACAAAAAiAAAAZHJzL2Rvd25yZXYueG1sUEsBAhQA&#10;FAAAAAgAh07iQLs0MUTxAQAAwQMAAA4AAAAAAAAAAQAgAAAAKAEAAGRycy9lMm9Eb2MueG1sUEsF&#10;BgAAAAAGAAYAWQEAAIsFAAAAAA==&#10;">
                <v:fill on="f" focussize="0,0"/>
                <v:stroke weight="0.5pt" color="#000000 [3200]" miterlimit="8" joinstyle="miter"/>
                <v:imagedata o:title=""/>
                <o:lock v:ext="edit" aspectratio="f"/>
              </v:lin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4761984" behindDoc="0" locked="0" layoutInCell="1" allowOverlap="1">
                <wp:simplePos x="0" y="0"/>
                <wp:positionH relativeFrom="column">
                  <wp:posOffset>4561840</wp:posOffset>
                </wp:positionH>
                <wp:positionV relativeFrom="paragraph">
                  <wp:posOffset>508635</wp:posOffset>
                </wp:positionV>
                <wp:extent cx="2517775" cy="39116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2517775" cy="391160"/>
                        </a:xfrm>
                        <a:prstGeom prst="rect">
                          <a:avLst/>
                        </a:prstGeom>
                        <a:noFill/>
                        <a:ln w="9525" cap="flat" cmpd="sng">
                          <a:solidFill>
                            <a:srgbClr val="00B0F0">
                              <a:alpha val="0"/>
                            </a:srgbClr>
                          </a:solidFill>
                          <a:prstDash val="solid"/>
                          <a:miter/>
                          <a:headEnd type="none" w="med" len="med"/>
                          <a:tailEnd type="none" w="med" len="med"/>
                        </a:ln>
                      </wps:spPr>
                      <wps:txbx>
                        <w:txbxContent>
                          <w:p>
                            <w:pPr>
                              <w:rPr>
                                <w:rFonts w:hint="eastAsia"/>
                                <w:highlight w:val="yellow"/>
                                <w:lang w:val="en-US" w:eastAsia="zh-Hans"/>
                              </w:rPr>
                            </w:pPr>
                            <w:r>
                              <w:rPr>
                                <w:rFonts w:hint="default"/>
                                <w:color w:val="auto"/>
                                <w:highlight w:val="yellow"/>
                                <w:lang w:eastAsia="zh-Hans"/>
                              </w:rPr>
                              <w:t>福州东郁机械包装有限公司</w:t>
                            </w:r>
                            <w:r>
                              <w:rPr>
                                <w:rFonts w:hint="eastAsia"/>
                                <w:color w:val="auto"/>
                                <w:highlight w:val="yellow"/>
                                <w:lang w:val="en-US" w:eastAsia="zh-Hans"/>
                              </w:rPr>
                              <w:t>厂区</w:t>
                            </w:r>
                          </w:p>
                        </w:txbxContent>
                      </wps:txbx>
                      <wps:bodyPr upright="1"/>
                    </wps:wsp>
                  </a:graphicData>
                </a:graphic>
              </wp:anchor>
            </w:drawing>
          </mc:Choice>
          <mc:Fallback>
            <w:pict>
              <v:shape id="_x0000_s1026" o:spid="_x0000_s1026" o:spt="202" type="#_x0000_t202" style="position:absolute;left:0pt;margin-left:359.2pt;margin-top:40.05pt;height:30.8pt;width:198.25pt;z-index:254761984;mso-width-relative:page;mso-height-relative:page;" filled="f" stroked="t" coordsize="21600,21600" o:gfxdata="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052xw9sAAAALAQAA&#10;DwAAAAAAAAABACAAAAAiAAAAZHJzL2Rvd25yZXYueG1sUEsBAhQAFAAAAAgAh07iQJz8t5sWAgAA&#10;LAQAAA4AAAAAAAAAAQAgAAAAKgEAAGRycy9lMm9Eb2MueG1sUEsFBgAAAAAGAAYAWQEAALIFAAAA&#10;AA==&#10;">
                <v:fill on="f" focussize="0,0"/>
                <v:stroke color="#00B0F0" opacity="0f" joinstyle="miter"/>
                <v:imagedata o:title=""/>
                <o:lock v:ext="edit" aspectratio="f"/>
                <v:textbox>
                  <w:txbxContent>
                    <w:p>
                      <w:pPr>
                        <w:rPr>
                          <w:rFonts w:hint="eastAsia"/>
                          <w:highlight w:val="yellow"/>
                          <w:lang w:val="en-US" w:eastAsia="zh-Hans"/>
                        </w:rPr>
                      </w:pPr>
                      <w:r>
                        <w:rPr>
                          <w:rFonts w:hint="default"/>
                          <w:color w:val="auto"/>
                          <w:highlight w:val="yellow"/>
                          <w:lang w:eastAsia="zh-Hans"/>
                        </w:rPr>
                        <w:t>福州东郁机械包装有限公司</w:t>
                      </w:r>
                      <w:r>
                        <w:rPr>
                          <w:rFonts w:hint="eastAsia"/>
                          <w:color w:val="auto"/>
                          <w:highlight w:val="yellow"/>
                          <w:lang w:val="en-US" w:eastAsia="zh-Hans"/>
                        </w:rPr>
                        <w:t>厂区</w:t>
                      </w:r>
                    </w:p>
                  </w:txbxContent>
                </v:textbox>
              </v:shape>
            </w:pict>
          </mc:Fallback>
        </mc:AlternateContent>
      </w:r>
      <w:r>
        <w:rPr>
          <w:rFonts w:hint="default" w:ascii="Times New Roman Regular" w:hAnsi="Times New Roman Regular" w:cs="Times New Roman Regular"/>
          <w:sz w:val="24"/>
        </w:rPr>
        <mc:AlternateContent>
          <mc:Choice Requires="wps">
            <w:drawing>
              <wp:anchor distT="0" distB="0" distL="114300" distR="114300" simplePos="0" relativeHeight="254764032" behindDoc="0" locked="0" layoutInCell="1" allowOverlap="1">
                <wp:simplePos x="0" y="0"/>
                <wp:positionH relativeFrom="column">
                  <wp:posOffset>4541520</wp:posOffset>
                </wp:positionH>
                <wp:positionV relativeFrom="paragraph">
                  <wp:posOffset>824230</wp:posOffset>
                </wp:positionV>
                <wp:extent cx="211455" cy="820420"/>
                <wp:effectExtent l="6350" t="1270" r="10795" b="16510"/>
                <wp:wrapNone/>
                <wp:docPr id="37" name="直接连接符 37"/>
                <wp:cNvGraphicFramePr/>
                <a:graphic xmlns:a="http://schemas.openxmlformats.org/drawingml/2006/main">
                  <a:graphicData uri="http://schemas.microsoft.com/office/word/2010/wordprocessingShape">
                    <wps:wsp>
                      <wps:cNvCnPr>
                        <a:stCxn id="29" idx="0"/>
                      </wps:cNvCnPr>
                      <wps:spPr>
                        <a:xfrm flipV="1">
                          <a:off x="5455920" y="2988945"/>
                          <a:ext cx="211455" cy="8204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357.6pt;margin-top:64.9pt;height:64.6pt;width:16.65pt;z-index:254764032;mso-width-relative:page;mso-height-relative:page;" filled="f" stroked="t" coordsize="21600,21600" o:gfxdata="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sRS6bZAAAACwEAAA8AAAAAAAAAAQAgAAAA&#10;IgAAAGRycy9kb3ducmV2LnhtbFBLAQIUABQAAAAIAIdO4kC2lL1iCgIAAPQDAAAOAAAAAAAAAAEA&#10;IAAAACgBAABkcnMvZTJvRG9jLnhtbFBLBQYAAAAABgAGAFkBAACkBQAAAAA=&#10;">
                <v:fill on="f" focussize="0,0"/>
                <v:stroke weight="0.5pt" color="#000000 [3200]" miterlimit="8" joinstyle="miter"/>
                <v:imagedata o:title=""/>
                <o:lock v:ext="edit" aspectratio="f"/>
              </v:lin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2145664" behindDoc="0" locked="0" layoutInCell="1" allowOverlap="1">
                <wp:simplePos x="0" y="0"/>
                <wp:positionH relativeFrom="column">
                  <wp:posOffset>5683250</wp:posOffset>
                </wp:positionH>
                <wp:positionV relativeFrom="paragraph">
                  <wp:posOffset>2532380</wp:posOffset>
                </wp:positionV>
                <wp:extent cx="628650" cy="352425"/>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628650" cy="352425"/>
                        </a:xfrm>
                        <a:prstGeom prst="rect">
                          <a:avLst/>
                        </a:prstGeom>
                        <a:noFill/>
                        <a:ln w="9525">
                          <a:noFill/>
                        </a:ln>
                      </wps:spPr>
                      <wps:txbx>
                        <w:txbxContent>
                          <w:p>
                            <w:pPr>
                              <w:rPr>
                                <w:rFonts w:hint="default" w:ascii="Times New Roman Bold" w:hAnsi="Times New Roman Bold" w:cs="Times New Roman Bold"/>
                                <w:b/>
                                <w:bCs/>
                              </w:rPr>
                            </w:pPr>
                            <w:r>
                              <w:rPr>
                                <w:rFonts w:hint="default" w:ascii="Times New Roman Bold" w:hAnsi="Times New Roman Bold" w:cs="Times New Roman Bold"/>
                                <w:b/>
                                <w:bCs/>
                              </w:rPr>
                              <w:t>300m</w:t>
                            </w:r>
                          </w:p>
                        </w:txbxContent>
                      </wps:txbx>
                      <wps:bodyPr upright="1"/>
                    </wps:wsp>
                  </a:graphicData>
                </a:graphic>
              </wp:anchor>
            </w:drawing>
          </mc:Choice>
          <mc:Fallback>
            <w:pict>
              <v:shape id="_x0000_s1026" o:spid="_x0000_s1026" o:spt="202" type="#_x0000_t202" style="position:absolute;left:0pt;margin-left:447.5pt;margin-top:199.4pt;height:27.75pt;width:49.5pt;z-index:252145664;mso-width-relative:page;mso-height-relative:page;" filled="f" stroked="f" coordsize="21600,21600" o:gfxdata="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s+5TitcAAAALAQAADwAAAAAAAAABACAAAAAiAAAAZHJzL2Rvd25yZXYueG1sUEsBAhQAFAAAAAgA&#10;h07iQMMFEpu0AQAAWAMAAA4AAAAAAAAAAQAgAAAAJgEAAGRycy9lMm9Eb2MueG1sUEsFBgAAAAAG&#10;AAYAWQEAAEwFAAAAAA==&#10;">
                <v:fill on="f" focussize="0,0"/>
                <v:stroke on="f"/>
                <v:imagedata o:title=""/>
                <o:lock v:ext="edit" aspectratio="f"/>
                <v:textbox>
                  <w:txbxContent>
                    <w:p>
                      <w:pPr>
                        <w:rPr>
                          <w:rFonts w:hint="default" w:ascii="Times New Roman Bold" w:hAnsi="Times New Roman Bold" w:cs="Times New Roman Bold"/>
                          <w:b/>
                          <w:bCs/>
                        </w:rPr>
                      </w:pPr>
                      <w:r>
                        <w:rPr>
                          <w:rFonts w:hint="default" w:ascii="Times New Roman Bold" w:hAnsi="Times New Roman Bold" w:cs="Times New Roman Bold"/>
                          <w:b/>
                          <w:bCs/>
                        </w:rPr>
                        <w:t>300m</w:t>
                      </w:r>
                    </w:p>
                  </w:txbxContent>
                </v:textbox>
              </v:shap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2176384" behindDoc="0" locked="0" layoutInCell="1" allowOverlap="1">
                <wp:simplePos x="0" y="0"/>
                <wp:positionH relativeFrom="column">
                  <wp:posOffset>6827520</wp:posOffset>
                </wp:positionH>
                <wp:positionV relativeFrom="paragraph">
                  <wp:posOffset>3274060</wp:posOffset>
                </wp:positionV>
                <wp:extent cx="120650" cy="107950"/>
                <wp:effectExtent l="6350" t="6350" r="25400" b="12700"/>
                <wp:wrapNone/>
                <wp:docPr id="38" name="流程图: 汇总连接 38"/>
                <wp:cNvGraphicFramePr/>
                <a:graphic xmlns:a="http://schemas.openxmlformats.org/drawingml/2006/main">
                  <a:graphicData uri="http://schemas.microsoft.com/office/word/2010/wordprocessingShape">
                    <wps:wsp>
                      <wps:cNvSpPr/>
                      <wps:spPr>
                        <a:xfrm>
                          <a:off x="0" y="0"/>
                          <a:ext cx="120650" cy="107950"/>
                        </a:xfrm>
                        <a:prstGeom prst="flowChartSummingJunction">
                          <a:avLst/>
                        </a:prstGeom>
                        <a:solidFill>
                          <a:srgbClr val="FFFFFF"/>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23" type="#_x0000_t123" style="position:absolute;left:0pt;margin-left:537.6pt;margin-top:257.8pt;height:8.5pt;width:9.5pt;z-index:252176384;mso-width-relative:page;mso-height-relative:page;" fillcolor="#FFFFFF" filled="t" stroked="t" coordsize="21600,21600" o:gfxdata="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6OEn/&#10;2QAAAA0BAAAPAAAAAAAAAAEAIAAAACIAAABkcnMvZG93bnJldi54bWxQSwECFAAUAAAACACHTuJA&#10;2sjBXSACAAA6BAAADgAAAAAAAAABACAAAAAoAQAAZHJzL2Uyb0RvYy54bWxQSwUGAAAAAAYABgBZ&#10;AQAAugUAAAAA&#10;">
                <v:fill on="t" focussize="0,0"/>
                <v:stroke color="#FF0000" joinstyle="round"/>
                <v:imagedata o:title=""/>
                <o:lock v:ext="edit" aspectratio="f"/>
              </v:shap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2133376" behindDoc="0" locked="0" layoutInCell="1" allowOverlap="1">
                <wp:simplePos x="0" y="0"/>
                <wp:positionH relativeFrom="column">
                  <wp:posOffset>7024370</wp:posOffset>
                </wp:positionH>
                <wp:positionV relativeFrom="paragraph">
                  <wp:posOffset>3206750</wp:posOffset>
                </wp:positionV>
                <wp:extent cx="714375" cy="311150"/>
                <wp:effectExtent l="0" t="0" r="0" b="0"/>
                <wp:wrapNone/>
                <wp:docPr id="62" name="矩形 62"/>
                <wp:cNvGraphicFramePr/>
                <a:graphic xmlns:a="http://schemas.openxmlformats.org/drawingml/2006/main">
                  <a:graphicData uri="http://schemas.microsoft.com/office/word/2010/wordprocessingShape">
                    <wps:wsp>
                      <wps:cNvSpPr/>
                      <wps:spPr>
                        <a:xfrm>
                          <a:off x="0" y="0"/>
                          <a:ext cx="714375" cy="311150"/>
                        </a:xfrm>
                        <a:prstGeom prst="rect">
                          <a:avLst/>
                        </a:prstGeom>
                        <a:noFill/>
                        <a:ln w="9525">
                          <a:noFill/>
                        </a:ln>
                      </wps:spPr>
                      <wps:txbx>
                        <w:txbxContent>
                          <w:p>
                            <w:pPr>
                              <w:rPr>
                                <w:rFonts w:hint="eastAsia" w:eastAsia="宋体"/>
                                <w:b/>
                                <w:bCs/>
                                <w:color w:val="FF0000"/>
                                <w:lang w:val="en-US" w:eastAsia="zh-Hans"/>
                              </w:rPr>
                            </w:pPr>
                            <w:r>
                              <w:rPr>
                                <w:rFonts w:hint="eastAsia"/>
                                <w:b/>
                                <w:bCs/>
                                <w:color w:val="FF0000"/>
                                <w:highlight w:val="yellow"/>
                                <w:lang w:val="en-US" w:eastAsia="zh-Hans"/>
                              </w:rPr>
                              <w:t>溪东村</w:t>
                            </w:r>
                          </w:p>
                        </w:txbxContent>
                      </wps:txbx>
                      <wps:bodyPr lIns="0" tIns="0" rIns="0" bIns="0" upright="1"/>
                    </wps:wsp>
                  </a:graphicData>
                </a:graphic>
              </wp:anchor>
            </w:drawing>
          </mc:Choice>
          <mc:Fallback>
            <w:pict>
              <v:rect id="_x0000_s1026" o:spid="_x0000_s1026" o:spt="1" style="position:absolute;left:0pt;margin-left:553.1pt;margin-top:252.5pt;height:24.5pt;width:56.25pt;z-index:252133376;mso-width-relative:page;mso-height-relative:page;" filled="f" stroked="f" coordsize="21600,21600" o:gfxdata="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O55sl/bAAAADQEAAA8AAAAAAAAAAQAgAAAAIgAAAGRycy9kb3ducmV2LnhtbFBL&#10;AQIUABQAAAAIAIdO4kAmPAYWugEAAG8DAAAOAAAAAAAAAAEAIAAAACoBAABkcnMvZTJvRG9jLnht&#10;bFBLBQYAAAAABgAGAFkBAABWBQAAAAA=&#10;">
                <v:fill on="f" focussize="0,0"/>
                <v:stroke on="f"/>
                <v:imagedata o:title=""/>
                <o:lock v:ext="edit" aspectratio="f"/>
                <v:textbox inset="0mm,0mm,0mm,0mm">
                  <w:txbxContent>
                    <w:p>
                      <w:pPr>
                        <w:rPr>
                          <w:rFonts w:hint="eastAsia" w:eastAsia="宋体"/>
                          <w:b/>
                          <w:bCs/>
                          <w:color w:val="FF0000"/>
                          <w:lang w:val="en-US" w:eastAsia="zh-Hans"/>
                        </w:rPr>
                      </w:pPr>
                      <w:r>
                        <w:rPr>
                          <w:rFonts w:hint="eastAsia"/>
                          <w:b/>
                          <w:bCs/>
                          <w:color w:val="FF0000"/>
                          <w:highlight w:val="yellow"/>
                          <w:lang w:val="en-US" w:eastAsia="zh-Hans"/>
                        </w:rPr>
                        <w:t>溪东村</w:t>
                      </w:r>
                    </w:p>
                  </w:txbxContent>
                </v:textbox>
              </v:rect>
            </w:pict>
          </mc:Fallback>
        </mc:AlternateContent>
      </w:r>
      <w:r>
        <w:rPr>
          <w:rFonts w:hint="default" w:ascii="Times New Roman Regular" w:hAnsi="Times New Roman Regular" w:cs="Times New Roman Regular"/>
          <w:sz w:val="24"/>
        </w:rPr>
        <mc:AlternateContent>
          <mc:Choice Requires="wps">
            <w:drawing>
              <wp:anchor distT="0" distB="0" distL="114300" distR="114300" simplePos="0" relativeHeight="254263296" behindDoc="0" locked="0" layoutInCell="1" allowOverlap="1">
                <wp:simplePos x="0" y="0"/>
                <wp:positionH relativeFrom="column">
                  <wp:posOffset>4002405</wp:posOffset>
                </wp:positionH>
                <wp:positionV relativeFrom="paragraph">
                  <wp:posOffset>1963420</wp:posOffset>
                </wp:positionV>
                <wp:extent cx="520700" cy="295910"/>
                <wp:effectExtent l="154305" t="41910" r="159385" b="46990"/>
                <wp:wrapNone/>
                <wp:docPr id="30" name="矩形 30"/>
                <wp:cNvGraphicFramePr/>
                <a:graphic xmlns:a="http://schemas.openxmlformats.org/drawingml/2006/main">
                  <a:graphicData uri="http://schemas.microsoft.com/office/word/2010/wordprocessingShape">
                    <wps:wsp>
                      <wps:cNvSpPr/>
                      <wps:spPr>
                        <a:xfrm rot="2700000">
                          <a:off x="3478530" y="3864610"/>
                          <a:ext cx="520700" cy="29591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5.15pt;margin-top:154.6pt;height:23.3pt;width:41pt;rotation:2949120f;z-index:254263296;v-text-anchor:middle;mso-width-relative:page;mso-height-relative:page;" filled="f" stroked="t" coordsize="21600,21600" o:gfxdata="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TxPIxNcAAAALAQAADwAAAAAAAAABACAAAAAiAAAA&#10;ZHJzL2Rvd25yZXYueG1sUEsBAhQAFAAAAAgAh07iQCZ92R56AgAA5gQAAA4AAAAAAAAAAQAgAAAA&#10;JgEAAGRycy9lMm9Eb2MueG1sUEsFBgAAAAAGAAYAWQEAABIGAAAAAA==&#10;">
                <v:fill on="f" focussize="0,0"/>
                <v:stroke weight="1.5pt" color="#FF0000 [3204]" miterlimit="8" joinstyle="miter"/>
                <v:imagedata o:title=""/>
                <o:lock v:ext="edit" aspectratio="f"/>
              </v:rect>
            </w:pict>
          </mc:Fallback>
        </mc:AlternateContent>
      </w:r>
      <w:r>
        <w:rPr>
          <w:rFonts w:hint="default" w:ascii="Times New Roman Regular" w:hAnsi="Times New Roman Regular" w:cs="Times New Roman Regular"/>
          <w:sz w:val="24"/>
        </w:rPr>
        <mc:AlternateContent>
          <mc:Choice Requires="wps">
            <w:drawing>
              <wp:anchor distT="0" distB="0" distL="114300" distR="114300" simplePos="0" relativeHeight="254262272" behindDoc="0" locked="0" layoutInCell="1" allowOverlap="1">
                <wp:simplePos x="0" y="0"/>
                <wp:positionH relativeFrom="column">
                  <wp:posOffset>3925570</wp:posOffset>
                </wp:positionH>
                <wp:positionV relativeFrom="paragraph">
                  <wp:posOffset>1545590</wp:posOffset>
                </wp:positionV>
                <wp:extent cx="754380" cy="675005"/>
                <wp:effectExtent l="168275" t="128270" r="172720" b="133350"/>
                <wp:wrapNone/>
                <wp:docPr id="29" name="矩形 29"/>
                <wp:cNvGraphicFramePr/>
                <a:graphic xmlns:a="http://schemas.openxmlformats.org/drawingml/2006/main">
                  <a:graphicData uri="http://schemas.microsoft.com/office/word/2010/wordprocessingShape">
                    <wps:wsp>
                      <wps:cNvSpPr/>
                      <wps:spPr>
                        <a:xfrm rot="2700000">
                          <a:off x="4737735" y="3874770"/>
                          <a:ext cx="754380" cy="675005"/>
                        </a:xfrm>
                        <a:prstGeom prst="rect">
                          <a:avLst/>
                        </a:prstGeom>
                        <a:solidFill>
                          <a:srgbClr val="FFFF00">
                            <a:alpha val="3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9.1pt;margin-top:121.7pt;height:53.15pt;width:59.4pt;rotation:2949120f;z-index:254262272;v-text-anchor:middle;mso-width-relative:page;mso-height-relative:page;" fillcolor="#FFFF00" filled="t" stroked="f" coordsize="21600,21600" o:gfxdata="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F+I/4LbAAAACwEA&#10;AA8AAAAAAAAAAQAgAAAAIgAAAGRycy9kb3ducmV2LnhtbFBLAQIUABQAAAAIAIdO4kAj5PrsiQIA&#10;AAcFAAAOAAAAAAAAAAEAIAAAACoBAABkcnMvZTJvRG9jLnhtbFBLBQYAAAAABgAGAFkBAAAlBgAA&#10;AAA=&#10;">
                <v:fill on="t" opacity="19660f" focussize="0,0"/>
                <v:stroke on="f" weight="1pt" miterlimit="8" joinstyle="miter"/>
                <v:imagedata o:title=""/>
                <o:lock v:ext="edit" aspectratio="f"/>
              </v:rect>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2185600" behindDoc="0" locked="0" layoutInCell="1" allowOverlap="1">
                <wp:simplePos x="0" y="0"/>
                <wp:positionH relativeFrom="column">
                  <wp:posOffset>7139305</wp:posOffset>
                </wp:positionH>
                <wp:positionV relativeFrom="paragraph">
                  <wp:posOffset>720725</wp:posOffset>
                </wp:positionV>
                <wp:extent cx="120650" cy="107950"/>
                <wp:effectExtent l="6350" t="6350" r="25400" b="12700"/>
                <wp:wrapNone/>
                <wp:docPr id="60" name="流程图: 汇总连接 60"/>
                <wp:cNvGraphicFramePr/>
                <a:graphic xmlns:a="http://schemas.openxmlformats.org/drawingml/2006/main">
                  <a:graphicData uri="http://schemas.microsoft.com/office/word/2010/wordprocessingShape">
                    <wps:wsp>
                      <wps:cNvSpPr/>
                      <wps:spPr>
                        <a:xfrm>
                          <a:off x="0" y="0"/>
                          <a:ext cx="120650" cy="107950"/>
                        </a:xfrm>
                        <a:prstGeom prst="flowChartSummingJunction">
                          <a:avLst/>
                        </a:prstGeom>
                        <a:solidFill>
                          <a:srgbClr val="FFFFFF"/>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23" type="#_x0000_t123" style="position:absolute;left:0pt;margin-left:562.15pt;margin-top:56.75pt;height:8.5pt;width:9.5pt;z-index:252185600;mso-width-relative:page;mso-height-relative:page;" fillcolor="#FFFFFF" filled="t" stroked="t" coordsize="21600,21600" o:gfxdata="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UgkOrY&#10;AAAADQEAAA8AAAAAAAAAAQAgAAAAIgAAAGRycy9kb3ducmV2LnhtbFBLAQIUABQAAAAIAIdO4kAK&#10;d+txIAIAADoEAAAOAAAAAAAAAAEAIAAAACcBAABkcnMvZTJvRG9jLnhtbFBLBQYAAAAABgAGAFkB&#10;AAC5BQAAAAA=&#10;">
                <v:fill on="t" focussize="0,0"/>
                <v:stroke color="#FF0000" joinstyle="round"/>
                <v:imagedata o:title=""/>
                <o:lock v:ext="edit" aspectratio="f"/>
              </v:shape>
            </w:pict>
          </mc:Fallback>
        </mc:AlternateContent>
      </w:r>
      <w:r>
        <w:rPr>
          <w:rFonts w:hint="default" w:ascii="Times New Roman Regular" w:hAnsi="Times New Roman Regular" w:cs="Times New Roman Regular"/>
          <w:color w:val="FF0000"/>
        </w:rPr>
        <mc:AlternateContent>
          <mc:Choice Requires="wps">
            <w:drawing>
              <wp:anchor distT="0" distB="0" distL="114300" distR="114300" simplePos="0" relativeHeight="252143616" behindDoc="0" locked="0" layoutInCell="1" allowOverlap="1">
                <wp:simplePos x="0" y="0"/>
                <wp:positionH relativeFrom="column">
                  <wp:posOffset>4446905</wp:posOffset>
                </wp:positionH>
                <wp:positionV relativeFrom="paragraph">
                  <wp:posOffset>2295525</wp:posOffset>
                </wp:positionV>
                <wp:extent cx="2483485" cy="994410"/>
                <wp:effectExtent l="0" t="14605" r="5715" b="32385"/>
                <wp:wrapNone/>
                <wp:docPr id="67" name="直接连接符 67"/>
                <wp:cNvGraphicFramePr/>
                <a:graphic xmlns:a="http://schemas.openxmlformats.org/drawingml/2006/main">
                  <a:graphicData uri="http://schemas.microsoft.com/office/word/2010/wordprocessingShape">
                    <wps:wsp>
                      <wps:cNvCnPr>
                        <a:stCxn id="38" idx="7"/>
                        <a:endCxn id="30" idx="3"/>
                      </wps:cNvCnPr>
                      <wps:spPr>
                        <a:xfrm flipH="1" flipV="1">
                          <a:off x="0" y="0"/>
                          <a:ext cx="2483485" cy="994410"/>
                        </a:xfrm>
                        <a:prstGeom prst="line">
                          <a:avLst/>
                        </a:prstGeom>
                        <a:ln w="9525" cap="flat" cmpd="sng">
                          <a:solidFill>
                            <a:srgbClr val="000000"/>
                          </a:solidFill>
                          <a:prstDash val="solid"/>
                          <a:headEnd type="arrow" w="med" len="med"/>
                          <a:tailEnd type="arrow" w="med" len="med"/>
                        </a:ln>
                      </wps:spPr>
                      <wps:bodyPr/>
                    </wps:wsp>
                  </a:graphicData>
                </a:graphic>
              </wp:anchor>
            </w:drawing>
          </mc:Choice>
          <mc:Fallback>
            <w:pict>
              <v:line id="_x0000_s1026" o:spid="_x0000_s1026" o:spt="20" style="position:absolute;left:0pt;flip:x y;margin-left:350.15pt;margin-top:180.75pt;height:78.3pt;width:195.55pt;z-index:252143616;mso-width-relative:page;mso-height-relative:page;" filled="f" stroked="t" coordsize="21600,21600" o:gfxdata="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klXUS3AAA&#10;AAwBAAAPAAAAAAAAAAEAIAAAACIAAABkcnMvZG93bnJldi54bWxQSwECFAAUAAAACACHTuJAvZbE&#10;bRoCAAA3BAAADgAAAAAAAAABACAAAAArAQAAZHJzL2Uyb0RvYy54bWxQSwUGAAAAAAYABgBZAQAA&#10;twUAAAAA&#10;">
                <v:fill on="f" focussize="0,0"/>
                <v:stroke color="#000000" joinstyle="round" startarrow="open" endarrow="open"/>
                <v:imagedata o:title=""/>
                <o:lock v:ext="edit" aspectratio="f"/>
              </v:line>
            </w:pict>
          </mc:Fallback>
        </mc:AlternateContent>
      </w:r>
    </w:p>
    <w:p>
      <w:pPr>
        <w:pStyle w:val="110"/>
        <w:widowControl w:val="0"/>
        <w:tabs>
          <w:tab w:val="left" w:pos="240"/>
        </w:tabs>
        <w:spacing w:before="163" w:beforeLines="50" w:after="163" w:afterLines="50" w:line="360" w:lineRule="auto"/>
        <w:ind w:left="0" w:leftChars="0" w:firstLine="0" w:firstLineChars="0"/>
        <w:outlineLvl w:val="0"/>
        <w:rPr>
          <w:rFonts w:hint="default" w:ascii="Times New Roman Regular" w:hAnsi="Times New Roman Regular" w:cs="Times New Roman Regular"/>
          <w:color w:val="auto"/>
        </w:rPr>
      </w:pPr>
      <w:bookmarkStart w:id="422" w:name="_Toc227726486_WPSOffice_Level1"/>
      <w:bookmarkStart w:id="423" w:name="_Toc47618414"/>
      <w:r>
        <w:rPr>
          <w:rFonts w:hint="default" w:ascii="Times New Roman Regular" w:hAnsi="Times New Roman Regular" w:eastAsia="宋体" w:cs="Times New Roman Regular"/>
          <w:b/>
          <w:color w:val="auto"/>
          <w:kern w:val="2"/>
          <w:szCs w:val="28"/>
        </w:rPr>
        <w:t>附</w:t>
      </w:r>
      <w:r>
        <w:rPr>
          <w:rFonts w:hint="default" w:ascii="Times New Roman Regular" w:hAnsi="Times New Roman Regular" w:eastAsia="宋体" w:cs="Times New Roman Regular"/>
          <w:b/>
          <w:color w:val="auto"/>
          <w:kern w:val="2"/>
          <w:szCs w:val="28"/>
          <w:lang w:val="en-US" w:eastAsia="zh-Hans"/>
        </w:rPr>
        <w:t>图</w:t>
      </w:r>
      <w:r>
        <w:rPr>
          <w:rFonts w:hint="default" w:ascii="Times New Roman Regular" w:hAnsi="Times New Roman Regular" w:eastAsia="宋体" w:cs="Times New Roman Regular"/>
          <w:b/>
          <w:color w:val="auto"/>
          <w:kern w:val="2"/>
          <w:szCs w:val="28"/>
          <w:lang w:eastAsia="zh-Hans"/>
        </w:rPr>
        <w:t>2</w:t>
      </w:r>
      <w:r>
        <w:rPr>
          <w:rFonts w:hint="default" w:ascii="Times New Roman Regular" w:hAnsi="Times New Roman Regular" w:eastAsia="宋体" w:cs="Times New Roman Regular"/>
          <w:b/>
          <w:color w:val="auto"/>
          <w:kern w:val="2"/>
          <w:szCs w:val="28"/>
        </w:rPr>
        <w:t xml:space="preserve"> </w:t>
      </w:r>
      <w:r>
        <w:rPr>
          <w:rFonts w:hint="default" w:ascii="Times New Roman Regular" w:hAnsi="Times New Roman Regular" w:eastAsia="宋体" w:cs="Times New Roman Regular"/>
          <w:b/>
          <w:color w:val="auto"/>
          <w:kern w:val="2"/>
          <w:szCs w:val="28"/>
          <w:lang w:val="en-US" w:eastAsia="zh-Hans"/>
        </w:rPr>
        <w:t>车间平面布置图</w:t>
      </w:r>
      <w:r>
        <w:rPr>
          <w:rFonts w:hint="default" w:ascii="Times New Roman Regular" w:hAnsi="Times New Roman Regular" w:eastAsia="宋体" w:cs="Times New Roman Regular"/>
          <w:b/>
          <w:color w:val="auto"/>
          <w:kern w:val="2"/>
          <w:szCs w:val="28"/>
          <w:lang w:eastAsia="zh-Hans"/>
        </w:rPr>
        <w:t>（</w:t>
      </w:r>
      <w:r>
        <w:rPr>
          <w:rFonts w:hint="eastAsia" w:ascii="Times New Roman Regular" w:hAnsi="Times New Roman Regular" w:eastAsia="宋体" w:cs="Times New Roman Regular"/>
          <w:b/>
          <w:color w:val="auto"/>
          <w:kern w:val="2"/>
          <w:szCs w:val="28"/>
          <w:lang w:val="en-US" w:eastAsia="zh-Hans"/>
        </w:rPr>
        <w:t>一层</w:t>
      </w:r>
      <w:r>
        <w:rPr>
          <w:rFonts w:hint="default" w:ascii="Times New Roman Regular" w:hAnsi="Times New Roman Regular" w:eastAsia="宋体" w:cs="Times New Roman Regular"/>
          <w:b/>
          <w:color w:val="auto"/>
          <w:kern w:val="2"/>
          <w:szCs w:val="28"/>
          <w:lang w:eastAsia="zh-Hans"/>
        </w:rPr>
        <w:t>）</w:t>
      </w:r>
      <w:bookmarkEnd w:id="422"/>
    </w:p>
    <w:p>
      <w:pPr>
        <w:tabs>
          <w:tab w:val="left" w:pos="342"/>
        </w:tabs>
        <w:bidi w:val="0"/>
        <w:jc w:val="left"/>
        <w:rPr>
          <w:rFonts w:hint="default" w:ascii="Times New Roman Regular" w:hAnsi="Times New Roman Regular" w:cs="Times New Roman Regular"/>
          <w:lang w:eastAsia="zh-CN"/>
        </w:rPr>
        <w:sectPr>
          <w:pgSz w:w="16781" w:h="23760"/>
          <w:pgMar w:top="1440" w:right="1463" w:bottom="1440" w:left="1514" w:header="851" w:footer="992" w:gutter="0"/>
          <w:pgBorders>
            <w:top w:val="none" w:sz="0" w:space="0"/>
            <w:left w:val="none" w:sz="0" w:space="0"/>
            <w:bottom w:val="none" w:sz="0" w:space="0"/>
            <w:right w:val="none" w:sz="0" w:space="0"/>
          </w:pgBorders>
          <w:pgNumType w:fmt="decimal"/>
          <w:cols w:space="0" w:num="1"/>
          <w:rtlGutter w:val="0"/>
          <w:docGrid w:type="lines" w:linePitch="326" w:charSpace="0"/>
        </w:sectPr>
      </w:pPr>
      <w:r>
        <w:rPr>
          <w:rFonts w:hint="default" w:ascii="Times New Roman Regular" w:hAnsi="Times New Roman Regular" w:cs="Times New Roman Regular"/>
          <w:lang w:eastAsia="zh-CN"/>
        </w:rPr>
        <w:drawing>
          <wp:inline distT="0" distB="0" distL="114300" distR="114300">
            <wp:extent cx="8632190" cy="12220575"/>
            <wp:effectExtent l="0" t="0" r="3810" b="22225"/>
            <wp:docPr id="32" name="图片 32" descr="一楼车间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一楼车间规划"/>
                    <pic:cNvPicPr>
                      <a:picLocks noChangeAspect="1"/>
                    </pic:cNvPicPr>
                  </pic:nvPicPr>
                  <pic:blipFill>
                    <a:blip r:embed="rId29"/>
                    <a:stretch>
                      <a:fillRect/>
                    </a:stretch>
                  </pic:blipFill>
                  <pic:spPr>
                    <a:xfrm>
                      <a:off x="0" y="0"/>
                      <a:ext cx="8632190" cy="12220575"/>
                    </a:xfrm>
                    <a:prstGeom prst="rect">
                      <a:avLst/>
                    </a:prstGeom>
                  </pic:spPr>
                </pic:pic>
              </a:graphicData>
            </a:graphic>
          </wp:inline>
        </w:drawing>
      </w:r>
    </w:p>
    <w:p>
      <w:pPr>
        <w:pStyle w:val="110"/>
        <w:widowControl w:val="0"/>
        <w:tabs>
          <w:tab w:val="left" w:pos="240"/>
        </w:tabs>
        <w:spacing w:before="163" w:beforeLines="50" w:after="163" w:afterLines="50" w:line="360" w:lineRule="auto"/>
        <w:ind w:left="0" w:leftChars="0" w:firstLine="0" w:firstLineChars="0"/>
        <w:outlineLvl w:val="0"/>
        <w:rPr>
          <w:rFonts w:hint="default" w:ascii="Times New Roman Regular" w:hAnsi="Times New Roman Regular" w:eastAsia="宋体" w:cs="Times New Roman Regular"/>
          <w:color w:val="FF0000"/>
          <w:kern w:val="2"/>
          <w:sz w:val="24"/>
          <w:szCs w:val="24"/>
          <w:lang w:eastAsia="zh-CN" w:bidi="ar-SA"/>
        </w:rPr>
      </w:pPr>
      <w:bookmarkStart w:id="424" w:name="_Toc2043745783"/>
      <w:bookmarkStart w:id="425" w:name="_Toc583191248_WPSOffice_Level1"/>
      <w:r>
        <w:rPr>
          <w:rFonts w:hint="default" w:ascii="Times New Roman Regular" w:hAnsi="Times New Roman Regular" w:eastAsia="宋体" w:cs="Times New Roman Regular"/>
          <w:b/>
          <w:color w:val="auto"/>
          <w:kern w:val="2"/>
          <w:szCs w:val="28"/>
        </w:rPr>
        <w:t>附</w:t>
      </w:r>
      <w:r>
        <w:rPr>
          <w:rFonts w:hint="default" w:ascii="Times New Roman Regular" w:hAnsi="Times New Roman Regular" w:eastAsia="宋体" w:cs="Times New Roman Regular"/>
          <w:b/>
          <w:color w:val="auto"/>
          <w:kern w:val="2"/>
          <w:szCs w:val="28"/>
          <w:lang w:val="en-US" w:eastAsia="zh-Hans"/>
        </w:rPr>
        <w:t>图</w:t>
      </w:r>
      <w:r>
        <w:rPr>
          <w:rFonts w:hint="default" w:ascii="Times New Roman Regular" w:hAnsi="Times New Roman Regular" w:eastAsia="宋体" w:cs="Times New Roman Regular"/>
          <w:b/>
          <w:color w:val="auto"/>
          <w:kern w:val="2"/>
          <w:szCs w:val="28"/>
          <w:lang w:eastAsia="zh-Hans"/>
        </w:rPr>
        <w:t>3</w:t>
      </w:r>
      <w:r>
        <w:rPr>
          <w:rFonts w:hint="default" w:ascii="Times New Roman Regular" w:hAnsi="Times New Roman Regular" w:eastAsia="宋体" w:cs="Times New Roman Regular"/>
          <w:b/>
          <w:color w:val="auto"/>
          <w:kern w:val="2"/>
          <w:szCs w:val="28"/>
        </w:rPr>
        <w:t xml:space="preserve"> </w:t>
      </w:r>
      <w:r>
        <w:rPr>
          <w:rFonts w:hint="default" w:ascii="Times New Roman Regular" w:hAnsi="Times New Roman Regular" w:eastAsia="宋体" w:cs="Times New Roman Regular"/>
          <w:b/>
          <w:color w:val="auto"/>
          <w:kern w:val="2"/>
          <w:szCs w:val="28"/>
          <w:lang w:val="en-US" w:eastAsia="zh-Hans"/>
        </w:rPr>
        <w:t>车间平面布置图</w:t>
      </w:r>
      <w:bookmarkEnd w:id="424"/>
      <w:r>
        <w:rPr>
          <w:rFonts w:hint="default" w:ascii="Times New Roman Regular" w:hAnsi="Times New Roman Regular" w:eastAsia="宋体" w:cs="Times New Roman Regular"/>
          <w:b/>
          <w:color w:val="auto"/>
          <w:kern w:val="2"/>
          <w:szCs w:val="28"/>
          <w:lang w:eastAsia="zh-Hans"/>
        </w:rPr>
        <w:t>（</w:t>
      </w:r>
      <w:r>
        <w:rPr>
          <w:rFonts w:hint="eastAsia" w:ascii="Times New Roman Regular" w:hAnsi="Times New Roman Regular" w:eastAsia="宋体" w:cs="Times New Roman Regular"/>
          <w:b/>
          <w:color w:val="auto"/>
          <w:kern w:val="2"/>
          <w:szCs w:val="28"/>
          <w:lang w:val="en-US" w:eastAsia="zh-Hans"/>
        </w:rPr>
        <w:t>二层</w:t>
      </w:r>
      <w:r>
        <w:rPr>
          <w:rFonts w:hint="default" w:ascii="Times New Roman Regular" w:hAnsi="Times New Roman Regular" w:eastAsia="宋体" w:cs="Times New Roman Regular"/>
          <w:b/>
          <w:color w:val="auto"/>
          <w:kern w:val="2"/>
          <w:szCs w:val="28"/>
          <w:lang w:eastAsia="zh-Hans"/>
        </w:rPr>
        <w:t>）</w:t>
      </w:r>
      <w:bookmarkEnd w:id="425"/>
    </w:p>
    <w:p>
      <w:pPr>
        <w:bidi w:val="0"/>
        <w:rPr>
          <w:rFonts w:hint="default" w:ascii="Times New Roman Regular" w:hAnsi="Times New Roman Regular" w:eastAsia="宋体" w:cs="Times New Roman Regular"/>
          <w:color w:val="FF0000"/>
          <w:kern w:val="2"/>
          <w:sz w:val="24"/>
          <w:szCs w:val="24"/>
          <w:lang w:eastAsia="zh-CN" w:bidi="ar-SA"/>
        </w:rPr>
      </w:pPr>
      <w:r>
        <w:rPr>
          <w:rFonts w:hint="default" w:ascii="Times New Roman Regular" w:hAnsi="Times New Roman Regular" w:eastAsia="宋体" w:cs="Times New Roman Regular"/>
          <w:color w:val="FF0000"/>
          <w:kern w:val="2"/>
          <w:sz w:val="24"/>
          <w:szCs w:val="24"/>
          <w:lang w:eastAsia="zh-CN" w:bidi="ar-SA"/>
        </w:rPr>
        <w:drawing>
          <wp:inline distT="0" distB="0" distL="114300" distR="114300">
            <wp:extent cx="8763635" cy="12405995"/>
            <wp:effectExtent l="0" t="0" r="24765" b="14605"/>
            <wp:docPr id="52" name="图片 52" descr="二楼车间布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二楼车间布局"/>
                    <pic:cNvPicPr>
                      <a:picLocks noChangeAspect="1"/>
                    </pic:cNvPicPr>
                  </pic:nvPicPr>
                  <pic:blipFill>
                    <a:blip r:embed="rId30"/>
                    <a:stretch>
                      <a:fillRect/>
                    </a:stretch>
                  </pic:blipFill>
                  <pic:spPr>
                    <a:xfrm>
                      <a:off x="0" y="0"/>
                      <a:ext cx="8763635" cy="12405995"/>
                    </a:xfrm>
                    <a:prstGeom prst="rect">
                      <a:avLst/>
                    </a:prstGeom>
                  </pic:spPr>
                </pic:pic>
              </a:graphicData>
            </a:graphic>
          </wp:inline>
        </w:drawing>
      </w:r>
    </w:p>
    <w:p>
      <w:pPr>
        <w:bidi w:val="0"/>
        <w:jc w:val="left"/>
        <w:rPr>
          <w:rFonts w:hint="default"/>
          <w:lang w:val="en-US" w:eastAsia="zh-CN"/>
        </w:rPr>
      </w:pPr>
      <w:r>
        <w:rPr>
          <w:rFonts w:hint="default"/>
          <w:lang w:val="en-US" w:eastAsia="zh-CN"/>
        </w:rPr>
        <w:br w:type="page"/>
      </w:r>
    </w:p>
    <w:p>
      <w:pPr>
        <w:pStyle w:val="110"/>
        <w:widowControl w:val="0"/>
        <w:tabs>
          <w:tab w:val="left" w:pos="240"/>
        </w:tabs>
        <w:spacing w:before="163" w:beforeLines="50" w:after="163" w:afterLines="50" w:line="360" w:lineRule="auto"/>
        <w:ind w:left="0" w:leftChars="0" w:firstLine="0" w:firstLineChars="0"/>
        <w:outlineLvl w:val="9"/>
        <w:rPr>
          <w:rFonts w:hint="default"/>
          <w:lang w:val="en-US" w:eastAsia="zh-CN"/>
        </w:rPr>
      </w:pPr>
      <w:r>
        <w:rPr>
          <w:rFonts w:hint="default" w:ascii="Times New Roman Regular" w:hAnsi="Times New Roman Regular" w:eastAsia="宋体" w:cs="Times New Roman Regular"/>
          <w:b/>
          <w:color w:val="auto"/>
          <w:kern w:val="2"/>
          <w:szCs w:val="28"/>
        </w:rPr>
        <w:t>附</w:t>
      </w:r>
      <w:r>
        <w:rPr>
          <w:rFonts w:hint="default" w:ascii="Times New Roman Regular" w:hAnsi="Times New Roman Regular" w:eastAsia="宋体" w:cs="Times New Roman Regular"/>
          <w:b/>
          <w:color w:val="auto"/>
          <w:kern w:val="2"/>
          <w:szCs w:val="28"/>
          <w:lang w:val="en-US" w:eastAsia="zh-Hans"/>
        </w:rPr>
        <w:t>图</w:t>
      </w:r>
      <w:r>
        <w:rPr>
          <w:rFonts w:hint="default" w:ascii="Times New Roman Regular" w:hAnsi="Times New Roman Regular" w:eastAsia="宋体" w:cs="Times New Roman Regular"/>
          <w:b/>
          <w:color w:val="auto"/>
          <w:kern w:val="2"/>
          <w:szCs w:val="28"/>
          <w:lang w:eastAsia="zh-Hans"/>
        </w:rPr>
        <w:t>3</w:t>
      </w:r>
      <w:r>
        <w:rPr>
          <w:rFonts w:hint="default" w:ascii="Times New Roman Regular" w:hAnsi="Times New Roman Regular" w:eastAsia="宋体" w:cs="Times New Roman Regular"/>
          <w:b/>
          <w:color w:val="auto"/>
          <w:kern w:val="2"/>
          <w:szCs w:val="28"/>
        </w:rPr>
        <w:t xml:space="preserve"> </w:t>
      </w:r>
      <w:r>
        <w:rPr>
          <w:rFonts w:hint="default" w:ascii="Times New Roman Regular" w:hAnsi="Times New Roman Regular" w:eastAsia="宋体" w:cs="Times New Roman Regular"/>
          <w:b/>
          <w:color w:val="auto"/>
          <w:kern w:val="2"/>
          <w:szCs w:val="28"/>
          <w:lang w:val="en-US" w:eastAsia="zh-Hans"/>
        </w:rPr>
        <w:t>车间平面布置图</w:t>
      </w:r>
      <w:r>
        <w:rPr>
          <w:rFonts w:hint="default" w:ascii="Times New Roman Regular" w:hAnsi="Times New Roman Regular" w:eastAsia="宋体" w:cs="Times New Roman Regular"/>
          <w:b/>
          <w:color w:val="auto"/>
          <w:kern w:val="2"/>
          <w:szCs w:val="28"/>
          <w:lang w:eastAsia="zh-Hans"/>
        </w:rPr>
        <w:t>（</w:t>
      </w:r>
      <w:r>
        <w:rPr>
          <w:rFonts w:hint="eastAsia" w:ascii="Times New Roman Regular" w:hAnsi="Times New Roman Regular" w:eastAsia="宋体" w:cs="Times New Roman Regular"/>
          <w:b/>
          <w:color w:val="auto"/>
          <w:kern w:val="2"/>
          <w:szCs w:val="28"/>
          <w:lang w:val="en-US" w:eastAsia="zh-Hans"/>
        </w:rPr>
        <w:t>三层</w:t>
      </w:r>
      <w:r>
        <w:rPr>
          <w:rFonts w:hint="default" w:ascii="Times New Roman Regular" w:hAnsi="Times New Roman Regular" w:eastAsia="宋体" w:cs="Times New Roman Regular"/>
          <w:b/>
          <w:color w:val="auto"/>
          <w:kern w:val="2"/>
          <w:szCs w:val="28"/>
          <w:lang w:eastAsia="zh-Hans"/>
        </w:rPr>
        <w:t>）</w:t>
      </w:r>
    </w:p>
    <w:p>
      <w:pPr>
        <w:tabs>
          <w:tab w:val="left" w:pos="237"/>
        </w:tabs>
        <w:bidi w:val="0"/>
        <w:jc w:val="left"/>
        <w:rPr>
          <w:rFonts w:hint="default"/>
          <w:lang w:eastAsia="zh-CN"/>
        </w:rPr>
        <w:sectPr>
          <w:pgSz w:w="16781" w:h="23760"/>
          <w:pgMar w:top="1440" w:right="1463" w:bottom="1440" w:left="1514" w:header="851" w:footer="992" w:gutter="0"/>
          <w:pgBorders>
            <w:top w:val="none" w:sz="0" w:space="0"/>
            <w:left w:val="none" w:sz="0" w:space="0"/>
            <w:bottom w:val="none" w:sz="0" w:space="0"/>
            <w:right w:val="none" w:sz="0" w:space="0"/>
          </w:pgBorders>
          <w:pgNumType w:fmt="decimal"/>
          <w:cols w:space="0" w:num="1"/>
          <w:rtlGutter w:val="0"/>
          <w:docGrid w:type="lines" w:linePitch="326" w:charSpace="0"/>
        </w:sectPr>
      </w:pPr>
      <w:r>
        <w:rPr>
          <w:rFonts w:hint="default"/>
          <w:lang w:eastAsia="zh-CN"/>
        </w:rPr>
        <w:drawing>
          <wp:inline distT="0" distB="0" distL="114300" distR="114300">
            <wp:extent cx="8763635" cy="12405995"/>
            <wp:effectExtent l="0" t="0" r="24765" b="14605"/>
            <wp:docPr id="53" name="图片 53" descr="三车间布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三车间布局"/>
                    <pic:cNvPicPr>
                      <a:picLocks noChangeAspect="1"/>
                    </pic:cNvPicPr>
                  </pic:nvPicPr>
                  <pic:blipFill>
                    <a:blip r:embed="rId31"/>
                    <a:stretch>
                      <a:fillRect/>
                    </a:stretch>
                  </pic:blipFill>
                  <pic:spPr>
                    <a:xfrm>
                      <a:off x="0" y="0"/>
                      <a:ext cx="8763635" cy="12405995"/>
                    </a:xfrm>
                    <a:prstGeom prst="rect">
                      <a:avLst/>
                    </a:prstGeom>
                  </pic:spPr>
                </pic:pic>
              </a:graphicData>
            </a:graphic>
          </wp:inline>
        </w:drawing>
      </w:r>
      <w:r>
        <w:rPr>
          <w:rFonts w:hint="default"/>
          <w:lang w:eastAsia="zh-CN"/>
        </w:rPr>
        <w:tab/>
      </w:r>
    </w:p>
    <w:p>
      <w:pPr>
        <w:pStyle w:val="110"/>
        <w:widowControl w:val="0"/>
        <w:spacing w:before="163" w:beforeLines="50" w:after="163" w:afterLines="50" w:line="360" w:lineRule="auto"/>
        <w:ind w:firstLine="0"/>
        <w:outlineLvl w:val="0"/>
        <w:rPr>
          <w:rFonts w:hint="default" w:ascii="Times New Roman Regular" w:hAnsi="Times New Roman Regular" w:eastAsia="宋体" w:cs="Times New Roman Regular"/>
          <w:b/>
          <w:color w:val="auto"/>
          <w:kern w:val="2"/>
          <w:szCs w:val="28"/>
        </w:rPr>
      </w:pPr>
      <w:bookmarkStart w:id="426" w:name="_Toc579940228_WPSOffice_Level1"/>
      <w:bookmarkStart w:id="427" w:name="_Toc234441116"/>
      <w:r>
        <w:rPr>
          <w:rFonts w:hint="default" w:ascii="Times New Roman Regular" w:hAnsi="Times New Roman Regular" w:eastAsia="宋体" w:cs="Times New Roman Regular"/>
          <w:b/>
          <w:color w:val="auto"/>
          <w:kern w:val="2"/>
          <w:szCs w:val="28"/>
        </w:rPr>
        <w:t>附件1 环评委托书</w:t>
      </w:r>
      <w:bookmarkEnd w:id="423"/>
      <w:bookmarkEnd w:id="426"/>
      <w:bookmarkEnd w:id="427"/>
    </w:p>
    <w:p>
      <w:pPr>
        <w:bidi w:val="0"/>
        <w:jc w:val="left"/>
        <w:rPr>
          <w:rFonts w:hint="default" w:ascii="Times New Roman Regular" w:hAnsi="Times New Roman Regular" w:eastAsia="宋体" w:cs="Times New Roman Regular"/>
          <w:color w:val="FF0000"/>
          <w:kern w:val="2"/>
          <w:sz w:val="24"/>
          <w:szCs w:val="28"/>
          <w:lang w:eastAsia="zh-CN" w:bidi="ar-SA"/>
        </w:rPr>
        <w:sectPr>
          <w:pgSz w:w="11906" w:h="16838"/>
          <w:pgMar w:top="1440" w:right="1462" w:bottom="1440" w:left="1513" w:header="851" w:footer="992" w:gutter="0"/>
          <w:pgBorders>
            <w:top w:val="none" w:sz="0" w:space="0"/>
            <w:left w:val="none" w:sz="0" w:space="0"/>
            <w:bottom w:val="none" w:sz="0" w:space="0"/>
            <w:right w:val="none" w:sz="0" w:space="0"/>
          </w:pgBorders>
          <w:pgNumType w:fmt="decimal"/>
          <w:cols w:space="720" w:num="1"/>
          <w:docGrid w:type="lines" w:linePitch="326" w:charSpace="0"/>
        </w:sectPr>
      </w:pPr>
      <w:r>
        <w:rPr>
          <w:rFonts w:hint="default" w:ascii="Times New Roman Regular" w:hAnsi="Times New Roman Regular" w:eastAsia="宋体" w:cs="Times New Roman Regular"/>
          <w:color w:val="FF0000"/>
          <w:kern w:val="2"/>
          <w:sz w:val="24"/>
          <w:szCs w:val="28"/>
          <w:lang w:eastAsia="zh-CN" w:bidi="ar-SA"/>
        </w:rPr>
        <w:drawing>
          <wp:inline distT="0" distB="0" distL="114300" distR="114300">
            <wp:extent cx="5542280" cy="7888605"/>
            <wp:effectExtent l="0" t="0" r="20320" b="10795"/>
            <wp:docPr id="18" name="图片 18"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委托书"/>
                    <pic:cNvPicPr>
                      <a:picLocks noChangeAspect="1"/>
                    </pic:cNvPicPr>
                  </pic:nvPicPr>
                  <pic:blipFill>
                    <a:blip r:embed="rId32"/>
                    <a:stretch>
                      <a:fillRect/>
                    </a:stretch>
                  </pic:blipFill>
                  <pic:spPr>
                    <a:xfrm>
                      <a:off x="0" y="0"/>
                      <a:ext cx="5542280" cy="7888605"/>
                    </a:xfrm>
                    <a:prstGeom prst="rect">
                      <a:avLst/>
                    </a:prstGeom>
                  </pic:spPr>
                </pic:pic>
              </a:graphicData>
            </a:graphic>
          </wp:inline>
        </w:drawing>
      </w:r>
    </w:p>
    <w:p>
      <w:pPr>
        <w:pStyle w:val="110"/>
        <w:widowControl w:val="0"/>
        <w:spacing w:before="163" w:beforeLines="50" w:after="163" w:afterLines="50" w:line="360" w:lineRule="auto"/>
        <w:ind w:firstLine="0"/>
        <w:outlineLvl w:val="0"/>
        <w:rPr>
          <w:rFonts w:hint="default" w:ascii="Times New Roman Regular" w:hAnsi="Times New Roman Regular" w:eastAsia="宋体" w:cs="Times New Roman Regular"/>
          <w:b/>
          <w:color w:val="auto"/>
          <w:kern w:val="2"/>
          <w:szCs w:val="28"/>
          <w:lang w:val="en-US" w:eastAsia="zh-Hans"/>
        </w:rPr>
      </w:pPr>
      <w:bookmarkStart w:id="428" w:name="_Toc1766828014"/>
      <w:bookmarkStart w:id="429" w:name="_Toc1774621910_WPSOffice_Level1"/>
      <w:bookmarkStart w:id="430" w:name="_Toc47618415"/>
      <w:r>
        <w:rPr>
          <w:rFonts w:hint="default" w:ascii="Times New Roman Regular" w:hAnsi="Times New Roman Regular" w:eastAsia="宋体" w:cs="Times New Roman Regular"/>
          <w:b/>
          <w:color w:val="auto"/>
          <w:kern w:val="2"/>
          <w:szCs w:val="28"/>
        </w:rPr>
        <w:t xml:space="preserve">附件2 </w:t>
      </w:r>
      <w:r>
        <w:rPr>
          <w:rFonts w:hint="default" w:ascii="Times New Roman Regular" w:hAnsi="Times New Roman Regular" w:eastAsia="宋体" w:cs="Times New Roman Regular"/>
          <w:b/>
          <w:color w:val="auto"/>
          <w:kern w:val="2"/>
          <w:szCs w:val="28"/>
          <w:lang w:val="en-US" w:eastAsia="zh-Hans"/>
        </w:rPr>
        <w:t>备案表</w:t>
      </w:r>
      <w:bookmarkEnd w:id="428"/>
      <w:bookmarkEnd w:id="429"/>
    </w:p>
    <w:p>
      <w:pPr>
        <w:pStyle w:val="110"/>
        <w:widowControl w:val="0"/>
        <w:spacing w:before="163" w:beforeLines="50" w:after="163" w:afterLines="50" w:line="360" w:lineRule="auto"/>
        <w:ind w:firstLine="0"/>
        <w:jc w:val="left"/>
        <w:outlineLvl w:val="9"/>
        <w:rPr>
          <w:rFonts w:hint="default" w:ascii="Times New Roman Regular" w:hAnsi="Times New Roman Regular" w:eastAsia="宋体" w:cs="Times New Roman Regular"/>
          <w:b/>
          <w:color w:val="auto"/>
          <w:kern w:val="2"/>
          <w:szCs w:val="28"/>
        </w:rPr>
      </w:pPr>
      <w:r>
        <w:rPr>
          <w:rFonts w:hint="default" w:ascii="Times New Roman Regular" w:hAnsi="Times New Roman Regular" w:eastAsia="宋体" w:cs="Times New Roman Regular"/>
          <w:b/>
          <w:color w:val="auto"/>
          <w:kern w:val="2"/>
          <w:szCs w:val="28"/>
          <w:lang w:val="en-US" w:eastAsia="zh-Hans"/>
        </w:rPr>
        <w:drawing>
          <wp:inline distT="0" distB="0" distL="114300" distR="114300">
            <wp:extent cx="8858885" cy="4142105"/>
            <wp:effectExtent l="0" t="0" r="5715" b="23495"/>
            <wp:docPr id="63" name="图片 63" descr="WechatIMG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WechatIMG302"/>
                    <pic:cNvPicPr>
                      <a:picLocks noChangeAspect="1"/>
                    </pic:cNvPicPr>
                  </pic:nvPicPr>
                  <pic:blipFill>
                    <a:blip r:embed="rId33"/>
                    <a:stretch>
                      <a:fillRect/>
                    </a:stretch>
                  </pic:blipFill>
                  <pic:spPr>
                    <a:xfrm>
                      <a:off x="0" y="0"/>
                      <a:ext cx="8858885" cy="4142105"/>
                    </a:xfrm>
                    <a:prstGeom prst="rect">
                      <a:avLst/>
                    </a:prstGeom>
                  </pic:spPr>
                </pic:pic>
              </a:graphicData>
            </a:graphic>
          </wp:inline>
        </w:drawing>
      </w:r>
    </w:p>
    <w:p>
      <w:pPr>
        <w:bidi w:val="0"/>
        <w:jc w:val="center"/>
        <w:rPr>
          <w:rFonts w:hint="default" w:ascii="Times New Roman Regular" w:hAnsi="Times New Roman Regular" w:eastAsia="宋体" w:cs="Times New Roman Regular"/>
          <w:b/>
          <w:color w:val="FF0000"/>
          <w:kern w:val="2"/>
          <w:sz w:val="24"/>
          <w:szCs w:val="28"/>
          <w:lang w:val="en-US" w:eastAsia="zh-CN" w:bidi="ar-SA"/>
        </w:rPr>
        <w:sectPr>
          <w:pgSz w:w="16838" w:h="11906" w:orient="landscape"/>
          <w:pgMar w:top="1462" w:right="1440" w:bottom="1513"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pPr>
        <w:pStyle w:val="110"/>
        <w:widowControl w:val="0"/>
        <w:spacing w:before="163" w:beforeLines="50" w:after="163" w:afterLines="50" w:line="360" w:lineRule="auto"/>
        <w:ind w:firstLine="0"/>
        <w:outlineLvl w:val="0"/>
        <w:rPr>
          <w:rFonts w:hint="default" w:ascii="Times New Roman Regular" w:hAnsi="Times New Roman Regular" w:eastAsia="宋体" w:cs="Times New Roman Regular"/>
          <w:color w:val="auto"/>
          <w:kern w:val="2"/>
          <w:sz w:val="24"/>
          <w:szCs w:val="24"/>
          <w:lang w:val="en-US" w:eastAsia="zh-CN" w:bidi="ar-SA"/>
        </w:rPr>
      </w:pPr>
      <w:bookmarkStart w:id="431" w:name="_Toc1822044229"/>
      <w:bookmarkStart w:id="432" w:name="_Toc1817551834_WPSOffice_Level1"/>
      <w:r>
        <w:rPr>
          <w:rFonts w:hint="default" w:ascii="Times New Roman Regular" w:hAnsi="Times New Roman Regular" w:eastAsia="宋体" w:cs="Times New Roman Regular"/>
          <w:b/>
          <w:color w:val="auto"/>
          <w:kern w:val="2"/>
          <w:szCs w:val="28"/>
        </w:rPr>
        <w:t xml:space="preserve">附件3 </w:t>
      </w:r>
      <w:bookmarkEnd w:id="430"/>
      <w:r>
        <w:rPr>
          <w:rFonts w:hint="default" w:ascii="Times New Roman Regular" w:hAnsi="Times New Roman Regular" w:eastAsia="宋体" w:cs="Times New Roman Regular"/>
          <w:b/>
          <w:color w:val="auto"/>
          <w:kern w:val="2"/>
          <w:szCs w:val="28"/>
        </w:rPr>
        <w:t>营业执照</w:t>
      </w:r>
      <w:bookmarkEnd w:id="431"/>
      <w:bookmarkEnd w:id="432"/>
    </w:p>
    <w:p>
      <w:pPr>
        <w:tabs>
          <w:tab w:val="left" w:pos="277"/>
        </w:tabs>
        <w:bidi w:val="0"/>
        <w:jc w:val="center"/>
        <w:rPr>
          <w:rFonts w:hint="default" w:ascii="Times New Roman Regular" w:hAnsi="Times New Roman Regular" w:cs="Times New Roman Regular"/>
          <w:lang w:eastAsia="zh-CN"/>
        </w:rPr>
        <w:sectPr>
          <w:pgSz w:w="16838" w:h="11906" w:orient="landscape"/>
          <w:pgMar w:top="1462" w:right="1440" w:bottom="1513"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r>
        <w:rPr>
          <w:rFonts w:hint="default" w:ascii="Times New Roman Regular" w:hAnsi="Times New Roman Regular" w:cs="Times New Roman Regular"/>
        </w:rPr>
        <w:drawing>
          <wp:inline distT="0" distB="0" distL="114300" distR="114300">
            <wp:extent cx="6701155" cy="4931410"/>
            <wp:effectExtent l="0" t="0" r="4445" b="21590"/>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34"/>
                    <a:srcRect t="5760"/>
                    <a:stretch>
                      <a:fillRect/>
                    </a:stretch>
                  </pic:blipFill>
                  <pic:spPr>
                    <a:xfrm>
                      <a:off x="0" y="0"/>
                      <a:ext cx="6701155" cy="4931410"/>
                    </a:xfrm>
                    <a:prstGeom prst="rect">
                      <a:avLst/>
                    </a:prstGeom>
                    <a:noFill/>
                    <a:ln w="9525">
                      <a:noFill/>
                    </a:ln>
                  </pic:spPr>
                </pic:pic>
              </a:graphicData>
            </a:graphic>
          </wp:inline>
        </w:drawing>
      </w:r>
    </w:p>
    <w:p>
      <w:pPr>
        <w:pStyle w:val="110"/>
        <w:widowControl w:val="0"/>
        <w:spacing w:before="163" w:beforeLines="50" w:after="163" w:afterLines="50" w:line="360" w:lineRule="auto"/>
        <w:ind w:firstLine="0"/>
        <w:outlineLvl w:val="0"/>
        <w:rPr>
          <w:rFonts w:hint="default" w:ascii="Times New Roman Regular" w:hAnsi="Times New Roman Regular" w:eastAsia="宋体" w:cs="Times New Roman Regular"/>
          <w:b/>
          <w:color w:val="auto"/>
          <w:kern w:val="2"/>
          <w:szCs w:val="28"/>
        </w:rPr>
      </w:pPr>
      <w:bookmarkStart w:id="433" w:name="_Toc1786279110_WPSOffice_Level1"/>
      <w:bookmarkStart w:id="434" w:name="_Toc2128034230"/>
      <w:r>
        <w:rPr>
          <w:rFonts w:hint="default" w:ascii="Times New Roman Regular" w:hAnsi="Times New Roman Regular" w:eastAsia="宋体" w:cs="Times New Roman Regular"/>
          <w:b/>
          <w:color w:val="auto"/>
          <w:kern w:val="2"/>
          <w:szCs w:val="28"/>
        </w:rPr>
        <w:t>附件4 法人身份证</w:t>
      </w:r>
      <w:bookmarkEnd w:id="433"/>
      <w:bookmarkEnd w:id="434"/>
    </w:p>
    <w:p>
      <w:pPr>
        <w:rPr>
          <w:rFonts w:hint="default" w:ascii="Times New Roman Regular" w:hAnsi="Times New Roman Regular" w:cs="Times New Roman Regular"/>
        </w:rPr>
      </w:pPr>
      <w:r>
        <w:rPr>
          <w:rFonts w:hint="default" w:ascii="Times New Roman Regular" w:hAnsi="Times New Roman Regular" w:cs="Times New Roman Regular"/>
        </w:rPr>
        <w:drawing>
          <wp:inline distT="0" distB="0" distL="114300" distR="114300">
            <wp:extent cx="5666105" cy="7552055"/>
            <wp:effectExtent l="0" t="0" r="23495" b="17145"/>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35"/>
                    <a:stretch>
                      <a:fillRect/>
                    </a:stretch>
                  </pic:blipFill>
                  <pic:spPr>
                    <a:xfrm>
                      <a:off x="0" y="0"/>
                      <a:ext cx="5666105" cy="7552055"/>
                    </a:xfrm>
                    <a:prstGeom prst="rect">
                      <a:avLst/>
                    </a:prstGeom>
                    <a:noFill/>
                    <a:ln w="9525">
                      <a:noFill/>
                    </a:ln>
                  </pic:spPr>
                </pic:pic>
              </a:graphicData>
            </a:graphic>
          </wp:inline>
        </w:drawing>
      </w:r>
    </w:p>
    <w:p>
      <w:pPr>
        <w:pStyle w:val="2"/>
        <w:rPr>
          <w:rFonts w:hint="default" w:ascii="Times New Roman Regular" w:hAnsi="Times New Roman Regular" w:cs="Times New Roman Regular"/>
        </w:rPr>
      </w:pPr>
    </w:p>
    <w:p>
      <w:pPr>
        <w:pStyle w:val="110"/>
        <w:widowControl w:val="0"/>
        <w:spacing w:before="163" w:beforeLines="50" w:after="163" w:afterLines="50" w:line="360" w:lineRule="auto"/>
        <w:ind w:firstLine="0"/>
        <w:outlineLvl w:val="0"/>
        <w:rPr>
          <w:rFonts w:hint="default" w:ascii="Times New Roman Regular" w:hAnsi="Times New Roman Regular" w:eastAsia="宋体" w:cs="Times New Roman Regular"/>
          <w:b/>
          <w:color w:val="auto"/>
          <w:kern w:val="2"/>
          <w:szCs w:val="28"/>
          <w:lang w:eastAsia="zh-Hans"/>
        </w:rPr>
      </w:pPr>
      <w:bookmarkStart w:id="435" w:name="_Toc171616710_WPSOffice_Level1"/>
      <w:bookmarkStart w:id="436" w:name="_Toc1678646472"/>
      <w:r>
        <w:rPr>
          <w:rFonts w:hint="default" w:ascii="Times New Roman Regular" w:hAnsi="Times New Roman Regular" w:eastAsia="宋体" w:cs="Times New Roman Regular"/>
          <w:b/>
          <w:color w:val="auto"/>
          <w:kern w:val="2"/>
          <w:szCs w:val="28"/>
        </w:rPr>
        <w:t xml:space="preserve">附件5 </w:t>
      </w:r>
      <w:r>
        <w:rPr>
          <w:rFonts w:hint="default" w:ascii="Times New Roman Regular" w:hAnsi="Times New Roman Regular" w:eastAsia="宋体" w:cs="Times New Roman Regular"/>
          <w:b/>
          <w:color w:val="auto"/>
          <w:kern w:val="2"/>
          <w:szCs w:val="28"/>
          <w:lang w:eastAsia="zh-Hans"/>
        </w:rPr>
        <w:t>产权证</w:t>
      </w:r>
      <w:bookmarkEnd w:id="435"/>
      <w:bookmarkEnd w:id="436"/>
    </w:p>
    <w:p>
      <w:pPr>
        <w:bidi w:val="0"/>
        <w:jc w:val="left"/>
        <w:rPr>
          <w:rFonts w:hint="default" w:ascii="Times New Roman Regular" w:hAnsi="Times New Roman Regular" w:cs="Times New Roman Regular"/>
          <w:lang w:eastAsia="zh-Hans"/>
        </w:rPr>
      </w:pPr>
      <w:r>
        <w:rPr>
          <w:rFonts w:hint="default" w:ascii="Times New Roman Regular" w:hAnsi="Times New Roman Regular" w:cs="Times New Roman Regular"/>
        </w:rPr>
        <w:drawing>
          <wp:inline distT="0" distB="0" distL="114300" distR="114300">
            <wp:extent cx="5664835" cy="6529070"/>
            <wp:effectExtent l="0" t="0" r="24765" b="24130"/>
            <wp:docPr id="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
                    <pic:cNvPicPr>
                      <a:picLocks noChangeAspect="1"/>
                    </pic:cNvPicPr>
                  </pic:nvPicPr>
                  <pic:blipFill>
                    <a:blip r:embed="rId36"/>
                    <a:stretch>
                      <a:fillRect/>
                    </a:stretch>
                  </pic:blipFill>
                  <pic:spPr>
                    <a:xfrm>
                      <a:off x="0" y="0"/>
                      <a:ext cx="5664835" cy="6529070"/>
                    </a:xfrm>
                    <a:prstGeom prst="rect">
                      <a:avLst/>
                    </a:prstGeom>
                    <a:noFill/>
                    <a:ln w="9525">
                      <a:noFill/>
                    </a:ln>
                  </pic:spPr>
                </pic:pic>
              </a:graphicData>
            </a:graphic>
          </wp:inline>
        </w:drawing>
      </w:r>
    </w:p>
    <w:p>
      <w:pPr>
        <w:jc w:val="both"/>
        <w:rPr>
          <w:rFonts w:hint="default" w:ascii="Times New Roman Regular" w:hAnsi="Times New Roman Regular" w:cs="Times New Roman Regular"/>
          <w:color w:val="FF0000"/>
          <w:lang w:eastAsia="zh-Hans"/>
        </w:rPr>
      </w:pPr>
      <w:r>
        <w:rPr>
          <w:rFonts w:hint="default" w:ascii="Times New Roman Regular" w:hAnsi="Times New Roman Regular" w:cs="Times New Roman Regular"/>
        </w:rPr>
        <w:drawing>
          <wp:inline distT="0" distB="0" distL="114300" distR="114300">
            <wp:extent cx="5664835" cy="7680960"/>
            <wp:effectExtent l="0" t="0" r="24765" b="15240"/>
            <wp:docPr id="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
                    <pic:cNvPicPr>
                      <a:picLocks noChangeAspect="1"/>
                    </pic:cNvPicPr>
                  </pic:nvPicPr>
                  <pic:blipFill>
                    <a:blip r:embed="rId37"/>
                    <a:stretch>
                      <a:fillRect/>
                    </a:stretch>
                  </pic:blipFill>
                  <pic:spPr>
                    <a:xfrm>
                      <a:off x="0" y="0"/>
                      <a:ext cx="5664835" cy="7680960"/>
                    </a:xfrm>
                    <a:prstGeom prst="rect">
                      <a:avLst/>
                    </a:prstGeom>
                    <a:noFill/>
                    <a:ln w="9525">
                      <a:noFill/>
                    </a:ln>
                  </pic:spPr>
                </pic:pic>
              </a:graphicData>
            </a:graphic>
          </wp:inline>
        </w:drawing>
      </w:r>
      <w:r>
        <w:rPr>
          <w:rFonts w:hint="default" w:ascii="Times New Roman Regular" w:hAnsi="Times New Roman Regular" w:cs="Times New Roman Regular"/>
        </w:rPr>
        <w:drawing>
          <wp:inline distT="0" distB="0" distL="114300" distR="114300">
            <wp:extent cx="5664835" cy="7489190"/>
            <wp:effectExtent l="0" t="0" r="24765" b="3810"/>
            <wp:docPr id="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pic:cNvPicPr>
                      <a:picLocks noChangeAspect="1"/>
                    </pic:cNvPicPr>
                  </pic:nvPicPr>
                  <pic:blipFill>
                    <a:blip r:embed="rId38"/>
                    <a:stretch>
                      <a:fillRect/>
                    </a:stretch>
                  </pic:blipFill>
                  <pic:spPr>
                    <a:xfrm>
                      <a:off x="0" y="0"/>
                      <a:ext cx="5664835" cy="7489190"/>
                    </a:xfrm>
                    <a:prstGeom prst="rect">
                      <a:avLst/>
                    </a:prstGeom>
                    <a:noFill/>
                    <a:ln w="9525">
                      <a:noFill/>
                    </a:ln>
                  </pic:spPr>
                </pic:pic>
              </a:graphicData>
            </a:graphic>
          </wp:inline>
        </w:drawing>
      </w:r>
      <w:r>
        <w:rPr>
          <w:rFonts w:hint="default" w:ascii="Times New Roman Regular" w:hAnsi="Times New Roman Regular" w:cs="Times New Roman Regular"/>
        </w:rPr>
        <w:drawing>
          <wp:inline distT="0" distB="0" distL="114300" distR="114300">
            <wp:extent cx="5670550" cy="7158355"/>
            <wp:effectExtent l="0" t="0" r="19050" b="4445"/>
            <wp:docPr id="9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1"/>
                    <pic:cNvPicPr>
                      <a:picLocks noChangeAspect="1"/>
                    </pic:cNvPicPr>
                  </pic:nvPicPr>
                  <pic:blipFill>
                    <a:blip r:embed="rId39"/>
                    <a:stretch>
                      <a:fillRect/>
                    </a:stretch>
                  </pic:blipFill>
                  <pic:spPr>
                    <a:xfrm>
                      <a:off x="0" y="0"/>
                      <a:ext cx="5670550" cy="7158355"/>
                    </a:xfrm>
                    <a:prstGeom prst="rect">
                      <a:avLst/>
                    </a:prstGeom>
                    <a:noFill/>
                    <a:ln w="9525">
                      <a:noFill/>
                    </a:ln>
                  </pic:spPr>
                </pic:pic>
              </a:graphicData>
            </a:graphic>
          </wp:inline>
        </w:drawing>
      </w:r>
    </w:p>
    <w:p>
      <w:pPr>
        <w:jc w:val="left"/>
        <w:rPr>
          <w:rFonts w:hint="default" w:ascii="Times New Roman Regular" w:hAnsi="Times New Roman Regular" w:cs="Times New Roman Regular"/>
          <w:color w:val="FF0000"/>
          <w:lang w:eastAsia="zh-Hans"/>
        </w:rPr>
      </w:pPr>
    </w:p>
    <w:p>
      <w:pPr>
        <w:rPr>
          <w:rFonts w:hint="default" w:ascii="Times New Roman Regular" w:hAnsi="Times New Roman Regular" w:cs="Times New Roman Regular"/>
          <w:color w:val="FF0000"/>
        </w:rPr>
      </w:pPr>
    </w:p>
    <w:p>
      <w:pPr>
        <w:rPr>
          <w:rFonts w:hint="default" w:ascii="Times New Roman Regular" w:hAnsi="Times New Roman Regular" w:cs="Times New Roman Regular"/>
          <w:color w:val="FF0000"/>
        </w:rPr>
        <w:sectPr>
          <w:pgSz w:w="11906" w:h="16838"/>
          <w:pgMar w:top="1440" w:right="1462" w:bottom="1440" w:left="1513" w:header="851" w:footer="992" w:gutter="0"/>
          <w:pgBorders>
            <w:top w:val="none" w:sz="0" w:space="0"/>
            <w:left w:val="none" w:sz="0" w:space="0"/>
            <w:bottom w:val="none" w:sz="0" w:space="0"/>
            <w:right w:val="none" w:sz="0" w:space="0"/>
          </w:pgBorders>
          <w:pgNumType w:fmt="decimal"/>
          <w:cols w:space="720" w:num="1"/>
          <w:docGrid w:type="lines" w:linePitch="326" w:charSpace="0"/>
        </w:sectPr>
      </w:pPr>
    </w:p>
    <w:p>
      <w:pPr>
        <w:pStyle w:val="110"/>
        <w:widowControl w:val="0"/>
        <w:spacing w:before="163" w:beforeLines="50" w:after="163" w:afterLines="50" w:line="360" w:lineRule="auto"/>
        <w:ind w:firstLine="0"/>
        <w:outlineLvl w:val="0"/>
        <w:rPr>
          <w:rFonts w:hint="default" w:ascii="Times New Roman Regular" w:hAnsi="Times New Roman Regular" w:eastAsia="宋体" w:cs="Times New Roman Regular"/>
          <w:b/>
          <w:color w:val="auto"/>
          <w:kern w:val="2"/>
          <w:szCs w:val="28"/>
          <w:lang w:eastAsia="zh-Hans"/>
        </w:rPr>
      </w:pPr>
      <w:bookmarkStart w:id="437" w:name="_Toc291507049_WPSOffice_Level1"/>
      <w:bookmarkStart w:id="438" w:name="_Toc1518584265"/>
      <w:r>
        <w:rPr>
          <w:rFonts w:hint="default" w:ascii="Times New Roman Regular" w:hAnsi="Times New Roman Regular" w:eastAsia="宋体" w:cs="Times New Roman Regular"/>
          <w:b/>
          <w:color w:val="auto"/>
          <w:kern w:val="2"/>
          <w:szCs w:val="28"/>
        </w:rPr>
        <w:t xml:space="preserve">附件6 </w:t>
      </w:r>
      <w:r>
        <w:rPr>
          <w:rFonts w:hint="default" w:ascii="Times New Roman Regular" w:hAnsi="Times New Roman Regular" w:eastAsia="宋体" w:cs="Times New Roman Regular"/>
          <w:b/>
          <w:color w:val="auto"/>
          <w:kern w:val="2"/>
          <w:szCs w:val="28"/>
          <w:lang w:eastAsia="zh-Hans"/>
        </w:rPr>
        <w:t>租赁合同</w:t>
      </w:r>
      <w:bookmarkEnd w:id="437"/>
      <w:bookmarkEnd w:id="438"/>
    </w:p>
    <w:p>
      <w:pPr>
        <w:widowControl w:val="0"/>
        <w:jc w:val="center"/>
        <w:rPr>
          <w:rFonts w:hint="default" w:ascii="Times New Roman Regular" w:hAnsi="Times New Roman Regular" w:cs="Times New Roman Regular"/>
          <w:color w:val="FF0000"/>
          <w:lang w:eastAsia="zh-Hans"/>
        </w:rPr>
      </w:pPr>
      <w:r>
        <w:rPr>
          <w:rFonts w:hint="default" w:ascii="Times New Roman Regular" w:hAnsi="Times New Roman Regular" w:cs="Times New Roman Regular"/>
          <w:color w:val="FF0000"/>
        </w:rPr>
        <w:drawing>
          <wp:inline distT="0" distB="0" distL="114300" distR="114300">
            <wp:extent cx="5664835" cy="7680960"/>
            <wp:effectExtent l="0" t="0" r="24765" b="15240"/>
            <wp:docPr id="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
                    <pic:cNvPicPr>
                      <a:picLocks noChangeAspect="1"/>
                    </pic:cNvPicPr>
                  </pic:nvPicPr>
                  <pic:blipFill>
                    <a:blip r:embed="rId40"/>
                    <a:stretch>
                      <a:fillRect/>
                    </a:stretch>
                  </pic:blipFill>
                  <pic:spPr>
                    <a:xfrm>
                      <a:off x="0" y="0"/>
                      <a:ext cx="5664835" cy="7680960"/>
                    </a:xfrm>
                    <a:prstGeom prst="rect">
                      <a:avLst/>
                    </a:prstGeom>
                    <a:noFill/>
                    <a:ln w="9525">
                      <a:noFill/>
                    </a:ln>
                  </pic:spPr>
                </pic:pic>
              </a:graphicData>
            </a:graphic>
          </wp:inline>
        </w:drawing>
      </w:r>
    </w:p>
    <w:p>
      <w:pPr>
        <w:tabs>
          <w:tab w:val="left" w:pos="265"/>
        </w:tabs>
        <w:bidi w:val="0"/>
        <w:jc w:val="left"/>
        <w:rPr>
          <w:rFonts w:hint="default" w:ascii="Times New Roman Regular" w:hAnsi="Times New Roman Regular" w:eastAsia="宋体" w:cs="Times New Roman Regular"/>
          <w:color w:val="FF0000"/>
          <w:kern w:val="2"/>
          <w:sz w:val="24"/>
          <w:szCs w:val="24"/>
          <w:lang w:eastAsia="zh-Hans" w:bidi="ar-SA"/>
        </w:rPr>
        <w:sectPr>
          <w:pgSz w:w="11906" w:h="16838"/>
          <w:pgMar w:top="1440" w:right="1462" w:bottom="1440" w:left="1513" w:header="851" w:footer="992" w:gutter="0"/>
          <w:pgBorders>
            <w:top w:val="none" w:sz="0" w:space="0"/>
            <w:left w:val="none" w:sz="0" w:space="0"/>
            <w:bottom w:val="none" w:sz="0" w:space="0"/>
            <w:right w:val="none" w:sz="0" w:space="0"/>
          </w:pgBorders>
          <w:pgNumType w:fmt="decimal"/>
          <w:cols w:space="720" w:num="1"/>
          <w:docGrid w:type="lines" w:linePitch="326" w:charSpace="0"/>
        </w:sectPr>
      </w:pPr>
      <w:r>
        <w:rPr>
          <w:rFonts w:hint="default" w:ascii="Times New Roman Regular" w:hAnsi="Times New Roman Regular" w:cs="Times New Roman Regular"/>
        </w:rPr>
        <w:drawing>
          <wp:inline distT="0" distB="0" distL="114300" distR="114300">
            <wp:extent cx="5657215" cy="7802880"/>
            <wp:effectExtent l="0" t="0" r="6985" b="20320"/>
            <wp:docPr id="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pic:cNvPicPr>
                      <a:picLocks noChangeAspect="1"/>
                    </pic:cNvPicPr>
                  </pic:nvPicPr>
                  <pic:blipFill>
                    <a:blip r:embed="rId41"/>
                    <a:stretch>
                      <a:fillRect/>
                    </a:stretch>
                  </pic:blipFill>
                  <pic:spPr>
                    <a:xfrm>
                      <a:off x="0" y="0"/>
                      <a:ext cx="5657215" cy="7802880"/>
                    </a:xfrm>
                    <a:prstGeom prst="rect">
                      <a:avLst/>
                    </a:prstGeom>
                    <a:noFill/>
                    <a:ln w="9525">
                      <a:noFill/>
                    </a:ln>
                  </pic:spPr>
                </pic:pic>
              </a:graphicData>
            </a:graphic>
          </wp:inline>
        </w:drawing>
      </w:r>
    </w:p>
    <w:p>
      <w:pPr>
        <w:pStyle w:val="110"/>
        <w:widowControl w:val="0"/>
        <w:spacing w:before="163" w:beforeLines="50" w:after="163" w:afterLines="50" w:line="360" w:lineRule="auto"/>
        <w:ind w:firstLine="0"/>
        <w:outlineLvl w:val="0"/>
        <w:rPr>
          <w:rFonts w:hint="default" w:ascii="Times New Roman Regular" w:hAnsi="Times New Roman Regular" w:cs="Times New Roman Regular"/>
          <w:color w:val="auto"/>
          <w:lang w:val="en-US" w:eastAsia="zh-Hans"/>
        </w:rPr>
      </w:pPr>
      <w:bookmarkStart w:id="439" w:name="_Toc2597260"/>
      <w:bookmarkStart w:id="440" w:name="_Toc948773736_WPSOffice_Level1"/>
      <w:r>
        <w:rPr>
          <w:rFonts w:hint="default" w:ascii="Times New Roman Regular" w:hAnsi="Times New Roman Regular" w:cs="Times New Roman Regular"/>
          <w:color w:val="FF0000"/>
          <w:lang w:eastAsia="zh-Hans"/>
        </w:rPr>
        <w:drawing>
          <wp:anchor distT="0" distB="0" distL="114300" distR="114300" simplePos="0" relativeHeight="254771200" behindDoc="0" locked="0" layoutInCell="1" allowOverlap="1">
            <wp:simplePos x="0" y="0"/>
            <wp:positionH relativeFrom="column">
              <wp:posOffset>66040</wp:posOffset>
            </wp:positionH>
            <wp:positionV relativeFrom="paragraph">
              <wp:posOffset>454025</wp:posOffset>
            </wp:positionV>
            <wp:extent cx="5664200" cy="8009255"/>
            <wp:effectExtent l="0" t="0" r="0" b="17145"/>
            <wp:wrapNone/>
            <wp:docPr id="64" name="图片 64" descr="福建欧玛克智能科技有限公司机电设备制造项目2011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福建欧玛克智能科技有限公司机电设备制造项目201117-05"/>
                    <pic:cNvPicPr>
                      <a:picLocks noChangeAspect="1"/>
                    </pic:cNvPicPr>
                  </pic:nvPicPr>
                  <pic:blipFill>
                    <a:blip r:embed="rId42"/>
                    <a:stretch>
                      <a:fillRect/>
                    </a:stretch>
                  </pic:blipFill>
                  <pic:spPr>
                    <a:xfrm>
                      <a:off x="0" y="0"/>
                      <a:ext cx="5664200" cy="8009255"/>
                    </a:xfrm>
                    <a:prstGeom prst="rect">
                      <a:avLst/>
                    </a:prstGeom>
                  </pic:spPr>
                </pic:pic>
              </a:graphicData>
            </a:graphic>
          </wp:anchor>
        </w:drawing>
      </w:r>
      <w:r>
        <w:rPr>
          <w:rFonts w:hint="default" w:ascii="Times New Roman Regular" w:hAnsi="Times New Roman Regular" w:eastAsia="宋体" w:cs="Times New Roman Regular"/>
          <w:b/>
          <w:color w:val="auto"/>
          <w:kern w:val="2"/>
          <w:szCs w:val="28"/>
        </w:rPr>
        <w:t xml:space="preserve">附件7 </w:t>
      </w:r>
      <w:r>
        <w:rPr>
          <w:rFonts w:hint="default" w:ascii="Times New Roman Regular" w:hAnsi="Times New Roman Regular" w:eastAsia="宋体" w:cs="Times New Roman Regular"/>
          <w:b/>
          <w:color w:val="auto"/>
          <w:kern w:val="2"/>
          <w:szCs w:val="28"/>
          <w:lang w:val="en-US" w:eastAsia="zh-Hans"/>
        </w:rPr>
        <w:t>噪声监测报告</w:t>
      </w:r>
      <w:bookmarkEnd w:id="439"/>
      <w:bookmarkEnd w:id="440"/>
    </w:p>
    <w:p>
      <w:pPr>
        <w:tabs>
          <w:tab w:val="left" w:pos="324"/>
        </w:tabs>
        <w:bidi w:val="0"/>
        <w:jc w:val="left"/>
        <w:rPr>
          <w:rFonts w:hint="default" w:ascii="Times New Roman Regular" w:hAnsi="Times New Roman Regular" w:cs="Times New Roman Regular"/>
          <w:color w:val="FF0000"/>
          <w:lang w:eastAsia="zh-Hans"/>
        </w:rPr>
        <w:sectPr>
          <w:pgSz w:w="11906" w:h="16838"/>
          <w:pgMar w:top="1440" w:right="1462" w:bottom="1440" w:left="1513" w:header="851" w:footer="992" w:gutter="0"/>
          <w:pgBorders>
            <w:top w:val="none" w:sz="0" w:space="0"/>
            <w:left w:val="none" w:sz="0" w:space="0"/>
            <w:bottom w:val="none" w:sz="0" w:space="0"/>
            <w:right w:val="none" w:sz="0" w:space="0"/>
          </w:pgBorders>
          <w:pgNumType w:fmt="decimal"/>
          <w:cols w:space="720" w:num="1"/>
          <w:docGrid w:type="lines" w:linePitch="326" w:charSpace="0"/>
        </w:sectPr>
      </w:pPr>
    </w:p>
    <w:p>
      <w:pPr>
        <w:tabs>
          <w:tab w:val="left" w:pos="324"/>
        </w:tabs>
        <w:bidi w:val="0"/>
        <w:jc w:val="left"/>
        <w:rPr>
          <w:rFonts w:hint="default" w:ascii="Times New Roman Regular" w:hAnsi="Times New Roman Regular" w:cs="Times New Roman Regular"/>
          <w:color w:val="FF0000"/>
          <w:lang w:eastAsia="zh-Hans"/>
        </w:rPr>
      </w:pPr>
      <w:r>
        <w:rPr>
          <w:rFonts w:hint="default" w:ascii="Times New Roman Regular" w:hAnsi="Times New Roman Regular" w:cs="Times New Roman Regular"/>
          <w:color w:val="FF0000"/>
          <w:lang w:eastAsia="zh-Hans"/>
        </w:rPr>
        <w:drawing>
          <wp:inline distT="0" distB="0" distL="114300" distR="114300">
            <wp:extent cx="5664200" cy="8009255"/>
            <wp:effectExtent l="0" t="0" r="0" b="17145"/>
            <wp:docPr id="26" name="图片 26" descr="福建欧玛克智能科技有限公司机电设备制造项目201117-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福建欧玛克智能科技有限公司机电设备制造项目201117-052"/>
                    <pic:cNvPicPr>
                      <a:picLocks noChangeAspect="1"/>
                    </pic:cNvPicPr>
                  </pic:nvPicPr>
                  <pic:blipFill>
                    <a:blip r:embed="rId43"/>
                    <a:stretch>
                      <a:fillRect/>
                    </a:stretch>
                  </pic:blipFill>
                  <pic:spPr>
                    <a:xfrm>
                      <a:off x="0" y="0"/>
                      <a:ext cx="5664200" cy="8009255"/>
                    </a:xfrm>
                    <a:prstGeom prst="rect">
                      <a:avLst/>
                    </a:prstGeom>
                  </pic:spPr>
                </pic:pic>
              </a:graphicData>
            </a:graphic>
          </wp:inline>
        </w:drawing>
      </w:r>
      <w:r>
        <w:rPr>
          <w:rFonts w:hint="default" w:ascii="Times New Roman Regular" w:hAnsi="Times New Roman Regular" w:cs="Times New Roman Regular"/>
          <w:color w:val="FF0000"/>
          <w:lang w:eastAsia="zh-Hans"/>
        </w:rPr>
        <w:drawing>
          <wp:inline distT="0" distB="0" distL="114300" distR="114300">
            <wp:extent cx="5664200" cy="8009255"/>
            <wp:effectExtent l="0" t="0" r="0" b="17145"/>
            <wp:docPr id="65" name="图片 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3"/>
                    <pic:cNvPicPr>
                      <a:picLocks noChangeAspect="1"/>
                    </pic:cNvPicPr>
                  </pic:nvPicPr>
                  <pic:blipFill>
                    <a:blip r:embed="rId44"/>
                    <a:stretch>
                      <a:fillRect/>
                    </a:stretch>
                  </pic:blipFill>
                  <pic:spPr>
                    <a:xfrm>
                      <a:off x="0" y="0"/>
                      <a:ext cx="5664200" cy="8009255"/>
                    </a:xfrm>
                    <a:prstGeom prst="rect">
                      <a:avLst/>
                    </a:prstGeom>
                  </pic:spPr>
                </pic:pic>
              </a:graphicData>
            </a:graphic>
          </wp:inline>
        </w:drawing>
      </w:r>
      <w:r>
        <w:rPr>
          <w:rFonts w:hint="default" w:ascii="Times New Roman Regular" w:hAnsi="Times New Roman Regular" w:cs="Times New Roman Regular"/>
          <w:color w:val="FF0000"/>
          <w:lang w:eastAsia="zh-Hans"/>
        </w:rPr>
        <w:drawing>
          <wp:inline distT="0" distB="0" distL="114300" distR="114300">
            <wp:extent cx="5664200" cy="8009255"/>
            <wp:effectExtent l="0" t="0" r="0" b="17145"/>
            <wp:docPr id="70" name="图片 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4"/>
                    <pic:cNvPicPr>
                      <a:picLocks noChangeAspect="1"/>
                    </pic:cNvPicPr>
                  </pic:nvPicPr>
                  <pic:blipFill>
                    <a:blip r:embed="rId45"/>
                    <a:stretch>
                      <a:fillRect/>
                    </a:stretch>
                  </pic:blipFill>
                  <pic:spPr>
                    <a:xfrm>
                      <a:off x="0" y="0"/>
                      <a:ext cx="5664200" cy="8009255"/>
                    </a:xfrm>
                    <a:prstGeom prst="rect">
                      <a:avLst/>
                    </a:prstGeom>
                  </pic:spPr>
                </pic:pic>
              </a:graphicData>
            </a:graphic>
          </wp:inline>
        </w:drawing>
      </w:r>
      <w:r>
        <w:rPr>
          <w:rFonts w:hint="default" w:ascii="Times New Roman Regular" w:hAnsi="Times New Roman Regular" w:cs="Times New Roman Regular"/>
          <w:color w:val="FF0000"/>
          <w:lang w:eastAsia="zh-Hans"/>
        </w:rPr>
        <w:drawing>
          <wp:inline distT="0" distB="0" distL="114300" distR="114300">
            <wp:extent cx="5664200" cy="8009255"/>
            <wp:effectExtent l="0" t="0" r="0" b="17145"/>
            <wp:docPr id="66" name="图片 6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5"/>
                    <pic:cNvPicPr>
                      <a:picLocks noChangeAspect="1"/>
                    </pic:cNvPicPr>
                  </pic:nvPicPr>
                  <pic:blipFill>
                    <a:blip r:embed="rId46"/>
                    <a:stretch>
                      <a:fillRect/>
                    </a:stretch>
                  </pic:blipFill>
                  <pic:spPr>
                    <a:xfrm>
                      <a:off x="0" y="0"/>
                      <a:ext cx="5664200" cy="8009255"/>
                    </a:xfrm>
                    <a:prstGeom prst="rect">
                      <a:avLst/>
                    </a:prstGeom>
                  </pic:spPr>
                </pic:pic>
              </a:graphicData>
            </a:graphic>
          </wp:inline>
        </w:drawing>
      </w:r>
      <w:r>
        <w:rPr>
          <w:rFonts w:hint="default" w:ascii="Times New Roman Regular" w:hAnsi="Times New Roman Regular" w:cs="Times New Roman Regular"/>
          <w:color w:val="FF0000"/>
          <w:lang w:eastAsia="zh-Hans"/>
        </w:rPr>
        <w:drawing>
          <wp:inline distT="0" distB="0" distL="114300" distR="114300">
            <wp:extent cx="5664200" cy="8009255"/>
            <wp:effectExtent l="0" t="0" r="0" b="17145"/>
            <wp:docPr id="68" name="图片 6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6"/>
                    <pic:cNvPicPr>
                      <a:picLocks noChangeAspect="1"/>
                    </pic:cNvPicPr>
                  </pic:nvPicPr>
                  <pic:blipFill>
                    <a:blip r:embed="rId47"/>
                    <a:stretch>
                      <a:fillRect/>
                    </a:stretch>
                  </pic:blipFill>
                  <pic:spPr>
                    <a:xfrm>
                      <a:off x="0" y="0"/>
                      <a:ext cx="5664200" cy="8009255"/>
                    </a:xfrm>
                    <a:prstGeom prst="rect">
                      <a:avLst/>
                    </a:prstGeom>
                  </pic:spPr>
                </pic:pic>
              </a:graphicData>
            </a:graphic>
          </wp:inline>
        </w:drawing>
      </w:r>
      <w:r>
        <w:rPr>
          <w:rFonts w:hint="default" w:ascii="Times New Roman Regular" w:hAnsi="Times New Roman Regular" w:cs="Times New Roman Regular"/>
          <w:color w:val="FF0000"/>
          <w:lang w:eastAsia="zh-Hans"/>
        </w:rPr>
        <w:br w:type="page"/>
      </w:r>
    </w:p>
    <w:p>
      <w:pPr>
        <w:pStyle w:val="110"/>
        <w:widowControl w:val="0"/>
        <w:spacing w:before="163" w:beforeLines="50" w:after="163" w:afterLines="50" w:line="360" w:lineRule="auto"/>
        <w:ind w:firstLine="0"/>
        <w:outlineLvl w:val="0"/>
        <w:rPr>
          <w:rFonts w:hint="default"/>
          <w:lang w:eastAsia="zh-Hans"/>
        </w:rPr>
      </w:pPr>
      <w:bookmarkStart w:id="441" w:name="_Toc974101977_WPSOffice_Level1"/>
      <w:r>
        <w:rPr>
          <w:rFonts w:hint="default" w:ascii="Times New Roman Regular" w:hAnsi="Times New Roman Regular" w:eastAsia="宋体" w:cs="Times New Roman Regular"/>
          <w:b/>
          <w:color w:val="auto"/>
          <w:kern w:val="2"/>
          <w:szCs w:val="28"/>
          <w:lang w:eastAsia="zh-Hans"/>
        </w:rPr>
        <w:t xml:space="preserve">附件8 </w:t>
      </w:r>
      <w:r>
        <w:rPr>
          <w:rFonts w:hint="eastAsia" w:ascii="Times New Roman Regular" w:hAnsi="Times New Roman Regular" w:eastAsia="宋体" w:cs="Times New Roman Regular"/>
          <w:b/>
          <w:color w:val="auto"/>
          <w:kern w:val="2"/>
          <w:szCs w:val="28"/>
          <w:lang w:val="en-US" w:eastAsia="zh-Hans"/>
        </w:rPr>
        <w:t>关于环评文件公开文本删除的涉及国家机密</w:t>
      </w:r>
      <w:r>
        <w:rPr>
          <w:rFonts w:hint="default" w:ascii="Times New Roman Regular" w:hAnsi="Times New Roman Regular" w:eastAsia="宋体" w:cs="Times New Roman Regular"/>
          <w:b/>
          <w:color w:val="auto"/>
          <w:kern w:val="2"/>
          <w:szCs w:val="28"/>
          <w:lang w:eastAsia="zh-Hans"/>
        </w:rPr>
        <w:t>、</w:t>
      </w:r>
      <w:r>
        <w:rPr>
          <w:rFonts w:hint="eastAsia" w:ascii="Times New Roman Regular" w:hAnsi="Times New Roman Regular" w:eastAsia="宋体" w:cs="Times New Roman Regular"/>
          <w:b/>
          <w:color w:val="auto"/>
          <w:kern w:val="2"/>
          <w:szCs w:val="28"/>
          <w:lang w:val="en-US" w:eastAsia="zh-Hans"/>
        </w:rPr>
        <w:t>商业秘密等内容等删除依据和理由说明</w:t>
      </w:r>
      <w:bookmarkEnd w:id="441"/>
    </w:p>
    <w:p>
      <w:pPr>
        <w:bidi w:val="0"/>
        <w:jc w:val="left"/>
        <w:rPr>
          <w:rFonts w:hint="default"/>
          <w:lang w:eastAsia="zh-Hans"/>
        </w:rPr>
      </w:pPr>
      <w:r>
        <w:rPr>
          <w:rFonts w:hint="default"/>
          <w:lang w:eastAsia="zh-Hans"/>
        </w:rPr>
        <w:drawing>
          <wp:inline distT="0" distB="0" distL="114300" distR="114300">
            <wp:extent cx="5668645" cy="7558405"/>
            <wp:effectExtent l="0" t="0" r="20955" b="10795"/>
            <wp:docPr id="36" name="图片 36" descr="WechatIMG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WechatIMG315"/>
                    <pic:cNvPicPr>
                      <a:picLocks noChangeAspect="1"/>
                    </pic:cNvPicPr>
                  </pic:nvPicPr>
                  <pic:blipFill>
                    <a:blip r:embed="rId48"/>
                    <a:stretch>
                      <a:fillRect/>
                    </a:stretch>
                  </pic:blipFill>
                  <pic:spPr>
                    <a:xfrm>
                      <a:off x="0" y="0"/>
                      <a:ext cx="5668645" cy="7558405"/>
                    </a:xfrm>
                    <a:prstGeom prst="rect">
                      <a:avLst/>
                    </a:prstGeom>
                  </pic:spPr>
                </pic:pic>
              </a:graphicData>
            </a:graphic>
          </wp:inline>
        </w:drawing>
      </w:r>
    </w:p>
    <w:p>
      <w:pPr>
        <w:bidi w:val="0"/>
        <w:jc w:val="left"/>
        <w:rPr>
          <w:rFonts w:hint="default"/>
          <w:lang w:eastAsia="zh-Hans"/>
        </w:rPr>
      </w:pPr>
      <w:r>
        <w:rPr>
          <w:rFonts w:hint="default"/>
          <w:lang w:eastAsia="zh-Hans"/>
        </w:rPr>
        <w:drawing>
          <wp:inline distT="0" distB="0" distL="114300" distR="114300">
            <wp:extent cx="5669915" cy="7436485"/>
            <wp:effectExtent l="0" t="0" r="19685" b="5715"/>
            <wp:docPr id="54" name="图片 54" descr="WechatIMG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WechatIMG316"/>
                    <pic:cNvPicPr>
                      <a:picLocks noChangeAspect="1"/>
                    </pic:cNvPicPr>
                  </pic:nvPicPr>
                  <pic:blipFill>
                    <a:blip r:embed="rId49"/>
                    <a:stretch>
                      <a:fillRect/>
                    </a:stretch>
                  </pic:blipFill>
                  <pic:spPr>
                    <a:xfrm>
                      <a:off x="0" y="0"/>
                      <a:ext cx="5669915" cy="7436485"/>
                    </a:xfrm>
                    <a:prstGeom prst="rect">
                      <a:avLst/>
                    </a:prstGeom>
                  </pic:spPr>
                </pic:pic>
              </a:graphicData>
            </a:graphic>
          </wp:inline>
        </w:drawing>
      </w:r>
    </w:p>
    <w:p>
      <w:pPr>
        <w:bidi w:val="0"/>
        <w:jc w:val="left"/>
        <w:rPr>
          <w:rFonts w:hint="default"/>
          <w:lang w:eastAsia="zh-Hans"/>
        </w:rPr>
      </w:pPr>
      <w:r>
        <w:rPr>
          <w:rFonts w:hint="default"/>
          <w:lang w:eastAsia="zh-Hans"/>
        </w:rPr>
        <w:br w:type="page"/>
      </w:r>
    </w:p>
    <w:p>
      <w:pPr>
        <w:pStyle w:val="110"/>
        <w:widowControl w:val="0"/>
        <w:spacing w:before="163" w:beforeLines="50" w:after="163" w:afterLines="50" w:line="360" w:lineRule="auto"/>
        <w:ind w:firstLine="0"/>
        <w:outlineLvl w:val="0"/>
        <w:rPr>
          <w:rFonts w:hint="eastAsia" w:ascii="Times New Roman Regular" w:hAnsi="Times New Roman Regular" w:eastAsia="宋体" w:cs="Times New Roman Regular"/>
          <w:b/>
          <w:color w:val="auto"/>
          <w:kern w:val="2"/>
          <w:szCs w:val="28"/>
          <w:lang w:val="en-US" w:eastAsia="zh-Hans"/>
        </w:rPr>
      </w:pPr>
      <w:bookmarkStart w:id="442" w:name="_Toc1464086358_WPSOffice_Level1"/>
      <w:r>
        <w:rPr>
          <w:rFonts w:hint="default" w:ascii="Times New Roman Regular" w:hAnsi="Times New Roman Regular" w:eastAsia="宋体" w:cs="Times New Roman Regular"/>
          <w:b/>
          <w:color w:val="auto"/>
          <w:kern w:val="2"/>
          <w:szCs w:val="28"/>
          <w:lang w:eastAsia="zh-Hans"/>
        </w:rPr>
        <w:t xml:space="preserve">附件9 </w:t>
      </w:r>
      <w:r>
        <w:rPr>
          <w:rFonts w:hint="eastAsia" w:ascii="Times New Roman Regular" w:hAnsi="Times New Roman Regular" w:eastAsia="宋体" w:cs="Times New Roman Regular"/>
          <w:b/>
          <w:color w:val="auto"/>
          <w:kern w:val="2"/>
          <w:szCs w:val="28"/>
          <w:lang w:val="en-US" w:eastAsia="zh-Hans"/>
        </w:rPr>
        <w:t>环评信息公示截图</w:t>
      </w:r>
      <w:bookmarkEnd w:id="442"/>
    </w:p>
    <w:p>
      <w:pPr>
        <w:bidi w:val="0"/>
        <w:jc w:val="left"/>
        <w:rPr>
          <w:rFonts w:hint="default"/>
          <w:lang w:eastAsia="zh-Hans"/>
        </w:rPr>
        <w:sectPr>
          <w:pgSz w:w="11906" w:h="16838"/>
          <w:pgMar w:top="1440" w:right="1462" w:bottom="1440" w:left="1513" w:header="851" w:footer="992" w:gutter="0"/>
          <w:pgBorders>
            <w:top w:val="none" w:sz="0" w:space="0"/>
            <w:left w:val="none" w:sz="0" w:space="0"/>
            <w:bottom w:val="none" w:sz="0" w:space="0"/>
            <w:right w:val="none" w:sz="0" w:space="0"/>
          </w:pgBorders>
          <w:pgNumType w:fmt="decimal"/>
          <w:cols w:space="720" w:num="1"/>
          <w:docGrid w:type="lines" w:linePitch="326" w:charSpace="0"/>
        </w:sectPr>
      </w:pPr>
      <w:r>
        <w:rPr>
          <w:rFonts w:hint="default"/>
          <w:lang w:eastAsia="zh-Hans"/>
        </w:rPr>
        <w:drawing>
          <wp:inline distT="0" distB="0" distL="114300" distR="114300">
            <wp:extent cx="5668645" cy="8013700"/>
            <wp:effectExtent l="0" t="0" r="20955" b="12700"/>
            <wp:docPr id="23" name="图片 23" descr="【　　　】福建欧玛克智能科技有限公司机电设备制造项目环评公示 - 福州地区公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　　　】福建欧玛克智能科技有限公司机电设备制造项目环评公示 - 福州地区公示"/>
                    <pic:cNvPicPr>
                      <a:picLocks noChangeAspect="1"/>
                    </pic:cNvPicPr>
                  </pic:nvPicPr>
                  <pic:blipFill>
                    <a:blip r:embed="rId50"/>
                    <a:stretch>
                      <a:fillRect/>
                    </a:stretch>
                  </pic:blipFill>
                  <pic:spPr>
                    <a:xfrm>
                      <a:off x="0" y="0"/>
                      <a:ext cx="5668645" cy="8013700"/>
                    </a:xfrm>
                    <a:prstGeom prst="rect">
                      <a:avLst/>
                    </a:prstGeom>
                  </pic:spPr>
                </pic:pic>
              </a:graphicData>
            </a:graphic>
          </wp:inline>
        </w:drawing>
      </w:r>
    </w:p>
    <w:p>
      <w:pPr>
        <w:pStyle w:val="110"/>
        <w:widowControl w:val="0"/>
        <w:spacing w:before="163" w:beforeLines="50" w:after="163" w:afterLines="50" w:line="360" w:lineRule="auto"/>
        <w:ind w:firstLine="0"/>
        <w:outlineLvl w:val="0"/>
        <w:rPr>
          <w:rFonts w:hint="default" w:ascii="Times New Roman Regular" w:hAnsi="Times New Roman Regular" w:eastAsia="宋体" w:cs="Times New Roman Regular"/>
          <w:b/>
          <w:color w:val="auto"/>
          <w:kern w:val="2"/>
          <w:szCs w:val="28"/>
        </w:rPr>
      </w:pPr>
      <w:bookmarkStart w:id="443" w:name="_Toc1031791580_WPSOffice_Level1"/>
      <w:bookmarkStart w:id="444" w:name="_Toc702475880"/>
      <w:bookmarkStart w:id="445" w:name="_Toc47618425"/>
      <w:r>
        <w:rPr>
          <w:rFonts w:hint="default" w:ascii="Times New Roman Regular" w:hAnsi="Times New Roman Regular" w:eastAsia="宋体" w:cs="Times New Roman Regular"/>
          <w:b/>
          <w:color w:val="auto"/>
          <w:kern w:val="2"/>
          <w:szCs w:val="28"/>
        </w:rPr>
        <w:t>附表1  建设项目环评审批基础信息表</w:t>
      </w:r>
      <w:bookmarkEnd w:id="443"/>
      <w:bookmarkEnd w:id="444"/>
      <w:bookmarkEnd w:id="445"/>
    </w:p>
    <w:p>
      <w:pPr>
        <w:jc w:val="center"/>
        <w:rPr>
          <w:rFonts w:hint="default" w:ascii="Times New Roman Regular" w:hAnsi="Times New Roman Regular" w:cs="Times New Roman Regular"/>
          <w:color w:val="FF0000"/>
        </w:rPr>
        <w:sectPr>
          <w:pgSz w:w="23760" w:h="16781" w:orient="landscape"/>
          <w:pgMar w:top="391" w:right="1440" w:bottom="1463" w:left="1440" w:header="851" w:footer="992" w:gutter="0"/>
          <w:pgBorders>
            <w:top w:val="none" w:sz="0" w:space="0"/>
            <w:left w:val="none" w:sz="0" w:space="0"/>
            <w:bottom w:val="none" w:sz="0" w:space="0"/>
            <w:right w:val="none" w:sz="0" w:space="0"/>
          </w:pgBorders>
          <w:pgNumType w:fmt="decimal"/>
          <w:cols w:space="0" w:num="1"/>
          <w:rtlGutter w:val="0"/>
          <w:docGrid w:type="lines" w:linePitch="326" w:charSpace="0"/>
        </w:sectPr>
      </w:pPr>
      <w:r>
        <w:drawing>
          <wp:inline distT="0" distB="0" distL="114300" distR="114300">
            <wp:extent cx="10399395" cy="8004810"/>
            <wp:effectExtent l="0" t="0" r="14605" b="2159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51"/>
                    <a:stretch>
                      <a:fillRect/>
                    </a:stretch>
                  </pic:blipFill>
                  <pic:spPr>
                    <a:xfrm>
                      <a:off x="0" y="0"/>
                      <a:ext cx="10399395" cy="8004810"/>
                    </a:xfrm>
                    <a:prstGeom prst="rect">
                      <a:avLst/>
                    </a:prstGeom>
                    <a:noFill/>
                    <a:ln w="9525">
                      <a:noFill/>
                    </a:ln>
                  </pic:spPr>
                </pic:pic>
              </a:graphicData>
            </a:graphic>
          </wp:inline>
        </w:drawing>
      </w:r>
    </w:p>
    <w:p>
      <w:pPr>
        <w:pStyle w:val="110"/>
        <w:spacing w:before="120" w:beforeLines="50" w:after="120" w:afterLines="50" w:line="360" w:lineRule="auto"/>
        <w:ind w:firstLine="0"/>
        <w:outlineLvl w:val="0"/>
        <w:rPr>
          <w:rFonts w:hint="default" w:ascii="Times New Roman Regular" w:hAnsi="Times New Roman Regular" w:eastAsia="宋体" w:cs="Times New Roman Regular"/>
          <w:b/>
          <w:color w:val="auto"/>
          <w:szCs w:val="28"/>
        </w:rPr>
      </w:pPr>
      <w:bookmarkStart w:id="446" w:name="_Toc47618426"/>
      <w:bookmarkStart w:id="447" w:name="_Toc390635535_WPSOffice_Level1"/>
      <w:bookmarkStart w:id="448" w:name="_Toc1794507601"/>
      <w:r>
        <w:rPr>
          <w:rFonts w:hint="default" w:ascii="Times New Roman Regular" w:hAnsi="Times New Roman Regular" w:eastAsia="宋体" w:cs="Times New Roman Regular"/>
          <w:b/>
          <w:color w:val="auto"/>
          <w:szCs w:val="28"/>
        </w:rPr>
        <w:t>附表2  水环境影响评价自查表</w:t>
      </w:r>
      <w:bookmarkEnd w:id="446"/>
      <w:bookmarkEnd w:id="447"/>
      <w:bookmarkEnd w:id="448"/>
    </w:p>
    <w:tbl>
      <w:tblPr>
        <w:tblStyle w:val="36"/>
        <w:tblW w:w="1488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2"/>
        <w:gridCol w:w="2550"/>
        <w:gridCol w:w="1224"/>
        <w:gridCol w:w="1149"/>
        <w:gridCol w:w="1120"/>
        <w:gridCol w:w="280"/>
        <w:gridCol w:w="840"/>
        <w:gridCol w:w="1354"/>
        <w:gridCol w:w="753"/>
        <w:gridCol w:w="840"/>
        <w:gridCol w:w="1680"/>
        <w:gridCol w:w="137"/>
        <w:gridCol w:w="956"/>
        <w:gridCol w:w="12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262" w:type="dxa"/>
            <w:gridSpan w:val="2"/>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工作内容</w:t>
            </w:r>
          </w:p>
        </w:tc>
        <w:tc>
          <w:tcPr>
            <w:tcW w:w="11618" w:type="dxa"/>
            <w:gridSpan w:val="12"/>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影</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响</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识</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别</w:t>
            </w:r>
          </w:p>
        </w:tc>
        <w:tc>
          <w:tcPr>
            <w:tcW w:w="255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影响类型</w:t>
            </w:r>
          </w:p>
        </w:tc>
        <w:tc>
          <w:tcPr>
            <w:tcW w:w="11618" w:type="dxa"/>
            <w:gridSpan w:val="12"/>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水污染影响型</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；水文要素影响型□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水环境保护目标</w:t>
            </w:r>
          </w:p>
        </w:tc>
        <w:tc>
          <w:tcPr>
            <w:tcW w:w="11618" w:type="dxa"/>
            <w:gridSpan w:val="12"/>
          </w:tcPr>
          <w:p>
            <w:pPr>
              <w:spacing w:line="340" w:lineRule="exac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饮用水水源保护区□；饮用水取水口□；涉水的自然保护区□；重要湿地□；</w:t>
            </w:r>
          </w:p>
          <w:p>
            <w:pPr>
              <w:spacing w:line="340" w:lineRule="exact"/>
              <w:rPr>
                <w:rFonts w:hint="default" w:ascii="Times New Roman Regular" w:hAnsi="Times New Roman Regular" w:cs="Times New Roman Regular"/>
                <w:color w:val="auto"/>
                <w:sz w:val="22"/>
                <w:szCs w:val="21"/>
              </w:rPr>
            </w:pPr>
            <w:r>
              <w:rPr>
                <w:rFonts w:hint="default" w:ascii="Times New Roman Regular" w:hAnsi="Times New Roman Regular" w:cs="Times New Roman Regular"/>
                <w:color w:val="auto"/>
                <w:sz w:val="21"/>
                <w:szCs w:val="21"/>
              </w:rPr>
              <w:t>重点保护与珍稀水生生物的栖息地□；重要水生生物的自然产卵及索饵场、越冬场和洄游通道、天然渔场等渔业水体□；涉水的风景名胜区□；其他</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影响途径</w:t>
            </w:r>
          </w:p>
        </w:tc>
        <w:tc>
          <w:tcPr>
            <w:tcW w:w="5967" w:type="dxa"/>
            <w:gridSpan w:val="6"/>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水污染类型</w:t>
            </w:r>
          </w:p>
        </w:tc>
        <w:tc>
          <w:tcPr>
            <w:tcW w:w="5651" w:type="dxa"/>
            <w:gridSpan w:val="6"/>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水文要素影响型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5967" w:type="dxa"/>
            <w:gridSpan w:val="6"/>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直接排放□；间接排放</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；其他□</w:t>
            </w:r>
          </w:p>
        </w:tc>
        <w:tc>
          <w:tcPr>
            <w:tcW w:w="5651" w:type="dxa"/>
            <w:gridSpan w:val="6"/>
          </w:tcPr>
          <w:p>
            <w:pPr>
              <w:spacing w:line="340" w:lineRule="exac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水温□；径流</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；水域面积□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影响因子</w:t>
            </w:r>
          </w:p>
        </w:tc>
        <w:tc>
          <w:tcPr>
            <w:tcW w:w="5967" w:type="dxa"/>
            <w:gridSpan w:val="6"/>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持久性污染物□；有毒有害污染物□；非持久性污染物□；</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pH值□；热污染□；富营养化□；其他□</w:t>
            </w:r>
          </w:p>
        </w:tc>
        <w:tc>
          <w:tcPr>
            <w:tcW w:w="5651" w:type="dxa"/>
            <w:gridSpan w:val="6"/>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水温□；水位（水深）□；流速□；流量□；其他□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262" w:type="dxa"/>
            <w:gridSpan w:val="2"/>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评价等级</w:t>
            </w:r>
          </w:p>
        </w:tc>
        <w:tc>
          <w:tcPr>
            <w:tcW w:w="5967" w:type="dxa"/>
            <w:gridSpan w:val="6"/>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水污染影响型</w:t>
            </w:r>
          </w:p>
        </w:tc>
        <w:tc>
          <w:tcPr>
            <w:tcW w:w="5651" w:type="dxa"/>
            <w:gridSpan w:val="6"/>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水文要素影响型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262" w:type="dxa"/>
            <w:gridSpan w:val="2"/>
            <w:vMerge w:val="continue"/>
          </w:tcPr>
          <w:p>
            <w:pPr>
              <w:spacing w:line="340" w:lineRule="exact"/>
              <w:jc w:val="center"/>
              <w:rPr>
                <w:rFonts w:hint="default" w:ascii="Times New Roman Regular" w:hAnsi="Times New Roman Regular" w:cs="Times New Roman Regular"/>
                <w:color w:val="auto"/>
                <w:sz w:val="21"/>
                <w:szCs w:val="21"/>
              </w:rPr>
            </w:pPr>
          </w:p>
        </w:tc>
        <w:tc>
          <w:tcPr>
            <w:tcW w:w="5967" w:type="dxa"/>
            <w:gridSpan w:val="6"/>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一级□；二级□；三级A□；三级B</w:t>
            </w:r>
            <w:r>
              <w:rPr>
                <w:rFonts w:hint="default" w:ascii="Times New Roman Regular" w:hAnsi="Times New Roman Regular" w:cs="Times New Roman Regular"/>
                <w:color w:val="auto"/>
                <w:kern w:val="0"/>
                <w:sz w:val="21"/>
                <w:szCs w:val="21"/>
              </w:rPr>
              <w:sym w:font="Wingdings 2" w:char="0052"/>
            </w:r>
          </w:p>
        </w:tc>
        <w:tc>
          <w:tcPr>
            <w:tcW w:w="5651" w:type="dxa"/>
            <w:gridSpan w:val="6"/>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一级□；二级□；三级</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现</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状</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调</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查</w:t>
            </w:r>
          </w:p>
        </w:tc>
        <w:tc>
          <w:tcPr>
            <w:tcW w:w="255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区域污染源</w:t>
            </w:r>
          </w:p>
        </w:tc>
        <w:tc>
          <w:tcPr>
            <w:tcW w:w="5967" w:type="dxa"/>
            <w:gridSpan w:val="6"/>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调查项目</w:t>
            </w:r>
          </w:p>
        </w:tc>
        <w:tc>
          <w:tcPr>
            <w:tcW w:w="5651" w:type="dxa"/>
            <w:gridSpan w:val="6"/>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数据来源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受影响水体水环境质量</w:t>
            </w:r>
          </w:p>
        </w:tc>
        <w:tc>
          <w:tcPr>
            <w:tcW w:w="5967" w:type="dxa"/>
            <w:gridSpan w:val="6"/>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丰水期□；平水期</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；枯水期□；冰封期□</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春季□；夏季□；秋季□；冬季</w:t>
            </w:r>
            <w:r>
              <w:rPr>
                <w:rFonts w:hint="default" w:ascii="Times New Roman Regular" w:hAnsi="Times New Roman Regular" w:cs="Times New Roman Regular"/>
                <w:color w:val="auto"/>
                <w:kern w:val="0"/>
                <w:sz w:val="21"/>
                <w:szCs w:val="21"/>
              </w:rPr>
              <w:sym w:font="Wingdings 2" w:char="0052"/>
            </w:r>
          </w:p>
        </w:tc>
        <w:tc>
          <w:tcPr>
            <w:tcW w:w="5651" w:type="dxa"/>
            <w:gridSpan w:val="6"/>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生态环境保护主管部门□；补充监测□；其他</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区域水资源开发利用状况</w:t>
            </w:r>
          </w:p>
        </w:tc>
        <w:tc>
          <w:tcPr>
            <w:tcW w:w="11618" w:type="dxa"/>
            <w:gridSpan w:val="12"/>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未开发</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；开发量40%以下□；开发量40%以上□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水文情势调查</w:t>
            </w:r>
          </w:p>
        </w:tc>
        <w:tc>
          <w:tcPr>
            <w:tcW w:w="5967" w:type="dxa"/>
            <w:gridSpan w:val="6"/>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调查时期</w:t>
            </w:r>
          </w:p>
        </w:tc>
        <w:tc>
          <w:tcPr>
            <w:tcW w:w="5651" w:type="dxa"/>
            <w:gridSpan w:val="6"/>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数据来源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5967" w:type="dxa"/>
            <w:gridSpan w:val="6"/>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丰水期□；平水期</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；枯水期□；冰封期□</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春季□；夏季□；秋季□；冬季</w:t>
            </w:r>
            <w:r>
              <w:rPr>
                <w:rFonts w:hint="default" w:ascii="Times New Roman Regular" w:hAnsi="Times New Roman Regular" w:cs="Times New Roman Regular"/>
                <w:color w:val="auto"/>
                <w:kern w:val="0"/>
                <w:sz w:val="21"/>
                <w:szCs w:val="21"/>
              </w:rPr>
              <w:sym w:font="Wingdings 2" w:char="0052"/>
            </w:r>
          </w:p>
        </w:tc>
        <w:tc>
          <w:tcPr>
            <w:tcW w:w="5651" w:type="dxa"/>
            <w:gridSpan w:val="6"/>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水行政主管部门</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；补充监测□；其他□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restart"/>
          </w:tcPr>
          <w:p>
            <w:pPr>
              <w:spacing w:line="340" w:lineRule="exact"/>
              <w:jc w:val="center"/>
              <w:rPr>
                <w:rFonts w:hint="default" w:ascii="Times New Roman Regular" w:hAnsi="Times New Roman Regular" w:cs="Times New Roman Regular"/>
                <w:color w:val="auto"/>
                <w:sz w:val="21"/>
                <w:szCs w:val="21"/>
              </w:rPr>
            </w:pPr>
          </w:p>
        </w:tc>
        <w:tc>
          <w:tcPr>
            <w:tcW w:w="2550"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补充监测</w:t>
            </w:r>
          </w:p>
        </w:tc>
        <w:tc>
          <w:tcPr>
            <w:tcW w:w="5967" w:type="dxa"/>
            <w:gridSpan w:val="6"/>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监测时期</w:t>
            </w:r>
          </w:p>
        </w:tc>
        <w:tc>
          <w:tcPr>
            <w:tcW w:w="3410"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监测因子</w:t>
            </w:r>
          </w:p>
        </w:tc>
        <w:tc>
          <w:tcPr>
            <w:tcW w:w="2241" w:type="dxa"/>
            <w:gridSpan w:val="2"/>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监测断面或点位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5967" w:type="dxa"/>
            <w:gridSpan w:val="6"/>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丰水期□；平水期□；枯水期□；冰封期□</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春季□；夏季□；秋季□；冬季□</w:t>
            </w:r>
          </w:p>
        </w:tc>
        <w:tc>
          <w:tcPr>
            <w:tcW w:w="3410" w:type="dxa"/>
            <w:gridSpan w:val="4"/>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        ）</w:t>
            </w:r>
          </w:p>
        </w:tc>
        <w:tc>
          <w:tcPr>
            <w:tcW w:w="2241" w:type="dxa"/>
            <w:gridSpan w:val="2"/>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监测断面或点位个数</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      ）个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现</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状</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价</w:t>
            </w: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评价范围</w:t>
            </w:r>
          </w:p>
        </w:tc>
        <w:tc>
          <w:tcPr>
            <w:tcW w:w="11618" w:type="dxa"/>
            <w:gridSpan w:val="12"/>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河流：长度（      ）km；湖库、河口及近岸海域：面积（      ）km</w:t>
            </w:r>
            <w:r>
              <w:rPr>
                <w:rFonts w:hint="default" w:ascii="Times New Roman Regular" w:hAnsi="Times New Roman Regular" w:cs="Times New Roman Regular"/>
                <w:color w:val="auto"/>
                <w:sz w:val="21"/>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评价因子</w:t>
            </w:r>
          </w:p>
        </w:tc>
        <w:tc>
          <w:tcPr>
            <w:tcW w:w="11618" w:type="dxa"/>
            <w:gridSpan w:val="12"/>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（pH、COD、BOD</w:t>
            </w:r>
            <w:r>
              <w:rPr>
                <w:rFonts w:hint="default" w:ascii="Times New Roman Regular" w:hAnsi="Times New Roman Regular" w:cs="Times New Roman Regular"/>
                <w:color w:val="auto"/>
                <w:sz w:val="21"/>
                <w:szCs w:val="21"/>
                <w:vertAlign w:val="subscript"/>
              </w:rPr>
              <w:t>5</w:t>
            </w:r>
            <w:r>
              <w:rPr>
                <w:rFonts w:hint="default" w:ascii="Times New Roman Regular" w:hAnsi="Times New Roman Regular" w:cs="Times New Roman Regular"/>
                <w:color w:val="auto"/>
                <w:sz w:val="21"/>
                <w:szCs w:val="21"/>
              </w:rPr>
              <w:t>、SS、NH</w:t>
            </w:r>
            <w:r>
              <w:rPr>
                <w:rFonts w:hint="default" w:ascii="Times New Roman Regular" w:hAnsi="Times New Roman Regular" w:cs="Times New Roman Regular"/>
                <w:color w:val="auto"/>
                <w:sz w:val="21"/>
                <w:szCs w:val="21"/>
                <w:vertAlign w:val="subscript"/>
              </w:rPr>
              <w:t>3</w:t>
            </w:r>
            <w:r>
              <w:rPr>
                <w:rFonts w:hint="default" w:ascii="Times New Roman Regular" w:hAnsi="Times New Roman Regular" w:cs="Times New Roman Regular"/>
                <w:color w:val="auto"/>
                <w:sz w:val="21"/>
                <w:szCs w:val="21"/>
              </w:rPr>
              <w:t>-N）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评价标准</w:t>
            </w:r>
          </w:p>
        </w:tc>
        <w:tc>
          <w:tcPr>
            <w:tcW w:w="11618" w:type="dxa"/>
            <w:gridSpan w:val="12"/>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rPr>
              <mc:AlternateContent>
                <mc:Choice Requires="wps">
                  <w:drawing>
                    <wp:anchor distT="0" distB="0" distL="114300" distR="114300" simplePos="0" relativeHeight="251894784" behindDoc="0" locked="0" layoutInCell="1" allowOverlap="1">
                      <wp:simplePos x="0" y="0"/>
                      <wp:positionH relativeFrom="column">
                        <wp:posOffset>6764020</wp:posOffset>
                      </wp:positionH>
                      <wp:positionV relativeFrom="paragraph">
                        <wp:posOffset>-278765</wp:posOffset>
                      </wp:positionV>
                      <wp:extent cx="1381125" cy="504825"/>
                      <wp:effectExtent l="0" t="0" r="0" b="0"/>
                      <wp:wrapNone/>
                      <wp:docPr id="21" name="Text Box 5"/>
                      <wp:cNvGraphicFramePr/>
                      <a:graphic xmlns:a="http://schemas.openxmlformats.org/drawingml/2006/main">
                        <a:graphicData uri="http://schemas.microsoft.com/office/word/2010/wordprocessingShape">
                          <wps:wsp>
                            <wps:cNvSpPr/>
                            <wps:spPr bwMode="auto">
                              <a:xfrm>
                                <a:off x="0" y="0"/>
                                <a:ext cx="1381125" cy="504825"/>
                              </a:xfrm>
                              <a:prstGeom prst="rect">
                                <a:avLst/>
                              </a:prstGeom>
                              <a:noFill/>
                              <a:ln>
                                <a:noFill/>
                              </a:ln>
                            </wps:spPr>
                            <wps:txbx>
                              <w:txbxContent>
                                <w:p>
                                  <w:pPr>
                                    <w:rPr>
                                      <w:rFonts w:ascii="宋体" w:hAnsi="宋体" w:cs="宋体"/>
                                      <w:b/>
                                      <w:szCs w:val="28"/>
                                    </w:rPr>
                                  </w:pPr>
                                  <w:r>
                                    <w:rPr>
                                      <w:rFonts w:hint="eastAsia" w:ascii="宋体" w:hAnsi="宋体" w:cs="宋体"/>
                                      <w:b/>
                                      <w:szCs w:val="28"/>
                                    </w:rPr>
                                    <w:t>续表</w:t>
                                  </w:r>
                                </w:p>
                              </w:txbxContent>
                            </wps:txbx>
                            <wps:bodyPr rot="0" vert="horz" wrap="square" lIns="91440" tIns="45720" rIns="91440" bIns="45720" anchor="t" anchorCtr="0" upright="1">
                              <a:noAutofit/>
                            </wps:bodyPr>
                          </wps:wsp>
                        </a:graphicData>
                      </a:graphic>
                    </wp:anchor>
                  </w:drawing>
                </mc:Choice>
                <mc:Fallback>
                  <w:pict>
                    <v:rect id="Text Box 5" o:spid="_x0000_s1026" o:spt="1" style="position:absolute;left:0pt;margin-left:532.6pt;margin-top:-21.95pt;height:39.75pt;width:108.75pt;z-index:251894784;mso-width-relative:page;mso-height-relative:page;" filled="f" stroked="f" coordsize="21600,21600" o:gfxdata="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N&#10;Eo5q3QAAAAwBAAAPAAAAAAAAAAEAIAAAACIAAABkcnMvZG93bnJldi54bWxQSwECFAAUAAAACACH&#10;TuJAg59Jm+YBAADbAwAADgAAAAAAAAABACAAAAAsAQAAZHJzL2Uyb0RvYy54bWxQSwUGAAAAAAYA&#10;BgBZAQAAhAUAAAAA&#10;">
                      <v:fill on="f" focussize="0,0"/>
                      <v:stroke on="f"/>
                      <v:imagedata o:title=""/>
                      <o:lock v:ext="edit" aspectratio="f"/>
                      <v:textbox>
                        <w:txbxContent>
                          <w:p>
                            <w:pPr>
                              <w:rPr>
                                <w:rFonts w:ascii="宋体" w:hAnsi="宋体" w:cs="宋体"/>
                                <w:b/>
                                <w:szCs w:val="28"/>
                              </w:rPr>
                            </w:pPr>
                            <w:r>
                              <w:rPr>
                                <w:rFonts w:hint="eastAsia" w:ascii="宋体" w:hAnsi="宋体" w:cs="宋体"/>
                                <w:b/>
                                <w:szCs w:val="28"/>
                              </w:rPr>
                              <w:t>续表</w:t>
                            </w:r>
                          </w:p>
                        </w:txbxContent>
                      </v:textbox>
                    </v:rect>
                  </w:pict>
                </mc:Fallback>
              </mc:AlternateContent>
            </w:r>
            <w:r>
              <w:rPr>
                <w:rFonts w:hint="default" w:ascii="Times New Roman Regular" w:hAnsi="Times New Roman Regular" w:cs="Times New Roman Regular"/>
                <w:color w:val="auto"/>
                <w:sz w:val="21"/>
                <w:szCs w:val="21"/>
              </w:rPr>
              <w:t>河流、湖库、河口：I类□；II类□；III类</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；IV类□；V类□</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近岸海域：第一类□；第二类□；第三类</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；第四类□</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规划年评价标准（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评价时期</w:t>
            </w:r>
          </w:p>
        </w:tc>
        <w:tc>
          <w:tcPr>
            <w:tcW w:w="11618" w:type="dxa"/>
            <w:gridSpan w:val="12"/>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丰水期□；平水期</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；枯水期□；冰封期□</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春季□；夏季□；秋季□；冬季</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评价结论</w:t>
            </w:r>
          </w:p>
        </w:tc>
        <w:tc>
          <w:tcPr>
            <w:tcW w:w="10333" w:type="dxa"/>
            <w:gridSpan w:val="11"/>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水环境功能区或水功能区、近岸海域环境功能区水质达标状况□；达标</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；不达标□</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水环境控制单元或断面水质达标情况□；达标</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；不达标□</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水环境保护目标质量状况□；达标</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；不达标□</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对照断面、控制断面等代表性断面的水质状况□；达标</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；不达标□</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底泥污染评价□</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水资源与开发利用程度及其水文情势评价□   水环境质量回顾评价□</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流域（区域）水资源（包括水能资源）与开发利用总体状况、生态流量管理要求与现状满足程度、建设项目占用水域空间的水流状况与河湖演变状况□</w:t>
            </w:r>
          </w:p>
        </w:tc>
        <w:tc>
          <w:tcPr>
            <w:tcW w:w="1285" w:type="dxa"/>
            <w:vAlign w:val="center"/>
          </w:tcPr>
          <w:p>
            <w:pPr>
              <w:jc w:val="center"/>
              <w:rPr>
                <w:rFonts w:hint="default" w:ascii="Times New Roman Regular" w:hAnsi="Times New Roman Regular" w:cs="Times New Roman Regular"/>
                <w:color w:val="auto"/>
                <w:sz w:val="21"/>
                <w:szCs w:val="21"/>
              </w:rPr>
            </w:pP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达标区</w:t>
            </w:r>
            <w:r>
              <w:rPr>
                <w:rFonts w:hint="default" w:ascii="Times New Roman Regular" w:hAnsi="Times New Roman Regular" w:cs="Times New Roman Regular"/>
                <w:color w:val="auto"/>
                <w:kern w:val="0"/>
                <w:sz w:val="21"/>
                <w:szCs w:val="21"/>
              </w:rPr>
              <w:sym w:font="Wingdings 2" w:char="0052"/>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不达标区□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影</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响</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预</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测</w:t>
            </w: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预测范围</w:t>
            </w:r>
          </w:p>
        </w:tc>
        <w:tc>
          <w:tcPr>
            <w:tcW w:w="11618" w:type="dxa"/>
            <w:gridSpan w:val="12"/>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河流：长度（      ）km；湖库、河口及近岸海域：面积（      ）km</w:t>
            </w:r>
            <w:r>
              <w:rPr>
                <w:rFonts w:hint="default" w:ascii="Times New Roman Regular" w:hAnsi="Times New Roman Regular" w:cs="Times New Roman Regular"/>
                <w:color w:val="auto"/>
                <w:sz w:val="21"/>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预测因子</w:t>
            </w:r>
          </w:p>
        </w:tc>
        <w:tc>
          <w:tcPr>
            <w:tcW w:w="11618" w:type="dxa"/>
            <w:gridSpan w:val="12"/>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（COD、BOD</w:t>
            </w:r>
            <w:r>
              <w:rPr>
                <w:rFonts w:hint="default" w:ascii="Times New Roman Regular" w:hAnsi="Times New Roman Regular" w:cs="Times New Roman Regular"/>
                <w:color w:val="auto"/>
                <w:sz w:val="21"/>
                <w:szCs w:val="21"/>
                <w:vertAlign w:val="subscript"/>
              </w:rPr>
              <w:t>5</w:t>
            </w:r>
            <w:r>
              <w:rPr>
                <w:rFonts w:hint="default" w:ascii="Times New Roman Regular" w:hAnsi="Times New Roman Regular" w:cs="Times New Roman Regular"/>
                <w:color w:val="auto"/>
                <w:sz w:val="21"/>
                <w:szCs w:val="21"/>
              </w:rPr>
              <w:t>、SS、NH</w:t>
            </w:r>
            <w:r>
              <w:rPr>
                <w:rFonts w:hint="default" w:ascii="Times New Roman Regular" w:hAnsi="Times New Roman Regular" w:cs="Times New Roman Regular"/>
                <w:color w:val="auto"/>
                <w:sz w:val="21"/>
                <w:szCs w:val="21"/>
                <w:vertAlign w:val="subscript"/>
              </w:rPr>
              <w:t>3</w:t>
            </w:r>
            <w:r>
              <w:rPr>
                <w:rFonts w:hint="default" w:ascii="Times New Roman Regular" w:hAnsi="Times New Roman Regular" w:cs="Times New Roman Regular"/>
                <w:color w:val="auto"/>
                <w:sz w:val="21"/>
                <w:szCs w:val="21"/>
              </w:rPr>
              <w:t>-N）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2"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预测时期</w:t>
            </w:r>
          </w:p>
        </w:tc>
        <w:tc>
          <w:tcPr>
            <w:tcW w:w="11618" w:type="dxa"/>
            <w:gridSpan w:val="12"/>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丰水期□；平水期</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；枯水期□；冰封期□</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春季□；夏季</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；秋季□；冬季□</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设计水文条件□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预测情景</w:t>
            </w:r>
          </w:p>
        </w:tc>
        <w:tc>
          <w:tcPr>
            <w:tcW w:w="11618" w:type="dxa"/>
            <w:gridSpan w:val="12"/>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建设期</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；生产运行期□；服务期满后□</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正常工况</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；非正常工况□</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污染控制和减缓措施方案□</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区（流）域环境质量改善目标要求情景□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预测方法</w:t>
            </w:r>
          </w:p>
        </w:tc>
        <w:tc>
          <w:tcPr>
            <w:tcW w:w="11618" w:type="dxa"/>
            <w:gridSpan w:val="12"/>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数值解</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；解析解□；其他□</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导则推荐模式</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影</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响</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价</w:t>
            </w: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水污染控制和水环境影响减缓措施有效性评价</w:t>
            </w:r>
          </w:p>
        </w:tc>
        <w:tc>
          <w:tcPr>
            <w:tcW w:w="11618" w:type="dxa"/>
            <w:gridSpan w:val="12"/>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区（流）域环境质量改善目标</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；替代削减源□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水环境影响评价</w:t>
            </w:r>
          </w:p>
        </w:tc>
        <w:tc>
          <w:tcPr>
            <w:tcW w:w="11618" w:type="dxa"/>
            <w:gridSpan w:val="12"/>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rPr>
              <mc:AlternateContent>
                <mc:Choice Requires="wps">
                  <w:drawing>
                    <wp:anchor distT="0" distB="0" distL="114300" distR="114300" simplePos="0" relativeHeight="251893760" behindDoc="0" locked="0" layoutInCell="1" allowOverlap="1">
                      <wp:simplePos x="0" y="0"/>
                      <wp:positionH relativeFrom="column">
                        <wp:posOffset>6708775</wp:posOffset>
                      </wp:positionH>
                      <wp:positionV relativeFrom="paragraph">
                        <wp:posOffset>-304800</wp:posOffset>
                      </wp:positionV>
                      <wp:extent cx="1381125" cy="504825"/>
                      <wp:effectExtent l="0" t="0" r="0" b="0"/>
                      <wp:wrapNone/>
                      <wp:docPr id="20" name="Text Box 26"/>
                      <wp:cNvGraphicFramePr/>
                      <a:graphic xmlns:a="http://schemas.openxmlformats.org/drawingml/2006/main">
                        <a:graphicData uri="http://schemas.microsoft.com/office/word/2010/wordprocessingShape">
                          <wps:wsp>
                            <wps:cNvSpPr/>
                            <wps:spPr bwMode="auto">
                              <a:xfrm>
                                <a:off x="0" y="0"/>
                                <a:ext cx="1381125" cy="504825"/>
                              </a:xfrm>
                              <a:prstGeom prst="rect">
                                <a:avLst/>
                              </a:prstGeom>
                              <a:noFill/>
                              <a:ln>
                                <a:noFill/>
                              </a:ln>
                            </wps:spPr>
                            <wps:txbx>
                              <w:txbxContent>
                                <w:p>
                                  <w:pPr>
                                    <w:rPr>
                                      <w:rFonts w:ascii="宋体" w:hAnsi="宋体" w:cs="宋体"/>
                                      <w:b/>
                                      <w:szCs w:val="28"/>
                                    </w:rPr>
                                  </w:pPr>
                                  <w:r>
                                    <w:rPr>
                                      <w:rFonts w:hint="eastAsia" w:ascii="宋体" w:hAnsi="宋体" w:cs="宋体"/>
                                      <w:b/>
                                      <w:szCs w:val="28"/>
                                    </w:rPr>
                                    <w:t>续表</w:t>
                                  </w:r>
                                </w:p>
                              </w:txbxContent>
                            </wps:txbx>
                            <wps:bodyPr rot="0" vert="horz" wrap="square" lIns="91440" tIns="45720" rIns="91440" bIns="45720" anchor="t" anchorCtr="0" upright="1">
                              <a:noAutofit/>
                            </wps:bodyPr>
                          </wps:wsp>
                        </a:graphicData>
                      </a:graphic>
                    </wp:anchor>
                  </w:drawing>
                </mc:Choice>
                <mc:Fallback>
                  <w:pict>
                    <v:rect id="Text Box 26" o:spid="_x0000_s1026" o:spt="1" style="position:absolute;left:0pt;margin-left:528.25pt;margin-top:-24pt;height:39.75pt;width:108.75pt;z-index:251893760;mso-width-relative:page;mso-height-relative:page;" filled="f" stroked="f" coordsize="21600,21600" o:gfxdata="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CVdt89sAAAAMAQAADwAAAAAAAAABACAAAAAiAAAAZHJzL2Rvd25yZXYueG1sUEsBAhQAFAAAAAgA&#10;h07iQOUn+D7pAQAA3AMAAA4AAAAAAAAAAQAgAAAAKgEAAGRycy9lMm9Eb2MueG1sUEsFBgAAAAAG&#10;AAYAWQEAAIUFAAAAAA==&#10;">
                      <v:fill on="f" focussize="0,0"/>
                      <v:stroke on="f"/>
                      <v:imagedata o:title=""/>
                      <o:lock v:ext="edit" aspectratio="f"/>
                      <v:textbox>
                        <w:txbxContent>
                          <w:p>
                            <w:pPr>
                              <w:rPr>
                                <w:rFonts w:ascii="宋体" w:hAnsi="宋体" w:cs="宋体"/>
                                <w:b/>
                                <w:szCs w:val="28"/>
                              </w:rPr>
                            </w:pPr>
                            <w:r>
                              <w:rPr>
                                <w:rFonts w:hint="eastAsia" w:ascii="宋体" w:hAnsi="宋体" w:cs="宋体"/>
                                <w:b/>
                                <w:szCs w:val="28"/>
                              </w:rPr>
                              <w:t>续表</w:t>
                            </w:r>
                          </w:p>
                        </w:txbxContent>
                      </v:textbox>
                    </v:rect>
                  </w:pict>
                </mc:Fallback>
              </mc:AlternateContent>
            </w:r>
            <w:r>
              <w:rPr>
                <w:rFonts w:hint="default" w:ascii="Times New Roman Regular" w:hAnsi="Times New Roman Regular" w:cs="Times New Roman Regular"/>
                <w:color w:val="auto"/>
                <w:sz w:val="21"/>
                <w:szCs w:val="21"/>
              </w:rPr>
              <w:t>排放口混合区外满足水环境管理要求</w:t>
            </w:r>
            <w:r>
              <w:rPr>
                <w:rFonts w:hint="default" w:ascii="Times New Roman Regular" w:hAnsi="Times New Roman Regular" w:cs="Times New Roman Regular"/>
                <w:color w:val="auto"/>
                <w:kern w:val="0"/>
                <w:sz w:val="21"/>
                <w:szCs w:val="21"/>
              </w:rPr>
              <w:sym w:font="Wingdings 2" w:char="0052"/>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水环境功能区或水功能区、近岸海域环境功能区水质达标</w:t>
            </w:r>
            <w:r>
              <w:rPr>
                <w:rFonts w:hint="default" w:ascii="Times New Roman Regular" w:hAnsi="Times New Roman Regular" w:cs="Times New Roman Regular"/>
                <w:color w:val="auto"/>
                <w:kern w:val="0"/>
                <w:sz w:val="21"/>
                <w:szCs w:val="21"/>
              </w:rPr>
              <w:sym w:font="Wingdings 2" w:char="0052"/>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满足水环境保护目标水域水环境质量要求</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 xml:space="preserve">    水环境控制单元或断面水质达标</w:t>
            </w:r>
            <w:r>
              <w:rPr>
                <w:rFonts w:hint="default" w:ascii="Times New Roman Regular" w:hAnsi="Times New Roman Regular" w:cs="Times New Roman Regular"/>
                <w:color w:val="auto"/>
                <w:kern w:val="0"/>
                <w:sz w:val="21"/>
                <w:szCs w:val="21"/>
              </w:rPr>
              <w:sym w:font="Wingdings 2" w:char="0052"/>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满足重点水污染物排放总量控制指标要求，重点行业建设目标，主要污染物排放满足等量或减量替代要求</w:t>
            </w:r>
            <w:r>
              <w:rPr>
                <w:rFonts w:hint="default" w:ascii="Times New Roman Regular" w:hAnsi="Times New Roman Regular" w:cs="Times New Roman Regular"/>
                <w:color w:val="auto"/>
                <w:kern w:val="0"/>
                <w:sz w:val="21"/>
                <w:szCs w:val="21"/>
              </w:rPr>
              <w:sym w:font="Wingdings 2" w:char="0052"/>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满足区（流）域水环境质量改善目标要求</w:t>
            </w:r>
            <w:r>
              <w:rPr>
                <w:rFonts w:hint="default" w:ascii="Times New Roman Regular" w:hAnsi="Times New Roman Regular" w:cs="Times New Roman Regular"/>
                <w:color w:val="auto"/>
                <w:kern w:val="0"/>
                <w:sz w:val="21"/>
                <w:szCs w:val="21"/>
              </w:rPr>
              <w:sym w:font="Wingdings 2" w:char="0052"/>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水文要素影响型建设项目同时应包括水文情势变化评价、主要水文特征值影响评价、生态流量符合性评价</w:t>
            </w:r>
            <w:r>
              <w:rPr>
                <w:rFonts w:hint="default" w:ascii="Times New Roman Regular" w:hAnsi="Times New Roman Regular" w:cs="Times New Roman Regular"/>
                <w:color w:val="auto"/>
                <w:kern w:val="0"/>
                <w:sz w:val="21"/>
                <w:szCs w:val="21"/>
              </w:rPr>
              <w:sym w:font="Wingdings 2" w:char="0052"/>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对于新设或调整入河（湖库、近岸海域）排放口的建设项目，应包括排放口设置的环境和理性评价</w:t>
            </w:r>
            <w:r>
              <w:rPr>
                <w:rFonts w:hint="default" w:ascii="Times New Roman Regular" w:hAnsi="Times New Roman Regular" w:cs="Times New Roman Regular"/>
                <w:color w:val="auto"/>
                <w:kern w:val="0"/>
                <w:sz w:val="21"/>
                <w:szCs w:val="21"/>
              </w:rPr>
              <w:sym w:font="Wingdings 2" w:char="0052"/>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满足生态保护红线、水环境质量底线、资源利用上线和环境准入清单管理要求</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50"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污染物排放量核算</w:t>
            </w:r>
          </w:p>
        </w:tc>
        <w:tc>
          <w:tcPr>
            <w:tcW w:w="3773"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污染物名称</w:t>
            </w:r>
          </w:p>
        </w:tc>
        <w:tc>
          <w:tcPr>
            <w:tcW w:w="3787"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排放量/（t/a）</w:t>
            </w:r>
          </w:p>
        </w:tc>
        <w:tc>
          <w:tcPr>
            <w:tcW w:w="4058"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排放浓度/（mg/L）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50"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1224" w:type="dxa"/>
            <w:vMerge w:val="restart"/>
            <w:vAlign w:val="center"/>
          </w:tcPr>
          <w:p>
            <w:pPr>
              <w:spacing w:line="340" w:lineRule="exact"/>
              <w:jc w:val="center"/>
              <w:rPr>
                <w:rFonts w:hint="default" w:ascii="Times New Roman Regular" w:hAnsi="Times New Roman Regular" w:eastAsia="宋体" w:cs="Times New Roman Regular"/>
                <w:color w:val="auto"/>
                <w:sz w:val="21"/>
                <w:szCs w:val="21"/>
                <w:lang w:val="en-US" w:eastAsia="zh-Hans"/>
              </w:rPr>
            </w:pPr>
            <w:r>
              <w:rPr>
                <w:rFonts w:hint="default" w:ascii="Times New Roman Regular" w:hAnsi="Times New Roman Regular" w:cs="Times New Roman Regular"/>
                <w:color w:val="auto"/>
                <w:sz w:val="21"/>
                <w:szCs w:val="21"/>
                <w:lang w:val="en-US" w:eastAsia="zh-Hans"/>
              </w:rPr>
              <w:t>生活污水</w:t>
            </w:r>
          </w:p>
        </w:tc>
        <w:tc>
          <w:tcPr>
            <w:tcW w:w="2549" w:type="dxa"/>
            <w:gridSpan w:val="3"/>
            <w:vAlign w:val="center"/>
          </w:tcPr>
          <w:p>
            <w:pPr>
              <w:spacing w:line="340" w:lineRule="exact"/>
              <w:jc w:val="center"/>
              <w:rPr>
                <w:rFonts w:hint="default" w:ascii="Times New Roman Regular" w:hAnsi="Times New Roman Regular" w:eastAsia="宋体" w:cs="Times New Roman Regular"/>
                <w:color w:val="auto"/>
                <w:kern w:val="2"/>
                <w:sz w:val="21"/>
                <w:szCs w:val="21"/>
                <w:lang w:val="en-US" w:eastAsia="zh-CN" w:bidi="ar-SA"/>
              </w:rPr>
            </w:pPr>
            <w:r>
              <w:rPr>
                <w:rFonts w:hint="default" w:ascii="Times New Roman Regular" w:hAnsi="Times New Roman Regular" w:cs="Times New Roman Regular"/>
                <w:color w:val="auto"/>
                <w:sz w:val="21"/>
                <w:szCs w:val="21"/>
              </w:rPr>
              <w:t>COD</w:t>
            </w:r>
          </w:p>
        </w:tc>
        <w:tc>
          <w:tcPr>
            <w:tcW w:w="3787"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0</w:t>
            </w:r>
            <w:r>
              <w:rPr>
                <w:rFonts w:hint="default" w:ascii="Times New Roman Regular" w:hAnsi="Times New Roman Regular" w:cs="Times New Roman Regular"/>
                <w:color w:val="auto"/>
                <w:sz w:val="21"/>
                <w:szCs w:val="21"/>
                <w:lang w:val="en-US" w:eastAsia="zh-Hans"/>
              </w:rPr>
              <w:t>.</w:t>
            </w:r>
            <w:r>
              <w:rPr>
                <w:rFonts w:hint="default" w:ascii="Times New Roman Regular" w:hAnsi="Times New Roman Regular" w:cs="Times New Roman Regular"/>
                <w:color w:val="auto"/>
                <w:sz w:val="21"/>
                <w:szCs w:val="21"/>
                <w:lang w:eastAsia="zh-Hans"/>
              </w:rPr>
              <w:t>08</w:t>
            </w:r>
          </w:p>
        </w:tc>
        <w:tc>
          <w:tcPr>
            <w:tcW w:w="4058"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50"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1224"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49" w:type="dxa"/>
            <w:gridSpan w:val="3"/>
            <w:vAlign w:val="center"/>
          </w:tcPr>
          <w:p>
            <w:pPr>
              <w:spacing w:line="340" w:lineRule="exact"/>
              <w:jc w:val="center"/>
              <w:rPr>
                <w:rFonts w:hint="default" w:ascii="Times New Roman Regular" w:hAnsi="Times New Roman Regular" w:eastAsia="宋体" w:cs="Times New Roman Regular"/>
                <w:color w:val="auto"/>
                <w:kern w:val="2"/>
                <w:sz w:val="21"/>
                <w:szCs w:val="21"/>
                <w:lang w:val="en-US" w:eastAsia="zh-CN" w:bidi="ar-SA"/>
              </w:rPr>
            </w:pPr>
            <w:r>
              <w:rPr>
                <w:rFonts w:hint="default" w:ascii="Times New Roman Regular" w:hAnsi="Times New Roman Regular" w:cs="Times New Roman Regular"/>
                <w:color w:val="auto"/>
                <w:sz w:val="21"/>
                <w:szCs w:val="21"/>
              </w:rPr>
              <w:t>BOD</w:t>
            </w:r>
            <w:r>
              <w:rPr>
                <w:rFonts w:hint="default" w:ascii="Times New Roman Regular" w:hAnsi="Times New Roman Regular" w:cs="Times New Roman Regular"/>
                <w:color w:val="auto"/>
                <w:sz w:val="21"/>
                <w:szCs w:val="21"/>
                <w:vertAlign w:val="subscript"/>
              </w:rPr>
              <w:t>5</w:t>
            </w:r>
          </w:p>
        </w:tc>
        <w:tc>
          <w:tcPr>
            <w:tcW w:w="3787"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0</w:t>
            </w:r>
            <w:r>
              <w:rPr>
                <w:rFonts w:hint="default" w:ascii="Times New Roman Regular" w:hAnsi="Times New Roman Regular" w:cs="Times New Roman Regular"/>
                <w:color w:val="auto"/>
                <w:sz w:val="21"/>
                <w:szCs w:val="21"/>
                <w:lang w:val="en-US" w:eastAsia="zh-Hans"/>
              </w:rPr>
              <w:t>.</w:t>
            </w:r>
            <w:r>
              <w:rPr>
                <w:rFonts w:hint="default" w:ascii="Times New Roman Regular" w:hAnsi="Times New Roman Regular" w:cs="Times New Roman Regular"/>
                <w:color w:val="auto"/>
                <w:sz w:val="21"/>
                <w:szCs w:val="21"/>
                <w:lang w:eastAsia="zh-Hans"/>
              </w:rPr>
              <w:t>052</w:t>
            </w:r>
          </w:p>
        </w:tc>
        <w:tc>
          <w:tcPr>
            <w:tcW w:w="4058"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162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50"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1224"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49" w:type="dxa"/>
            <w:gridSpan w:val="3"/>
            <w:vAlign w:val="center"/>
          </w:tcPr>
          <w:p>
            <w:pPr>
              <w:spacing w:line="340" w:lineRule="exact"/>
              <w:jc w:val="center"/>
              <w:rPr>
                <w:rFonts w:hint="default" w:ascii="Times New Roman Regular" w:hAnsi="Times New Roman Regular" w:eastAsia="宋体" w:cs="Times New Roman Regular"/>
                <w:color w:val="auto"/>
                <w:kern w:val="2"/>
                <w:sz w:val="21"/>
                <w:szCs w:val="21"/>
                <w:lang w:val="en-US" w:eastAsia="zh-CN" w:bidi="ar-SA"/>
              </w:rPr>
            </w:pPr>
            <w:r>
              <w:rPr>
                <w:rFonts w:hint="default" w:ascii="Times New Roman Regular" w:hAnsi="Times New Roman Regular" w:cs="Times New Roman Regular"/>
                <w:color w:val="auto"/>
                <w:sz w:val="21"/>
                <w:szCs w:val="21"/>
              </w:rPr>
              <w:t>SS</w:t>
            </w:r>
          </w:p>
        </w:tc>
        <w:tc>
          <w:tcPr>
            <w:tcW w:w="3787"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0</w:t>
            </w:r>
            <w:r>
              <w:rPr>
                <w:rFonts w:hint="default" w:ascii="Times New Roman Regular" w:hAnsi="Times New Roman Regular" w:cs="Times New Roman Regular"/>
                <w:color w:val="auto"/>
                <w:sz w:val="21"/>
                <w:szCs w:val="21"/>
                <w:lang w:val="en-US" w:eastAsia="zh-Hans"/>
              </w:rPr>
              <w:t>.</w:t>
            </w:r>
            <w:r>
              <w:rPr>
                <w:rFonts w:hint="default" w:ascii="Times New Roman Regular" w:hAnsi="Times New Roman Regular" w:cs="Times New Roman Regular"/>
                <w:color w:val="auto"/>
                <w:sz w:val="21"/>
                <w:szCs w:val="21"/>
                <w:lang w:eastAsia="zh-Hans"/>
              </w:rPr>
              <w:t>022</w:t>
            </w:r>
          </w:p>
        </w:tc>
        <w:tc>
          <w:tcPr>
            <w:tcW w:w="4058"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50"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1224"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49" w:type="dxa"/>
            <w:gridSpan w:val="3"/>
            <w:vAlign w:val="center"/>
          </w:tcPr>
          <w:p>
            <w:pPr>
              <w:spacing w:line="340" w:lineRule="exact"/>
              <w:jc w:val="center"/>
              <w:rPr>
                <w:rFonts w:hint="default" w:ascii="Times New Roman Regular" w:hAnsi="Times New Roman Regular" w:eastAsia="宋体" w:cs="Times New Roman Regular"/>
                <w:color w:val="auto"/>
                <w:kern w:val="2"/>
                <w:sz w:val="21"/>
                <w:szCs w:val="21"/>
                <w:lang w:val="en-US" w:eastAsia="zh-CN" w:bidi="ar-SA"/>
              </w:rPr>
            </w:pPr>
            <w:r>
              <w:rPr>
                <w:rFonts w:hint="default" w:ascii="Times New Roman Regular" w:hAnsi="Times New Roman Regular" w:cs="Times New Roman Regular"/>
                <w:color w:val="auto"/>
                <w:sz w:val="21"/>
                <w:szCs w:val="21"/>
              </w:rPr>
              <w:t>NH</w:t>
            </w:r>
            <w:r>
              <w:rPr>
                <w:rFonts w:hint="default" w:ascii="Times New Roman Regular" w:hAnsi="Times New Roman Regular" w:cs="Times New Roman Regular"/>
                <w:color w:val="auto"/>
                <w:sz w:val="21"/>
                <w:szCs w:val="21"/>
                <w:vertAlign w:val="subscript"/>
              </w:rPr>
              <w:t>3</w:t>
            </w:r>
            <w:r>
              <w:rPr>
                <w:rFonts w:hint="default" w:ascii="Times New Roman Regular" w:hAnsi="Times New Roman Regular" w:cs="Times New Roman Regular"/>
                <w:color w:val="auto"/>
                <w:sz w:val="21"/>
                <w:szCs w:val="21"/>
              </w:rPr>
              <w:t>-N</w:t>
            </w:r>
          </w:p>
        </w:tc>
        <w:tc>
          <w:tcPr>
            <w:tcW w:w="3787"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0</w:t>
            </w:r>
            <w:r>
              <w:rPr>
                <w:rFonts w:hint="default" w:ascii="Times New Roman Regular" w:hAnsi="Times New Roman Regular" w:cs="Times New Roman Regular"/>
                <w:color w:val="auto"/>
                <w:sz w:val="21"/>
                <w:szCs w:val="21"/>
                <w:lang w:val="en-US" w:eastAsia="zh-Hans"/>
              </w:rPr>
              <w:t>.</w:t>
            </w:r>
            <w:r>
              <w:rPr>
                <w:rFonts w:hint="default" w:ascii="Times New Roman Regular" w:hAnsi="Times New Roman Regular" w:cs="Times New Roman Regular"/>
                <w:color w:val="auto"/>
                <w:sz w:val="21"/>
                <w:szCs w:val="21"/>
                <w:lang w:eastAsia="zh-Hans"/>
              </w:rPr>
              <w:t>008</w:t>
            </w:r>
          </w:p>
        </w:tc>
        <w:tc>
          <w:tcPr>
            <w:tcW w:w="4058"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50"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替代源排放情况</w:t>
            </w:r>
          </w:p>
        </w:tc>
        <w:tc>
          <w:tcPr>
            <w:tcW w:w="2373" w:type="dxa"/>
            <w:gridSpan w:val="2"/>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污染源名称</w:t>
            </w:r>
          </w:p>
        </w:tc>
        <w:tc>
          <w:tcPr>
            <w:tcW w:w="2240" w:type="dxa"/>
            <w:gridSpan w:val="3"/>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排污许可证编号</w:t>
            </w:r>
          </w:p>
        </w:tc>
        <w:tc>
          <w:tcPr>
            <w:tcW w:w="2107" w:type="dxa"/>
            <w:gridSpan w:val="2"/>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污染物名称</w:t>
            </w:r>
          </w:p>
        </w:tc>
        <w:tc>
          <w:tcPr>
            <w:tcW w:w="2520" w:type="dxa"/>
            <w:gridSpan w:val="2"/>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排放量/（t/a）</w:t>
            </w:r>
          </w:p>
        </w:tc>
        <w:tc>
          <w:tcPr>
            <w:tcW w:w="2378" w:type="dxa"/>
            <w:gridSpan w:val="3"/>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排放浓度/（mg/L）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50"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373" w:type="dxa"/>
            <w:gridSpan w:val="2"/>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        ）</w:t>
            </w:r>
          </w:p>
        </w:tc>
        <w:tc>
          <w:tcPr>
            <w:tcW w:w="2240" w:type="dxa"/>
            <w:gridSpan w:val="3"/>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        ）</w:t>
            </w:r>
          </w:p>
        </w:tc>
        <w:tc>
          <w:tcPr>
            <w:tcW w:w="2107" w:type="dxa"/>
            <w:gridSpan w:val="2"/>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        ）</w:t>
            </w:r>
          </w:p>
        </w:tc>
        <w:tc>
          <w:tcPr>
            <w:tcW w:w="2520" w:type="dxa"/>
            <w:gridSpan w:val="2"/>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        ）</w:t>
            </w:r>
          </w:p>
        </w:tc>
        <w:tc>
          <w:tcPr>
            <w:tcW w:w="2378" w:type="dxa"/>
            <w:gridSpan w:val="3"/>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生态流量确定</w:t>
            </w:r>
          </w:p>
        </w:tc>
        <w:tc>
          <w:tcPr>
            <w:tcW w:w="11618" w:type="dxa"/>
            <w:gridSpan w:val="12"/>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生态流量：一般水期（     ）m</w:t>
            </w:r>
            <w:r>
              <w:rPr>
                <w:rFonts w:hint="default" w:ascii="Times New Roman Regular" w:hAnsi="Times New Roman Regular" w:cs="Times New Roman Regular"/>
                <w:color w:val="auto"/>
                <w:sz w:val="21"/>
                <w:szCs w:val="21"/>
                <w:vertAlign w:val="superscript"/>
              </w:rPr>
              <w:t>3</w:t>
            </w:r>
            <w:r>
              <w:rPr>
                <w:rFonts w:hint="default" w:ascii="Times New Roman Regular" w:hAnsi="Times New Roman Regular" w:cs="Times New Roman Regular"/>
                <w:color w:val="auto"/>
                <w:sz w:val="21"/>
                <w:szCs w:val="21"/>
              </w:rPr>
              <w:t>/s；鱼类繁殖期（     ）m</w:t>
            </w:r>
            <w:r>
              <w:rPr>
                <w:rFonts w:hint="default" w:ascii="Times New Roman Regular" w:hAnsi="Times New Roman Regular" w:cs="Times New Roman Regular"/>
                <w:color w:val="auto"/>
                <w:sz w:val="21"/>
                <w:szCs w:val="21"/>
                <w:vertAlign w:val="superscript"/>
              </w:rPr>
              <w:t>3</w:t>
            </w:r>
            <w:r>
              <w:rPr>
                <w:rFonts w:hint="default" w:ascii="Times New Roman Regular" w:hAnsi="Times New Roman Regular" w:cs="Times New Roman Regular"/>
                <w:color w:val="auto"/>
                <w:sz w:val="21"/>
                <w:szCs w:val="21"/>
              </w:rPr>
              <w:t>/s；其他（     ）m</w:t>
            </w:r>
            <w:r>
              <w:rPr>
                <w:rFonts w:hint="default" w:ascii="Times New Roman Regular" w:hAnsi="Times New Roman Regular" w:cs="Times New Roman Regular"/>
                <w:color w:val="auto"/>
                <w:sz w:val="21"/>
                <w:szCs w:val="21"/>
                <w:vertAlign w:val="superscript"/>
              </w:rPr>
              <w:t>3</w:t>
            </w:r>
            <w:r>
              <w:rPr>
                <w:rFonts w:hint="default" w:ascii="Times New Roman Regular" w:hAnsi="Times New Roman Regular" w:cs="Times New Roman Regular"/>
                <w:color w:val="auto"/>
                <w:sz w:val="21"/>
                <w:szCs w:val="21"/>
              </w:rPr>
              <w:t>/s</w:t>
            </w:r>
          </w:p>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生态水位：一般水期（     ）m</w:t>
            </w:r>
            <w:r>
              <w:rPr>
                <w:rFonts w:hint="default" w:ascii="Times New Roman Regular" w:hAnsi="Times New Roman Regular" w:cs="Times New Roman Regular"/>
                <w:color w:val="auto"/>
                <w:sz w:val="21"/>
                <w:szCs w:val="21"/>
                <w:vertAlign w:val="superscript"/>
              </w:rPr>
              <w:t>3</w:t>
            </w:r>
            <w:r>
              <w:rPr>
                <w:rFonts w:hint="default" w:ascii="Times New Roman Regular" w:hAnsi="Times New Roman Regular" w:cs="Times New Roman Regular"/>
                <w:color w:val="auto"/>
                <w:sz w:val="21"/>
                <w:szCs w:val="21"/>
              </w:rPr>
              <w:t>/s；鱼类繁殖期（     ）m</w:t>
            </w:r>
            <w:r>
              <w:rPr>
                <w:rFonts w:hint="default" w:ascii="Times New Roman Regular" w:hAnsi="Times New Roman Regular" w:cs="Times New Roman Regular"/>
                <w:color w:val="auto"/>
                <w:sz w:val="21"/>
                <w:szCs w:val="21"/>
                <w:vertAlign w:val="superscript"/>
              </w:rPr>
              <w:t>3</w:t>
            </w:r>
            <w:r>
              <w:rPr>
                <w:rFonts w:hint="default" w:ascii="Times New Roman Regular" w:hAnsi="Times New Roman Regular" w:cs="Times New Roman Regular"/>
                <w:color w:val="auto"/>
                <w:sz w:val="21"/>
                <w:szCs w:val="21"/>
              </w:rPr>
              <w:t>/s；其他（     ）m</w:t>
            </w:r>
            <w:r>
              <w:rPr>
                <w:rFonts w:hint="default" w:ascii="Times New Roman Regular" w:hAnsi="Times New Roman Regular" w:cs="Times New Roman Regular"/>
                <w:color w:val="auto"/>
                <w:sz w:val="21"/>
                <w:szCs w:val="21"/>
                <w:vertAlign w:val="superscript"/>
              </w:rPr>
              <w:t>3</w:t>
            </w:r>
            <w:r>
              <w:rPr>
                <w:rFonts w:hint="default" w:ascii="Times New Roman Regular" w:hAnsi="Times New Roman Regular" w:cs="Times New Roman Regular"/>
                <w:color w:val="auto"/>
                <w:sz w:val="21"/>
                <w:szCs w:val="21"/>
              </w:rPr>
              <w:t>/s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防</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治</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措</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施</w:t>
            </w: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环保措施</w:t>
            </w:r>
          </w:p>
        </w:tc>
        <w:tc>
          <w:tcPr>
            <w:tcW w:w="11618" w:type="dxa"/>
            <w:gridSpan w:val="12"/>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污水处理设施</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；水文减缓设施□；生态流量保障设施□；区域削减□；依托其他工程措施□；其他□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监测计划</w:t>
            </w:r>
          </w:p>
        </w:tc>
        <w:tc>
          <w:tcPr>
            <w:tcW w:w="3493" w:type="dxa"/>
            <w:gridSpan w:val="3"/>
            <w:vAlign w:val="center"/>
          </w:tcPr>
          <w:p>
            <w:pPr>
              <w:spacing w:line="340" w:lineRule="exact"/>
              <w:jc w:val="left"/>
              <w:rPr>
                <w:rFonts w:hint="default" w:ascii="Times New Roman Regular" w:hAnsi="Times New Roman Regular" w:cs="Times New Roman Regular"/>
                <w:color w:val="auto"/>
                <w:sz w:val="21"/>
                <w:szCs w:val="21"/>
              </w:rPr>
            </w:pPr>
          </w:p>
        </w:tc>
        <w:tc>
          <w:tcPr>
            <w:tcW w:w="4067" w:type="dxa"/>
            <w:gridSpan w:val="5"/>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环境质量</w:t>
            </w:r>
          </w:p>
        </w:tc>
        <w:tc>
          <w:tcPr>
            <w:tcW w:w="4058"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污染源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3493" w:type="dxa"/>
            <w:gridSpan w:val="3"/>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监测方式</w:t>
            </w:r>
          </w:p>
        </w:tc>
        <w:tc>
          <w:tcPr>
            <w:tcW w:w="4067" w:type="dxa"/>
            <w:gridSpan w:val="5"/>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手动□；自动□；无监测</w:t>
            </w:r>
            <w:r>
              <w:rPr>
                <w:rFonts w:hint="default" w:ascii="Times New Roman Regular" w:hAnsi="Times New Roman Regular" w:cs="Times New Roman Regular"/>
                <w:color w:val="auto"/>
                <w:kern w:val="0"/>
                <w:sz w:val="21"/>
                <w:szCs w:val="21"/>
              </w:rPr>
              <w:sym w:font="Wingdings 2" w:char="0052"/>
            </w:r>
          </w:p>
        </w:tc>
        <w:tc>
          <w:tcPr>
            <w:tcW w:w="4058"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手动</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；自动□；无监测</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3493" w:type="dxa"/>
            <w:gridSpan w:val="3"/>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监测点位</w:t>
            </w:r>
          </w:p>
        </w:tc>
        <w:tc>
          <w:tcPr>
            <w:tcW w:w="4067" w:type="dxa"/>
            <w:gridSpan w:val="5"/>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     ）</w:t>
            </w:r>
          </w:p>
        </w:tc>
        <w:tc>
          <w:tcPr>
            <w:tcW w:w="4058"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（化粪池出水口）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Merge w:val="continue"/>
            <w:vAlign w:val="center"/>
          </w:tcPr>
          <w:p>
            <w:pPr>
              <w:spacing w:line="340" w:lineRule="exact"/>
              <w:jc w:val="center"/>
              <w:rPr>
                <w:rFonts w:hint="default" w:ascii="Times New Roman Regular" w:hAnsi="Times New Roman Regular" w:cs="Times New Roman Regular"/>
                <w:color w:val="auto"/>
                <w:sz w:val="21"/>
                <w:szCs w:val="21"/>
              </w:rPr>
            </w:pPr>
          </w:p>
        </w:tc>
        <w:tc>
          <w:tcPr>
            <w:tcW w:w="3493" w:type="dxa"/>
            <w:gridSpan w:val="3"/>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监测因子</w:t>
            </w:r>
          </w:p>
        </w:tc>
        <w:tc>
          <w:tcPr>
            <w:tcW w:w="4067" w:type="dxa"/>
            <w:gridSpan w:val="5"/>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     ）</w:t>
            </w:r>
          </w:p>
        </w:tc>
        <w:tc>
          <w:tcPr>
            <w:tcW w:w="4058"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（pH、COD、BOD</w:t>
            </w:r>
            <w:r>
              <w:rPr>
                <w:rFonts w:hint="default" w:ascii="Times New Roman Regular" w:hAnsi="Times New Roman Regular" w:cs="Times New Roman Regular"/>
                <w:color w:val="auto"/>
                <w:sz w:val="21"/>
                <w:szCs w:val="21"/>
                <w:vertAlign w:val="subscript"/>
              </w:rPr>
              <w:t>5</w:t>
            </w:r>
            <w:r>
              <w:rPr>
                <w:rFonts w:hint="default" w:ascii="Times New Roman Regular" w:hAnsi="Times New Roman Regular" w:cs="Times New Roman Regular"/>
                <w:color w:val="auto"/>
                <w:sz w:val="21"/>
                <w:szCs w:val="21"/>
              </w:rPr>
              <w:t>、SS、NH</w:t>
            </w:r>
            <w:r>
              <w:rPr>
                <w:rFonts w:hint="default" w:ascii="Times New Roman Regular" w:hAnsi="Times New Roman Regular" w:cs="Times New Roman Regular"/>
                <w:color w:val="auto"/>
                <w:sz w:val="21"/>
                <w:szCs w:val="21"/>
                <w:vertAlign w:val="subscript"/>
              </w:rPr>
              <w:t>3</w:t>
            </w:r>
            <w:r>
              <w:rPr>
                <w:rFonts w:hint="default" w:ascii="Times New Roman Regular" w:hAnsi="Times New Roman Regular" w:cs="Times New Roman Regular"/>
                <w:color w:val="auto"/>
                <w:sz w:val="21"/>
                <w:szCs w:val="21"/>
              </w:rPr>
              <w:t>-N）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污染物排放清单</w:t>
            </w:r>
          </w:p>
        </w:tc>
        <w:tc>
          <w:tcPr>
            <w:tcW w:w="11618" w:type="dxa"/>
            <w:gridSpan w:val="12"/>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12"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255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评价结论</w:t>
            </w:r>
          </w:p>
        </w:tc>
        <w:tc>
          <w:tcPr>
            <w:tcW w:w="11618" w:type="dxa"/>
            <w:gridSpan w:val="12"/>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可以接受</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；不可以接受□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880" w:type="dxa"/>
            <w:gridSpan w:val="14"/>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注：“□”为勾选项，可</w:t>
            </w:r>
            <w:r>
              <w:rPr>
                <w:rFonts w:hint="default" w:ascii="Times New Roman Regular" w:hAnsi="Times New Roman Regular" w:cs="Times New Roman Regular"/>
                <w:color w:val="auto"/>
                <w:sz w:val="21"/>
                <w:szCs w:val="21"/>
              </w:rPr>
              <w:sym w:font="Wingdings 2" w:char="0052"/>
            </w:r>
            <w:r>
              <w:rPr>
                <w:rFonts w:hint="default" w:ascii="Times New Roman Regular" w:hAnsi="Times New Roman Regular" w:cs="Times New Roman Regular"/>
                <w:color w:val="auto"/>
                <w:sz w:val="21"/>
                <w:szCs w:val="21"/>
              </w:rPr>
              <w:t>；“（       ）”为内容填写项；“备注”为其他补充内容。</w:t>
            </w:r>
          </w:p>
        </w:tc>
      </w:tr>
    </w:tbl>
    <w:p>
      <w:pPr>
        <w:rPr>
          <w:rFonts w:hint="default" w:ascii="Times New Roman Regular" w:hAnsi="Times New Roman Regular" w:cs="Times New Roman Regular"/>
          <w:color w:val="FF0000"/>
        </w:rPr>
        <w:sectPr>
          <w:pgSz w:w="16838" w:h="11906" w:orient="landscape"/>
          <w:pgMar w:top="1125" w:right="1417" w:bottom="1416" w:left="1417" w:header="851" w:footer="1134" w:gutter="0"/>
          <w:pgBorders>
            <w:top w:val="none" w:sz="0" w:space="0"/>
            <w:left w:val="none" w:sz="0" w:space="0"/>
            <w:bottom w:val="none" w:sz="0" w:space="0"/>
            <w:right w:val="none" w:sz="0" w:space="0"/>
          </w:pgBorders>
          <w:pgNumType w:fmt="decimal"/>
          <w:cols w:space="720" w:num="1"/>
          <w:docGrid w:linePitch="381" w:charSpace="0"/>
        </w:sectPr>
      </w:pPr>
    </w:p>
    <w:p>
      <w:pPr>
        <w:pStyle w:val="110"/>
        <w:spacing w:before="120" w:beforeLines="50" w:after="120" w:afterLines="50" w:line="360" w:lineRule="auto"/>
        <w:ind w:firstLine="0"/>
        <w:outlineLvl w:val="0"/>
        <w:rPr>
          <w:rFonts w:hint="default" w:ascii="Times New Roman Regular" w:hAnsi="Times New Roman Regular" w:eastAsia="宋体" w:cs="Times New Roman Regular"/>
          <w:b/>
          <w:color w:val="auto"/>
          <w:szCs w:val="28"/>
        </w:rPr>
      </w:pPr>
      <w:bookmarkStart w:id="449" w:name="_Toc553927866_WPSOffice_Level1"/>
      <w:bookmarkStart w:id="450" w:name="_Toc47618427"/>
      <w:bookmarkStart w:id="451" w:name="_Toc1028911539"/>
      <w:r>
        <w:rPr>
          <w:rFonts w:hint="default" w:ascii="Times New Roman Regular" w:hAnsi="Times New Roman Regular" w:eastAsia="宋体" w:cs="Times New Roman Regular"/>
          <w:b/>
          <w:color w:val="auto"/>
          <w:szCs w:val="28"/>
        </w:rPr>
        <w:t>附表3  大气环境影响评价自查表</w:t>
      </w:r>
      <w:bookmarkEnd w:id="449"/>
      <w:bookmarkEnd w:id="450"/>
      <w:bookmarkEnd w:id="451"/>
    </w:p>
    <w:tbl>
      <w:tblPr>
        <w:tblStyle w:val="36"/>
        <w:tblW w:w="991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8"/>
        <w:gridCol w:w="1840"/>
        <w:gridCol w:w="997"/>
        <w:gridCol w:w="301"/>
        <w:gridCol w:w="547"/>
        <w:gridCol w:w="102"/>
        <w:gridCol w:w="154"/>
        <w:gridCol w:w="67"/>
        <w:gridCol w:w="1199"/>
        <w:gridCol w:w="109"/>
        <w:gridCol w:w="403"/>
        <w:gridCol w:w="496"/>
        <w:gridCol w:w="387"/>
        <w:gridCol w:w="412"/>
        <w:gridCol w:w="208"/>
        <w:gridCol w:w="323"/>
        <w:gridCol w:w="655"/>
        <w:gridCol w:w="7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848" w:type="dxa"/>
            <w:gridSpan w:val="2"/>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工作内容</w:t>
            </w:r>
          </w:p>
        </w:tc>
        <w:tc>
          <w:tcPr>
            <w:tcW w:w="7063" w:type="dxa"/>
            <w:gridSpan w:val="16"/>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restart"/>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评价等级与范围</w:t>
            </w: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评价等级</w:t>
            </w:r>
          </w:p>
        </w:tc>
        <w:tc>
          <w:tcPr>
            <w:tcW w:w="2101" w:type="dxa"/>
            <w:gridSpan w:val="5"/>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一级□</w:t>
            </w:r>
          </w:p>
        </w:tc>
        <w:tc>
          <w:tcPr>
            <w:tcW w:w="3073" w:type="dxa"/>
            <w:gridSpan w:val="7"/>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二级□</w:t>
            </w:r>
          </w:p>
        </w:tc>
        <w:tc>
          <w:tcPr>
            <w:tcW w:w="1889" w:type="dxa"/>
            <w:gridSpan w:val="4"/>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三级</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评价范围</w:t>
            </w:r>
          </w:p>
        </w:tc>
        <w:tc>
          <w:tcPr>
            <w:tcW w:w="2101" w:type="dxa"/>
            <w:gridSpan w:val="5"/>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边长=50km□</w:t>
            </w:r>
          </w:p>
        </w:tc>
        <w:tc>
          <w:tcPr>
            <w:tcW w:w="3073" w:type="dxa"/>
            <w:gridSpan w:val="7"/>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边长5～50km□</w:t>
            </w:r>
          </w:p>
        </w:tc>
        <w:tc>
          <w:tcPr>
            <w:tcW w:w="1889" w:type="dxa"/>
            <w:gridSpan w:val="4"/>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边长=5km</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评价因子</w:t>
            </w: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SO</w:t>
            </w:r>
            <w:r>
              <w:rPr>
                <w:rFonts w:hint="default" w:ascii="Times New Roman Regular" w:hAnsi="Times New Roman Regular" w:cs="Times New Roman Regular"/>
                <w:color w:val="auto"/>
                <w:sz w:val="21"/>
                <w:szCs w:val="21"/>
                <w:vertAlign w:val="subscript"/>
              </w:rPr>
              <w:t>2</w:t>
            </w:r>
            <w:r>
              <w:rPr>
                <w:rFonts w:hint="default" w:ascii="Times New Roman Regular" w:hAnsi="Times New Roman Regular" w:cs="Times New Roman Regular"/>
                <w:color w:val="auto"/>
                <w:sz w:val="21"/>
                <w:szCs w:val="21"/>
              </w:rPr>
              <w:t>+NOx排放量</w:t>
            </w:r>
          </w:p>
        </w:tc>
        <w:tc>
          <w:tcPr>
            <w:tcW w:w="1298" w:type="dxa"/>
            <w:gridSpan w:val="2"/>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≥2000t/a□</w:t>
            </w:r>
          </w:p>
        </w:tc>
        <w:tc>
          <w:tcPr>
            <w:tcW w:w="3876" w:type="dxa"/>
            <w:gridSpan w:val="10"/>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500～2000t/a□</w:t>
            </w:r>
          </w:p>
        </w:tc>
        <w:tc>
          <w:tcPr>
            <w:tcW w:w="1889"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&lt;500t/a</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评价因子</w:t>
            </w:r>
          </w:p>
        </w:tc>
        <w:tc>
          <w:tcPr>
            <w:tcW w:w="5174" w:type="dxa"/>
            <w:gridSpan w:val="12"/>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基本污染物（颗粒物）</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其他污染物（ ）</w:t>
            </w:r>
          </w:p>
        </w:tc>
        <w:tc>
          <w:tcPr>
            <w:tcW w:w="1889"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包括二次PM</w:t>
            </w:r>
            <w:r>
              <w:rPr>
                <w:rFonts w:hint="default" w:ascii="Times New Roman Regular" w:hAnsi="Times New Roman Regular" w:cs="Times New Roman Regular"/>
                <w:color w:val="auto"/>
                <w:sz w:val="21"/>
                <w:szCs w:val="21"/>
                <w:vertAlign w:val="subscript"/>
              </w:rPr>
              <w:t>2.5</w:t>
            </w:r>
            <w:r>
              <w:rPr>
                <w:rFonts w:hint="default" w:ascii="Times New Roman Regular" w:hAnsi="Times New Roman Regular" w:cs="Times New Roman Regular"/>
                <w:color w:val="auto"/>
                <w:sz w:val="21"/>
                <w:szCs w:val="21"/>
              </w:rPr>
              <w:t>□</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不包括二次PM</w:t>
            </w:r>
            <w:r>
              <w:rPr>
                <w:rFonts w:hint="default" w:ascii="Times New Roman Regular" w:hAnsi="Times New Roman Regular" w:cs="Times New Roman Regular"/>
                <w:color w:val="auto"/>
                <w:sz w:val="21"/>
                <w:szCs w:val="21"/>
                <w:vertAlign w:val="subscript"/>
              </w:rPr>
              <w:t>2.5</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标准</w:t>
            </w: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评价标准</w:t>
            </w:r>
          </w:p>
        </w:tc>
        <w:tc>
          <w:tcPr>
            <w:tcW w:w="2101" w:type="dxa"/>
            <w:gridSpan w:val="5"/>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国家标准</w:t>
            </w:r>
            <w:r>
              <w:rPr>
                <w:rFonts w:hint="default" w:ascii="Times New Roman Regular" w:hAnsi="Times New Roman Regular" w:cs="Times New Roman Regular"/>
                <w:color w:val="auto"/>
                <w:kern w:val="0"/>
                <w:sz w:val="21"/>
                <w:szCs w:val="21"/>
              </w:rPr>
              <w:sym w:font="Wingdings 2" w:char="0052"/>
            </w:r>
          </w:p>
        </w:tc>
        <w:tc>
          <w:tcPr>
            <w:tcW w:w="1266" w:type="dxa"/>
            <w:gridSpan w:val="2"/>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地方标准</w:t>
            </w:r>
            <w:r>
              <w:rPr>
                <w:rFonts w:hint="default" w:ascii="Times New Roman Regular" w:hAnsi="Times New Roman Regular" w:cs="Times New Roman Regular"/>
                <w:color w:val="auto"/>
                <w:kern w:val="0"/>
                <w:sz w:val="21"/>
                <w:szCs w:val="21"/>
              </w:rPr>
              <w:sym w:font="Wingdings 2" w:char="0052"/>
            </w:r>
          </w:p>
        </w:tc>
        <w:tc>
          <w:tcPr>
            <w:tcW w:w="1807" w:type="dxa"/>
            <w:gridSpan w:val="5"/>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附录D</w:t>
            </w:r>
            <w:r>
              <w:rPr>
                <w:rFonts w:hint="default" w:ascii="Times New Roman Regular" w:hAnsi="Times New Roman Regular" w:cs="Times New Roman Regular"/>
                <w:color w:val="auto"/>
                <w:kern w:val="0"/>
                <w:sz w:val="21"/>
                <w:szCs w:val="21"/>
              </w:rPr>
              <w:sym w:font="Wingdings 2" w:char="0052"/>
            </w:r>
          </w:p>
        </w:tc>
        <w:tc>
          <w:tcPr>
            <w:tcW w:w="1889" w:type="dxa"/>
            <w:gridSpan w:val="4"/>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其他标准□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现状评价</w:t>
            </w: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环境功能区</w:t>
            </w:r>
          </w:p>
        </w:tc>
        <w:tc>
          <w:tcPr>
            <w:tcW w:w="2101" w:type="dxa"/>
            <w:gridSpan w:val="5"/>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一类区□</w:t>
            </w:r>
          </w:p>
        </w:tc>
        <w:tc>
          <w:tcPr>
            <w:tcW w:w="3073" w:type="dxa"/>
            <w:gridSpan w:val="7"/>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二类区</w:t>
            </w:r>
            <w:r>
              <w:rPr>
                <w:rFonts w:hint="default" w:ascii="Times New Roman Regular" w:hAnsi="Times New Roman Regular" w:cs="Times New Roman Regular"/>
                <w:color w:val="auto"/>
                <w:kern w:val="0"/>
                <w:sz w:val="21"/>
                <w:szCs w:val="21"/>
              </w:rPr>
              <w:sym w:font="Wingdings 2" w:char="0052"/>
            </w:r>
          </w:p>
        </w:tc>
        <w:tc>
          <w:tcPr>
            <w:tcW w:w="1889" w:type="dxa"/>
            <w:gridSpan w:val="4"/>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三类区□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评价基准年</w:t>
            </w:r>
          </w:p>
        </w:tc>
        <w:tc>
          <w:tcPr>
            <w:tcW w:w="7063" w:type="dxa"/>
            <w:gridSpan w:val="16"/>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（1）年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环境空气质量</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现状调查数据来源</w:t>
            </w:r>
          </w:p>
        </w:tc>
        <w:tc>
          <w:tcPr>
            <w:tcW w:w="2101" w:type="dxa"/>
            <w:gridSpan w:val="5"/>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长期例行监测数据□</w:t>
            </w:r>
          </w:p>
        </w:tc>
        <w:tc>
          <w:tcPr>
            <w:tcW w:w="3073" w:type="dxa"/>
            <w:gridSpan w:val="7"/>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主管部门发布的数据□</w:t>
            </w:r>
          </w:p>
        </w:tc>
        <w:tc>
          <w:tcPr>
            <w:tcW w:w="1889"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现状补充监测</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现状评价</w:t>
            </w:r>
          </w:p>
        </w:tc>
        <w:tc>
          <w:tcPr>
            <w:tcW w:w="3367" w:type="dxa"/>
            <w:gridSpan w:val="7"/>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达标区</w:t>
            </w:r>
            <w:r>
              <w:rPr>
                <w:rFonts w:hint="default" w:ascii="Times New Roman Regular" w:hAnsi="Times New Roman Regular" w:cs="Times New Roman Regular"/>
                <w:color w:val="auto"/>
                <w:kern w:val="0"/>
                <w:sz w:val="21"/>
                <w:szCs w:val="21"/>
              </w:rPr>
              <w:sym w:font="Wingdings 2" w:char="0052"/>
            </w:r>
          </w:p>
        </w:tc>
        <w:tc>
          <w:tcPr>
            <w:tcW w:w="3696" w:type="dxa"/>
            <w:gridSpan w:val="9"/>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不达标区□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污染源</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调查</w:t>
            </w:r>
          </w:p>
        </w:tc>
        <w:tc>
          <w:tcPr>
            <w:tcW w:w="184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调查内容</w:t>
            </w:r>
          </w:p>
        </w:tc>
        <w:tc>
          <w:tcPr>
            <w:tcW w:w="2168" w:type="dxa"/>
            <w:gridSpan w:val="6"/>
          </w:tcPr>
          <w:p>
            <w:pPr>
              <w:spacing w:line="340" w:lineRule="exact"/>
              <w:jc w:val="center"/>
              <w:rPr>
                <w:rFonts w:hint="default" w:ascii="Times New Roman Regular" w:hAnsi="Times New Roman Regular" w:cs="Times New Roman Regular"/>
                <w:color w:val="auto"/>
                <w:sz w:val="36"/>
                <w:vertAlign w:val="subscript"/>
              </w:rPr>
            </w:pPr>
            <w:r>
              <w:rPr>
                <w:rFonts w:hint="default" w:ascii="Times New Roman Regular" w:hAnsi="Times New Roman Regular" w:cs="Times New Roman Regular"/>
                <w:color w:val="auto"/>
                <w:sz w:val="36"/>
                <w:vertAlign w:val="subscript"/>
              </w:rPr>
              <w:t>本项目正常排放源</w:t>
            </w:r>
            <w:r>
              <w:rPr>
                <w:rFonts w:hint="default" w:ascii="Times New Roman Regular" w:hAnsi="Times New Roman Regular" w:cs="Times New Roman Regular"/>
                <w:color w:val="auto"/>
                <w:kern w:val="0"/>
                <w:sz w:val="21"/>
                <w:szCs w:val="21"/>
              </w:rPr>
              <w:sym w:font="Wingdings 2" w:char="0052"/>
            </w:r>
          </w:p>
          <w:p>
            <w:pPr>
              <w:spacing w:line="340" w:lineRule="exact"/>
              <w:jc w:val="center"/>
              <w:rPr>
                <w:rFonts w:hint="default" w:ascii="Times New Roman Regular" w:hAnsi="Times New Roman Regular" w:cs="Times New Roman Regular"/>
                <w:color w:val="auto"/>
                <w:sz w:val="36"/>
                <w:vertAlign w:val="subscript"/>
              </w:rPr>
            </w:pPr>
            <w:r>
              <w:rPr>
                <w:rFonts w:hint="default" w:ascii="Times New Roman Regular" w:hAnsi="Times New Roman Regular" w:cs="Times New Roman Regular"/>
                <w:color w:val="auto"/>
                <w:sz w:val="36"/>
                <w:vertAlign w:val="subscript"/>
              </w:rPr>
              <w:t>本项目非正常排放源</w:t>
            </w:r>
            <w:r>
              <w:rPr>
                <w:rFonts w:hint="default" w:ascii="Times New Roman Regular" w:hAnsi="Times New Roman Regular" w:cs="Times New Roman Regular"/>
                <w:color w:val="auto"/>
                <w:kern w:val="0"/>
                <w:sz w:val="21"/>
                <w:szCs w:val="21"/>
              </w:rPr>
              <w:sym w:font="Wingdings 2" w:char="0052"/>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36"/>
                <w:vertAlign w:val="subscript"/>
              </w:rPr>
              <w:t>现有污染源□</w:t>
            </w:r>
          </w:p>
        </w:tc>
        <w:tc>
          <w:tcPr>
            <w:tcW w:w="1308" w:type="dxa"/>
            <w:gridSpan w:val="2"/>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拟替代的污染源□</w:t>
            </w:r>
          </w:p>
        </w:tc>
        <w:tc>
          <w:tcPr>
            <w:tcW w:w="1906" w:type="dxa"/>
            <w:gridSpan w:val="5"/>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其他在建、拟建项目污染源□</w:t>
            </w:r>
          </w:p>
        </w:tc>
        <w:tc>
          <w:tcPr>
            <w:tcW w:w="1681" w:type="dxa"/>
            <w:gridSpan w:val="3"/>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区域污染源□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大气环境影响预测与评价</w:t>
            </w: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预测模型</w:t>
            </w:r>
          </w:p>
        </w:tc>
        <w:tc>
          <w:tcPr>
            <w:tcW w:w="997" w:type="dxa"/>
          </w:tcPr>
          <w:p>
            <w:pPr>
              <w:spacing w:line="340" w:lineRule="exact"/>
              <w:jc w:val="center"/>
              <w:rPr>
                <w:rFonts w:hint="default" w:ascii="Times New Roman Regular" w:hAnsi="Times New Roman Regular" w:cs="Times New Roman Regular"/>
                <w:color w:val="auto"/>
                <w:sz w:val="18"/>
                <w:szCs w:val="21"/>
              </w:rPr>
            </w:pPr>
            <w:r>
              <w:rPr>
                <w:rFonts w:hint="default" w:ascii="Times New Roman Regular" w:hAnsi="Times New Roman Regular" w:cs="Times New Roman Regular"/>
                <w:color w:val="auto"/>
                <w:sz w:val="18"/>
                <w:szCs w:val="21"/>
              </w:rPr>
              <w:t>AERMOD</w:t>
            </w:r>
            <w:r>
              <w:rPr>
                <w:rFonts w:hint="default" w:ascii="Times New Roman Regular" w:hAnsi="Times New Roman Regular" w:cs="Times New Roman Regular"/>
                <w:color w:val="auto"/>
                <w:sz w:val="21"/>
                <w:szCs w:val="21"/>
              </w:rPr>
              <w:t>□</w:t>
            </w:r>
          </w:p>
        </w:tc>
        <w:tc>
          <w:tcPr>
            <w:tcW w:w="848" w:type="dxa"/>
            <w:gridSpan w:val="2"/>
          </w:tcPr>
          <w:p>
            <w:pPr>
              <w:spacing w:line="340" w:lineRule="exact"/>
              <w:jc w:val="center"/>
              <w:rPr>
                <w:rFonts w:hint="default" w:ascii="Times New Roman Regular" w:hAnsi="Times New Roman Regular" w:cs="Times New Roman Regular"/>
                <w:color w:val="auto"/>
                <w:sz w:val="18"/>
                <w:szCs w:val="21"/>
              </w:rPr>
            </w:pPr>
            <w:r>
              <w:rPr>
                <w:rFonts w:hint="default" w:ascii="Times New Roman Regular" w:hAnsi="Times New Roman Regular" w:cs="Times New Roman Regular"/>
                <w:color w:val="auto"/>
                <w:sz w:val="18"/>
                <w:szCs w:val="21"/>
              </w:rPr>
              <w:t>ADMS</w:t>
            </w:r>
            <w:r>
              <w:rPr>
                <w:rFonts w:hint="default" w:ascii="Times New Roman Regular" w:hAnsi="Times New Roman Regular" w:cs="Times New Roman Regular"/>
                <w:color w:val="auto"/>
                <w:sz w:val="21"/>
                <w:szCs w:val="21"/>
              </w:rPr>
              <w:t>□</w:t>
            </w:r>
          </w:p>
        </w:tc>
        <w:tc>
          <w:tcPr>
            <w:tcW w:w="1522" w:type="dxa"/>
            <w:gridSpan w:val="4"/>
          </w:tcPr>
          <w:p>
            <w:pPr>
              <w:spacing w:line="340" w:lineRule="exact"/>
              <w:jc w:val="center"/>
              <w:rPr>
                <w:rFonts w:hint="default" w:ascii="Times New Roman Regular" w:hAnsi="Times New Roman Regular" w:cs="Times New Roman Regular"/>
                <w:color w:val="auto"/>
                <w:sz w:val="18"/>
                <w:szCs w:val="21"/>
              </w:rPr>
            </w:pPr>
            <w:r>
              <w:rPr>
                <w:rFonts w:hint="default" w:ascii="Times New Roman Regular" w:hAnsi="Times New Roman Regular" w:cs="Times New Roman Regular"/>
                <w:color w:val="auto"/>
                <w:sz w:val="18"/>
                <w:szCs w:val="21"/>
              </w:rPr>
              <w:t>AUSTAL2000</w:t>
            </w:r>
            <w:r>
              <w:rPr>
                <w:rFonts w:hint="default" w:ascii="Times New Roman Regular" w:hAnsi="Times New Roman Regular" w:cs="Times New Roman Regular"/>
                <w:color w:val="auto"/>
                <w:sz w:val="21"/>
                <w:szCs w:val="21"/>
              </w:rPr>
              <w:t>□</w:t>
            </w:r>
          </w:p>
        </w:tc>
        <w:tc>
          <w:tcPr>
            <w:tcW w:w="1008" w:type="dxa"/>
            <w:gridSpan w:val="3"/>
          </w:tcPr>
          <w:p>
            <w:pPr>
              <w:spacing w:line="340" w:lineRule="exact"/>
              <w:jc w:val="center"/>
              <w:rPr>
                <w:rFonts w:hint="default" w:ascii="Times New Roman Regular" w:hAnsi="Times New Roman Regular" w:cs="Times New Roman Regular"/>
                <w:color w:val="auto"/>
                <w:sz w:val="18"/>
                <w:szCs w:val="21"/>
              </w:rPr>
            </w:pPr>
            <w:r>
              <w:rPr>
                <w:rFonts w:hint="default" w:ascii="Times New Roman Regular" w:hAnsi="Times New Roman Regular" w:cs="Times New Roman Regular"/>
                <w:color w:val="auto"/>
                <w:sz w:val="18"/>
                <w:szCs w:val="21"/>
              </w:rPr>
              <w:t>EDMS/AEDT</w:t>
            </w:r>
            <w:r>
              <w:rPr>
                <w:rFonts w:hint="default" w:ascii="Times New Roman Regular" w:hAnsi="Times New Roman Regular" w:cs="Times New Roman Regular"/>
                <w:color w:val="auto"/>
                <w:sz w:val="21"/>
                <w:szCs w:val="21"/>
              </w:rPr>
              <w:t>□</w:t>
            </w:r>
          </w:p>
        </w:tc>
        <w:tc>
          <w:tcPr>
            <w:tcW w:w="1007" w:type="dxa"/>
            <w:gridSpan w:val="3"/>
          </w:tcPr>
          <w:p>
            <w:pPr>
              <w:spacing w:line="340" w:lineRule="exact"/>
              <w:jc w:val="center"/>
              <w:rPr>
                <w:rFonts w:hint="default" w:ascii="Times New Roman Regular" w:hAnsi="Times New Roman Regular" w:cs="Times New Roman Regular"/>
                <w:color w:val="auto"/>
                <w:sz w:val="18"/>
                <w:szCs w:val="21"/>
              </w:rPr>
            </w:pPr>
            <w:r>
              <w:rPr>
                <w:rFonts w:hint="default" w:ascii="Times New Roman Regular" w:hAnsi="Times New Roman Regular" w:cs="Times New Roman Regular"/>
                <w:color w:val="auto"/>
                <w:sz w:val="18"/>
                <w:szCs w:val="21"/>
              </w:rPr>
              <w:t>CALPUFF</w:t>
            </w:r>
            <w:r>
              <w:rPr>
                <w:rFonts w:hint="default" w:ascii="Times New Roman Regular" w:hAnsi="Times New Roman Regular" w:cs="Times New Roman Regular"/>
                <w:color w:val="auto"/>
                <w:sz w:val="21"/>
                <w:szCs w:val="21"/>
              </w:rPr>
              <w:t>□</w:t>
            </w:r>
          </w:p>
        </w:tc>
        <w:tc>
          <w:tcPr>
            <w:tcW w:w="978" w:type="dxa"/>
            <w:gridSpan w:val="2"/>
          </w:tcPr>
          <w:p>
            <w:pPr>
              <w:spacing w:line="340" w:lineRule="exact"/>
              <w:jc w:val="center"/>
              <w:rPr>
                <w:rFonts w:hint="default" w:ascii="Times New Roman Regular" w:hAnsi="Times New Roman Regular" w:cs="Times New Roman Regular"/>
                <w:color w:val="auto"/>
                <w:sz w:val="18"/>
                <w:szCs w:val="21"/>
              </w:rPr>
            </w:pPr>
            <w:r>
              <w:rPr>
                <w:rFonts w:hint="default" w:ascii="Times New Roman Regular" w:hAnsi="Times New Roman Regular" w:cs="Times New Roman Regular"/>
                <w:color w:val="auto"/>
                <w:sz w:val="18"/>
                <w:szCs w:val="21"/>
              </w:rPr>
              <w:t>网格模型</w:t>
            </w:r>
            <w:r>
              <w:rPr>
                <w:rFonts w:hint="default" w:ascii="Times New Roman Regular" w:hAnsi="Times New Roman Regular" w:cs="Times New Roman Regular"/>
                <w:color w:val="auto"/>
                <w:sz w:val="21"/>
                <w:szCs w:val="21"/>
              </w:rPr>
              <w:t>□</w:t>
            </w:r>
          </w:p>
        </w:tc>
        <w:tc>
          <w:tcPr>
            <w:tcW w:w="703" w:type="dxa"/>
          </w:tcPr>
          <w:p>
            <w:pPr>
              <w:spacing w:line="340" w:lineRule="exact"/>
              <w:jc w:val="center"/>
              <w:rPr>
                <w:rFonts w:hint="default" w:ascii="Times New Roman Regular" w:hAnsi="Times New Roman Regular" w:cs="Times New Roman Regular"/>
                <w:color w:val="auto"/>
                <w:sz w:val="18"/>
                <w:szCs w:val="21"/>
              </w:rPr>
            </w:pPr>
            <w:r>
              <w:rPr>
                <w:rFonts w:hint="default" w:ascii="Times New Roman Regular" w:hAnsi="Times New Roman Regular" w:cs="Times New Roman Regular"/>
                <w:color w:val="auto"/>
                <w:sz w:val="18"/>
                <w:szCs w:val="21"/>
              </w:rPr>
              <w:t>其他</w:t>
            </w:r>
          </w:p>
          <w:p>
            <w:pPr>
              <w:spacing w:line="340" w:lineRule="exact"/>
              <w:jc w:val="center"/>
              <w:rPr>
                <w:rFonts w:hint="default" w:ascii="Times New Roman Regular" w:hAnsi="Times New Roman Regular" w:cs="Times New Roman Regular"/>
                <w:color w:val="auto"/>
                <w:sz w:val="18"/>
                <w:szCs w:val="21"/>
              </w:rPr>
            </w:pP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预测范围</w:t>
            </w:r>
          </w:p>
        </w:tc>
        <w:tc>
          <w:tcPr>
            <w:tcW w:w="1845" w:type="dxa"/>
            <w:gridSpan w:val="3"/>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边长≥50km</w:t>
            </w:r>
          </w:p>
        </w:tc>
        <w:tc>
          <w:tcPr>
            <w:tcW w:w="3537" w:type="dxa"/>
            <w:gridSpan w:val="10"/>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边长5～50km</w:t>
            </w:r>
          </w:p>
        </w:tc>
        <w:tc>
          <w:tcPr>
            <w:tcW w:w="1681" w:type="dxa"/>
            <w:gridSpan w:val="3"/>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边长=5km</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预测因子</w:t>
            </w:r>
          </w:p>
        </w:tc>
        <w:tc>
          <w:tcPr>
            <w:tcW w:w="3879" w:type="dxa"/>
            <w:gridSpan w:val="9"/>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预测因子（颗粒物）</w:t>
            </w:r>
          </w:p>
        </w:tc>
        <w:tc>
          <w:tcPr>
            <w:tcW w:w="3184" w:type="dxa"/>
            <w:gridSpan w:val="7"/>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包括二次PM</w:t>
            </w:r>
            <w:r>
              <w:rPr>
                <w:rFonts w:hint="default" w:ascii="Times New Roman Regular" w:hAnsi="Times New Roman Regular" w:cs="Times New Roman Regular"/>
                <w:color w:val="auto"/>
                <w:sz w:val="21"/>
                <w:szCs w:val="21"/>
                <w:vertAlign w:val="subscript"/>
              </w:rPr>
              <w:t>2.5</w:t>
            </w:r>
            <w:r>
              <w:rPr>
                <w:rFonts w:hint="default" w:ascii="Times New Roman Regular" w:hAnsi="Times New Roman Regular" w:cs="Times New Roman Regular"/>
                <w:color w:val="auto"/>
                <w:sz w:val="21"/>
                <w:szCs w:val="21"/>
              </w:rPr>
              <w:t>□</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不包括二次PM</w:t>
            </w:r>
            <w:r>
              <w:rPr>
                <w:rFonts w:hint="default" w:ascii="Times New Roman Regular" w:hAnsi="Times New Roman Regular" w:cs="Times New Roman Regular"/>
                <w:color w:val="auto"/>
                <w:sz w:val="21"/>
                <w:szCs w:val="21"/>
                <w:vertAlign w:val="subscript"/>
              </w:rPr>
              <w:t>2.5</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正常排放短期浓度贡献值</w:t>
            </w:r>
          </w:p>
        </w:tc>
        <w:tc>
          <w:tcPr>
            <w:tcW w:w="3879" w:type="dxa"/>
            <w:gridSpan w:val="9"/>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C</w:t>
            </w:r>
            <w:r>
              <w:rPr>
                <w:rFonts w:hint="default" w:ascii="Times New Roman Regular" w:hAnsi="Times New Roman Regular" w:cs="Times New Roman Regular"/>
                <w:color w:val="auto"/>
                <w:sz w:val="21"/>
                <w:szCs w:val="21"/>
                <w:vertAlign w:val="subscript"/>
              </w:rPr>
              <w:t>本项目</w:t>
            </w:r>
            <w:r>
              <w:rPr>
                <w:rFonts w:hint="default" w:ascii="Times New Roman Regular" w:hAnsi="Times New Roman Regular" w:cs="Times New Roman Regular"/>
                <w:color w:val="auto"/>
                <w:sz w:val="21"/>
                <w:szCs w:val="21"/>
              </w:rPr>
              <w:t>最大占标率≤100%</w:t>
            </w:r>
            <w:r>
              <w:rPr>
                <w:rFonts w:hint="default" w:ascii="Times New Roman Regular" w:hAnsi="Times New Roman Regular" w:cs="Times New Roman Regular"/>
                <w:color w:val="auto"/>
                <w:kern w:val="0"/>
                <w:sz w:val="21"/>
                <w:szCs w:val="21"/>
              </w:rPr>
              <w:sym w:font="Wingdings 2" w:char="0052"/>
            </w:r>
          </w:p>
        </w:tc>
        <w:tc>
          <w:tcPr>
            <w:tcW w:w="3184" w:type="dxa"/>
            <w:gridSpan w:val="7"/>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C</w:t>
            </w:r>
            <w:r>
              <w:rPr>
                <w:rFonts w:hint="default" w:ascii="Times New Roman Regular" w:hAnsi="Times New Roman Regular" w:cs="Times New Roman Regular"/>
                <w:color w:val="auto"/>
                <w:sz w:val="21"/>
                <w:szCs w:val="21"/>
                <w:vertAlign w:val="subscript"/>
              </w:rPr>
              <w:t>本项目</w:t>
            </w:r>
            <w:r>
              <w:rPr>
                <w:rFonts w:hint="default" w:ascii="Times New Roman Regular" w:hAnsi="Times New Roman Regular" w:cs="Times New Roman Regular"/>
                <w:color w:val="auto"/>
                <w:sz w:val="21"/>
                <w:szCs w:val="21"/>
              </w:rPr>
              <w:t>最大占标率&gt;100%□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正常排放年均浓度贡献值</w:t>
            </w:r>
          </w:p>
        </w:tc>
        <w:tc>
          <w:tcPr>
            <w:tcW w:w="997"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一类区</w:t>
            </w:r>
          </w:p>
        </w:tc>
        <w:tc>
          <w:tcPr>
            <w:tcW w:w="2882" w:type="dxa"/>
            <w:gridSpan w:val="8"/>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C</w:t>
            </w:r>
            <w:r>
              <w:rPr>
                <w:rFonts w:hint="default" w:ascii="Times New Roman Regular" w:hAnsi="Times New Roman Regular" w:cs="Times New Roman Regular"/>
                <w:color w:val="auto"/>
                <w:sz w:val="21"/>
                <w:szCs w:val="21"/>
                <w:vertAlign w:val="subscript"/>
              </w:rPr>
              <w:t>本项目</w:t>
            </w:r>
            <w:r>
              <w:rPr>
                <w:rFonts w:hint="default" w:ascii="Times New Roman Regular" w:hAnsi="Times New Roman Regular" w:cs="Times New Roman Regular"/>
                <w:color w:val="auto"/>
                <w:sz w:val="21"/>
                <w:szCs w:val="21"/>
              </w:rPr>
              <w:t>最大占标率≤10%□</w:t>
            </w:r>
          </w:p>
        </w:tc>
        <w:tc>
          <w:tcPr>
            <w:tcW w:w="3184" w:type="dxa"/>
            <w:gridSpan w:val="7"/>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C</w:t>
            </w:r>
            <w:r>
              <w:rPr>
                <w:rFonts w:hint="default" w:ascii="Times New Roman Regular" w:hAnsi="Times New Roman Regular" w:cs="Times New Roman Regular"/>
                <w:color w:val="auto"/>
                <w:sz w:val="21"/>
                <w:szCs w:val="21"/>
                <w:vertAlign w:val="subscript"/>
              </w:rPr>
              <w:t>本项目</w:t>
            </w:r>
            <w:r>
              <w:rPr>
                <w:rFonts w:hint="default" w:ascii="Times New Roman Regular" w:hAnsi="Times New Roman Regular" w:cs="Times New Roman Regular"/>
                <w:color w:val="auto"/>
                <w:sz w:val="21"/>
                <w:szCs w:val="21"/>
              </w:rPr>
              <w:t>最大占标率&gt;10%□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997"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二类区</w:t>
            </w:r>
          </w:p>
        </w:tc>
        <w:tc>
          <w:tcPr>
            <w:tcW w:w="2882" w:type="dxa"/>
            <w:gridSpan w:val="8"/>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C</w:t>
            </w:r>
            <w:r>
              <w:rPr>
                <w:rFonts w:hint="default" w:ascii="Times New Roman Regular" w:hAnsi="Times New Roman Regular" w:cs="Times New Roman Regular"/>
                <w:color w:val="auto"/>
                <w:sz w:val="21"/>
                <w:szCs w:val="21"/>
                <w:vertAlign w:val="subscript"/>
              </w:rPr>
              <w:t>本项目</w:t>
            </w:r>
            <w:r>
              <w:rPr>
                <w:rFonts w:hint="default" w:ascii="Times New Roman Regular" w:hAnsi="Times New Roman Regular" w:cs="Times New Roman Regular"/>
                <w:color w:val="auto"/>
                <w:sz w:val="21"/>
                <w:szCs w:val="21"/>
              </w:rPr>
              <w:t>最大占标率≤30%</w:t>
            </w:r>
            <w:r>
              <w:rPr>
                <w:rFonts w:hint="default" w:ascii="Times New Roman Regular" w:hAnsi="Times New Roman Regular" w:cs="Times New Roman Regular"/>
                <w:color w:val="auto"/>
                <w:kern w:val="0"/>
                <w:sz w:val="21"/>
                <w:szCs w:val="21"/>
              </w:rPr>
              <w:sym w:font="Wingdings 2" w:char="0052"/>
            </w:r>
          </w:p>
        </w:tc>
        <w:tc>
          <w:tcPr>
            <w:tcW w:w="3184" w:type="dxa"/>
            <w:gridSpan w:val="7"/>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C</w:t>
            </w:r>
            <w:r>
              <w:rPr>
                <w:rFonts w:hint="default" w:ascii="Times New Roman Regular" w:hAnsi="Times New Roman Regular" w:cs="Times New Roman Regular"/>
                <w:color w:val="auto"/>
                <w:sz w:val="21"/>
                <w:szCs w:val="21"/>
                <w:vertAlign w:val="subscript"/>
              </w:rPr>
              <w:t>本项目</w:t>
            </w:r>
            <w:r>
              <w:rPr>
                <w:rFonts w:hint="default" w:ascii="Times New Roman Regular" w:hAnsi="Times New Roman Regular" w:cs="Times New Roman Regular"/>
                <w:color w:val="auto"/>
                <w:sz w:val="21"/>
                <w:szCs w:val="21"/>
              </w:rPr>
              <w:t>最大占标率&gt;30%□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非正常排放1h浓度共限值</w:t>
            </w:r>
          </w:p>
        </w:tc>
        <w:tc>
          <w:tcPr>
            <w:tcW w:w="1947"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非正常持续时长（1）h</w:t>
            </w:r>
          </w:p>
        </w:tc>
        <w:tc>
          <w:tcPr>
            <w:tcW w:w="3227" w:type="dxa"/>
            <w:gridSpan w:val="8"/>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C</w:t>
            </w:r>
            <w:r>
              <w:rPr>
                <w:rFonts w:hint="default" w:ascii="Times New Roman Regular" w:hAnsi="Times New Roman Regular" w:cs="Times New Roman Regular"/>
                <w:color w:val="auto"/>
                <w:sz w:val="21"/>
                <w:szCs w:val="21"/>
                <w:vertAlign w:val="subscript"/>
              </w:rPr>
              <w:t>非正常</w:t>
            </w:r>
            <w:r>
              <w:rPr>
                <w:rFonts w:hint="default" w:ascii="Times New Roman Regular" w:hAnsi="Times New Roman Regular" w:cs="Times New Roman Regular"/>
                <w:color w:val="auto"/>
                <w:sz w:val="21"/>
                <w:szCs w:val="21"/>
              </w:rPr>
              <w:t>占标率≤100%</w:t>
            </w:r>
            <w:r>
              <w:rPr>
                <w:rFonts w:hint="default" w:ascii="Times New Roman Regular" w:hAnsi="Times New Roman Regular" w:cs="Times New Roman Regular"/>
                <w:color w:val="auto"/>
                <w:kern w:val="0"/>
                <w:sz w:val="21"/>
                <w:szCs w:val="21"/>
              </w:rPr>
              <w:sym w:font="Wingdings 2" w:char="0052"/>
            </w:r>
          </w:p>
        </w:tc>
        <w:tc>
          <w:tcPr>
            <w:tcW w:w="1889" w:type="dxa"/>
            <w:gridSpan w:val="4"/>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C</w:t>
            </w:r>
            <w:r>
              <w:rPr>
                <w:rFonts w:hint="default" w:ascii="Times New Roman Regular" w:hAnsi="Times New Roman Regular" w:cs="Times New Roman Regular"/>
                <w:color w:val="auto"/>
                <w:sz w:val="21"/>
                <w:szCs w:val="21"/>
                <w:vertAlign w:val="subscript"/>
              </w:rPr>
              <w:t>非正常</w:t>
            </w:r>
            <w:r>
              <w:rPr>
                <w:rFonts w:hint="default" w:ascii="Times New Roman Regular" w:hAnsi="Times New Roman Regular" w:cs="Times New Roman Regular"/>
                <w:color w:val="auto"/>
                <w:sz w:val="21"/>
                <w:szCs w:val="21"/>
              </w:rPr>
              <w:t>占标率&gt;100%□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16"/>
                <w:szCs w:val="21"/>
              </w:rPr>
              <w:t>保证率日平均浓度和年平均浓度叠加值</w:t>
            </w:r>
          </w:p>
        </w:tc>
        <w:tc>
          <w:tcPr>
            <w:tcW w:w="3367" w:type="dxa"/>
            <w:gridSpan w:val="7"/>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C</w:t>
            </w:r>
            <w:r>
              <w:rPr>
                <w:rFonts w:hint="default" w:ascii="Times New Roman Regular" w:hAnsi="Times New Roman Regular" w:cs="Times New Roman Regular"/>
                <w:color w:val="auto"/>
                <w:sz w:val="21"/>
                <w:szCs w:val="21"/>
                <w:vertAlign w:val="subscript"/>
              </w:rPr>
              <w:t>叠加</w:t>
            </w:r>
            <w:r>
              <w:rPr>
                <w:rFonts w:hint="default" w:ascii="Times New Roman Regular" w:hAnsi="Times New Roman Regular" w:cs="Times New Roman Regular"/>
                <w:color w:val="auto"/>
                <w:sz w:val="21"/>
                <w:szCs w:val="21"/>
              </w:rPr>
              <w:t>达标</w:t>
            </w:r>
            <w:r>
              <w:rPr>
                <w:rFonts w:hint="default" w:ascii="Times New Roman Regular" w:hAnsi="Times New Roman Regular" w:cs="Times New Roman Regular"/>
                <w:color w:val="auto"/>
                <w:kern w:val="0"/>
                <w:sz w:val="21"/>
                <w:szCs w:val="21"/>
              </w:rPr>
              <w:sym w:font="Wingdings 2" w:char="0052"/>
            </w:r>
          </w:p>
        </w:tc>
        <w:tc>
          <w:tcPr>
            <w:tcW w:w="3696" w:type="dxa"/>
            <w:gridSpan w:val="9"/>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C</w:t>
            </w:r>
            <w:r>
              <w:rPr>
                <w:rFonts w:hint="default" w:ascii="Times New Roman Regular" w:hAnsi="Times New Roman Regular" w:cs="Times New Roman Regular"/>
                <w:color w:val="auto"/>
                <w:sz w:val="21"/>
                <w:szCs w:val="21"/>
                <w:vertAlign w:val="subscript"/>
              </w:rPr>
              <w:t>叠加</w:t>
            </w:r>
            <w:r>
              <w:rPr>
                <w:rFonts w:hint="default" w:ascii="Times New Roman Regular" w:hAnsi="Times New Roman Regular" w:cs="Times New Roman Regular"/>
                <w:color w:val="auto"/>
                <w:sz w:val="21"/>
                <w:szCs w:val="21"/>
              </w:rPr>
              <w:t>不达标□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区域环境质量的整体变化情况</w:t>
            </w:r>
          </w:p>
        </w:tc>
        <w:tc>
          <w:tcPr>
            <w:tcW w:w="3367" w:type="dxa"/>
            <w:gridSpan w:val="7"/>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i/>
                <w:color w:val="auto"/>
                <w:sz w:val="21"/>
                <w:szCs w:val="21"/>
              </w:rPr>
              <w:t>k</w:t>
            </w:r>
            <w:r>
              <w:rPr>
                <w:rFonts w:hint="default" w:ascii="Times New Roman Regular" w:hAnsi="Times New Roman Regular" w:cs="Times New Roman Regular"/>
                <w:color w:val="auto"/>
                <w:sz w:val="21"/>
                <w:szCs w:val="21"/>
              </w:rPr>
              <w:t>≤-20%</w:t>
            </w:r>
            <w:r>
              <w:rPr>
                <w:rFonts w:hint="default" w:ascii="Times New Roman Regular" w:hAnsi="Times New Roman Regular" w:cs="Times New Roman Regular"/>
                <w:color w:val="auto"/>
                <w:kern w:val="0"/>
                <w:sz w:val="21"/>
                <w:szCs w:val="21"/>
              </w:rPr>
              <w:sym w:font="Wingdings 2" w:char="0052"/>
            </w:r>
          </w:p>
        </w:tc>
        <w:tc>
          <w:tcPr>
            <w:tcW w:w="3696" w:type="dxa"/>
            <w:gridSpan w:val="9"/>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i/>
                <w:color w:val="auto"/>
                <w:sz w:val="21"/>
                <w:szCs w:val="21"/>
              </w:rPr>
              <w:t>k</w:t>
            </w:r>
            <w:r>
              <w:rPr>
                <w:rFonts w:hint="default" w:ascii="Times New Roman Regular" w:hAnsi="Times New Roman Regular" w:cs="Times New Roman Regular"/>
                <w:color w:val="auto"/>
                <w:sz w:val="21"/>
                <w:szCs w:val="21"/>
              </w:rPr>
              <w:t>&gt;-20%</w:t>
            </w:r>
            <w:r>
              <w:rPr>
                <w:rFonts w:hint="default" w:ascii="Times New Roman Regular" w:hAnsi="Times New Roman Regular" w:cs="Times New Roman Regular"/>
                <w:color w:val="auto"/>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1008"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环境监测计划</w:t>
            </w:r>
          </w:p>
        </w:tc>
        <w:tc>
          <w:tcPr>
            <w:tcW w:w="184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污染源监测</w:t>
            </w:r>
          </w:p>
        </w:tc>
        <w:tc>
          <w:tcPr>
            <w:tcW w:w="3367" w:type="dxa"/>
            <w:gridSpan w:val="7"/>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监测因子：（颗粒物）</w:t>
            </w:r>
          </w:p>
        </w:tc>
        <w:tc>
          <w:tcPr>
            <w:tcW w:w="2338" w:type="dxa"/>
            <w:gridSpan w:val="7"/>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有组织废气监测□</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无组织废气监测</w:t>
            </w:r>
            <w:r>
              <w:rPr>
                <w:rFonts w:hint="default" w:ascii="Times New Roman Regular" w:hAnsi="Times New Roman Regular" w:cs="Times New Roman Regular"/>
                <w:color w:val="auto"/>
                <w:kern w:val="0"/>
                <w:sz w:val="21"/>
                <w:szCs w:val="21"/>
              </w:rPr>
              <w:sym w:font="Wingdings 2" w:char="0052"/>
            </w:r>
          </w:p>
        </w:tc>
        <w:tc>
          <w:tcPr>
            <w:tcW w:w="1358" w:type="dxa"/>
            <w:gridSpan w:val="2"/>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无监测□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环境质量监测</w:t>
            </w:r>
          </w:p>
        </w:tc>
        <w:tc>
          <w:tcPr>
            <w:tcW w:w="3367" w:type="dxa"/>
            <w:gridSpan w:val="7"/>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监测因子：（颗粒物）</w:t>
            </w:r>
          </w:p>
        </w:tc>
        <w:tc>
          <w:tcPr>
            <w:tcW w:w="2338" w:type="dxa"/>
            <w:gridSpan w:val="7"/>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监测点位数</w:t>
            </w:r>
            <w:r>
              <w:rPr>
                <w:rFonts w:hint="default" w:ascii="Times New Roman Regular" w:hAnsi="Times New Roman Regular" w:cs="Times New Roman Regular"/>
                <w:color w:val="auto"/>
                <w:kern w:val="0"/>
                <w:sz w:val="21"/>
                <w:szCs w:val="21"/>
              </w:rPr>
              <w:sym w:font="Wingdings 2" w:char="00A3"/>
            </w:r>
          </w:p>
        </w:tc>
        <w:tc>
          <w:tcPr>
            <w:tcW w:w="1358" w:type="dxa"/>
            <w:gridSpan w:val="2"/>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无监测</w:t>
            </w:r>
            <w:r>
              <w:rPr>
                <w:rFonts w:hint="default" w:ascii="Times New Roman Regular" w:hAnsi="Times New Roman Regular" w:cs="Times New Roman Regular"/>
                <w:color w:val="auto"/>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1008" w:type="dxa"/>
            <w:vMerge w:val="restart"/>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评价结论</w:t>
            </w: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环境影响</w:t>
            </w:r>
          </w:p>
        </w:tc>
        <w:tc>
          <w:tcPr>
            <w:tcW w:w="7063" w:type="dxa"/>
            <w:gridSpan w:val="16"/>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可以接受</w:t>
            </w:r>
            <w:r>
              <w:rPr>
                <w:rFonts w:hint="default" w:ascii="Times New Roman Regular" w:hAnsi="Times New Roman Regular" w:cs="Times New Roman Regular"/>
                <w:color w:val="auto"/>
                <w:kern w:val="0"/>
                <w:sz w:val="21"/>
                <w:szCs w:val="21"/>
              </w:rPr>
              <w:sym w:font="Wingdings 2" w:char="0052"/>
            </w:r>
            <w:r>
              <w:rPr>
                <w:rFonts w:hint="default" w:ascii="Times New Roman Regular" w:hAnsi="Times New Roman Regular" w:cs="Times New Roman Regular"/>
                <w:color w:val="auto"/>
                <w:sz w:val="21"/>
                <w:szCs w:val="21"/>
              </w:rPr>
              <w:t xml:space="preserve">           不可以接受□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大气环境防护距离</w:t>
            </w:r>
          </w:p>
        </w:tc>
        <w:tc>
          <w:tcPr>
            <w:tcW w:w="7063" w:type="dxa"/>
            <w:gridSpan w:val="16"/>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距（  ）厂界最远（50）m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1008" w:type="dxa"/>
            <w:vMerge w:val="continue"/>
          </w:tcPr>
          <w:p>
            <w:pPr>
              <w:spacing w:line="340" w:lineRule="exact"/>
              <w:jc w:val="center"/>
              <w:rPr>
                <w:rFonts w:hint="default" w:ascii="Times New Roman Regular" w:hAnsi="Times New Roman Regular" w:cs="Times New Roman Regular"/>
                <w:color w:val="auto"/>
                <w:sz w:val="21"/>
                <w:szCs w:val="21"/>
              </w:rPr>
            </w:pPr>
          </w:p>
        </w:tc>
        <w:tc>
          <w:tcPr>
            <w:tcW w:w="1840" w:type="dxa"/>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污染源年排放量</w:t>
            </w:r>
          </w:p>
        </w:tc>
        <w:tc>
          <w:tcPr>
            <w:tcW w:w="2101" w:type="dxa"/>
            <w:gridSpan w:val="5"/>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SO</w:t>
            </w:r>
            <w:r>
              <w:rPr>
                <w:rFonts w:hint="default" w:ascii="Times New Roman Regular" w:hAnsi="Times New Roman Regular" w:cs="Times New Roman Regular"/>
                <w:color w:val="auto"/>
                <w:sz w:val="21"/>
                <w:szCs w:val="21"/>
                <w:vertAlign w:val="subscript"/>
              </w:rPr>
              <w:t>2</w:t>
            </w:r>
            <w:r>
              <w:rPr>
                <w:rFonts w:hint="default" w:ascii="Times New Roman Regular" w:hAnsi="Times New Roman Regular" w:cs="Times New Roman Regular"/>
                <w:color w:val="auto"/>
                <w:sz w:val="21"/>
                <w:szCs w:val="21"/>
              </w:rPr>
              <w:t>（0）t/a</w:t>
            </w:r>
          </w:p>
        </w:tc>
        <w:tc>
          <w:tcPr>
            <w:tcW w:w="2661" w:type="dxa"/>
            <w:gridSpan w:val="6"/>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NO</w:t>
            </w:r>
            <w:r>
              <w:rPr>
                <w:rFonts w:hint="default" w:ascii="Times New Roman Regular" w:hAnsi="Times New Roman Regular" w:cs="Times New Roman Regular"/>
                <w:color w:val="auto"/>
                <w:sz w:val="21"/>
                <w:szCs w:val="21"/>
                <w:vertAlign w:val="subscript"/>
              </w:rPr>
              <w:t>x</w:t>
            </w:r>
            <w:r>
              <w:rPr>
                <w:rFonts w:hint="default" w:ascii="Times New Roman Regular" w:hAnsi="Times New Roman Regular" w:cs="Times New Roman Regular"/>
                <w:color w:val="auto"/>
                <w:sz w:val="21"/>
                <w:szCs w:val="21"/>
              </w:rPr>
              <w:t>（0）t/a</w:t>
            </w:r>
          </w:p>
        </w:tc>
        <w:tc>
          <w:tcPr>
            <w:tcW w:w="2301" w:type="dxa"/>
            <w:gridSpan w:val="5"/>
            <w:vAlign w:val="center"/>
          </w:tcPr>
          <w:p>
            <w:pPr>
              <w:spacing w:line="340" w:lineRule="exact"/>
              <w:jc w:val="both"/>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颗粒物（0</w:t>
            </w:r>
            <w:r>
              <w:rPr>
                <w:rFonts w:hint="default" w:ascii="Times New Roman Regular" w:hAnsi="Times New Roman Regular" w:cs="Times New Roman Regular"/>
                <w:color w:val="auto"/>
                <w:sz w:val="21"/>
                <w:szCs w:val="21"/>
                <w:lang w:val="en-US" w:eastAsia="zh-Hans"/>
              </w:rPr>
              <w:t>.</w:t>
            </w:r>
            <w:r>
              <w:rPr>
                <w:rFonts w:hint="default" w:ascii="Times New Roman Regular" w:hAnsi="Times New Roman Regular" w:cs="Times New Roman Regular"/>
                <w:color w:val="auto"/>
                <w:sz w:val="21"/>
                <w:szCs w:val="21"/>
                <w:lang w:eastAsia="zh-Hans"/>
              </w:rPr>
              <w:t>045</w:t>
            </w:r>
            <w:r>
              <w:rPr>
                <w:rFonts w:hint="default" w:ascii="Times New Roman Regular" w:hAnsi="Times New Roman Regular" w:cs="Times New Roman Regular"/>
                <w:color w:val="auto"/>
                <w:sz w:val="21"/>
                <w:szCs w:val="21"/>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9911" w:type="dxa"/>
            <w:gridSpan w:val="18"/>
          </w:tcPr>
          <w:p>
            <w:pPr>
              <w:spacing w:line="340" w:lineRule="exac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注：“□”为勾选项，可</w:t>
            </w:r>
            <w:r>
              <w:rPr>
                <w:rFonts w:hint="default" w:ascii="Times New Roman Regular" w:hAnsi="Times New Roman Regular" w:cs="Times New Roman Regular"/>
                <w:color w:val="auto"/>
                <w:sz w:val="21"/>
                <w:szCs w:val="21"/>
              </w:rPr>
              <w:sym w:font="Wingdings 2" w:char="0052"/>
            </w:r>
            <w:r>
              <w:rPr>
                <w:rFonts w:hint="default" w:ascii="Times New Roman Regular" w:hAnsi="Times New Roman Regular" w:cs="Times New Roman Regular"/>
                <w:color w:val="auto"/>
                <w:sz w:val="21"/>
                <w:szCs w:val="21"/>
              </w:rPr>
              <w:t>；“（       ）”为内容填写项</w:t>
            </w:r>
          </w:p>
        </w:tc>
      </w:tr>
    </w:tbl>
    <w:p>
      <w:pPr>
        <w:rPr>
          <w:rFonts w:hint="default" w:ascii="Times New Roman Regular" w:hAnsi="Times New Roman Regular" w:cs="Times New Roman Regular"/>
          <w:color w:val="FF0000"/>
        </w:rPr>
      </w:pPr>
    </w:p>
    <w:p>
      <w:pPr>
        <w:rPr>
          <w:rFonts w:hint="default" w:ascii="Times New Roman Regular" w:hAnsi="Times New Roman Regular" w:cs="Times New Roman Regular"/>
          <w:color w:val="FF0000"/>
        </w:rPr>
        <w:sectPr>
          <w:pgSz w:w="11906" w:h="16838"/>
          <w:pgMar w:top="787" w:right="1416" w:bottom="1417" w:left="1559" w:header="851" w:footer="1134" w:gutter="0"/>
          <w:pgBorders>
            <w:top w:val="none" w:sz="0" w:space="0"/>
            <w:left w:val="none" w:sz="0" w:space="0"/>
            <w:bottom w:val="none" w:sz="0" w:space="0"/>
            <w:right w:val="none" w:sz="0" w:space="0"/>
          </w:pgBorders>
          <w:pgNumType w:fmt="decimal"/>
          <w:cols w:space="720" w:num="1"/>
          <w:docGrid w:linePitch="381" w:charSpace="0"/>
        </w:sectPr>
      </w:pPr>
    </w:p>
    <w:p>
      <w:pPr>
        <w:pStyle w:val="110"/>
        <w:spacing w:before="163" w:beforeLines="50" w:after="163" w:afterLines="50" w:line="360" w:lineRule="auto"/>
        <w:ind w:firstLine="0"/>
        <w:outlineLvl w:val="0"/>
        <w:rPr>
          <w:rFonts w:hint="default" w:ascii="Times New Roman Regular" w:hAnsi="Times New Roman Regular" w:eastAsia="宋体" w:cs="Times New Roman Regular"/>
          <w:b/>
          <w:color w:val="auto"/>
          <w:szCs w:val="28"/>
        </w:rPr>
      </w:pPr>
      <w:bookmarkStart w:id="452" w:name="_Toc524034117_WPSOffice_Level1"/>
      <w:bookmarkStart w:id="453" w:name="_Toc1377910329"/>
      <w:bookmarkStart w:id="454" w:name="_Toc47618428"/>
      <w:r>
        <w:rPr>
          <w:rFonts w:hint="default" w:ascii="Times New Roman Regular" w:hAnsi="Times New Roman Regular" w:eastAsia="宋体" w:cs="Times New Roman Regular"/>
          <w:b/>
          <w:color w:val="auto"/>
          <w:szCs w:val="28"/>
        </w:rPr>
        <w:t>附表4  环境风险评价自查表</w:t>
      </w:r>
      <w:bookmarkEnd w:id="452"/>
      <w:bookmarkEnd w:id="453"/>
      <w:bookmarkEnd w:id="454"/>
    </w:p>
    <w:tbl>
      <w:tblPr>
        <w:tblStyle w:val="36"/>
        <w:tblW w:w="9041" w:type="dxa"/>
        <w:tblInd w:w="-14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9"/>
        <w:gridCol w:w="1490"/>
        <w:gridCol w:w="1244"/>
        <w:gridCol w:w="368"/>
        <w:gridCol w:w="1097"/>
        <w:gridCol w:w="503"/>
        <w:gridCol w:w="949"/>
        <w:gridCol w:w="706"/>
        <w:gridCol w:w="19"/>
        <w:gridCol w:w="812"/>
        <w:gridCol w:w="1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gridSpan w:val="2"/>
            <w:tcBorders>
              <w:top w:val="single" w:color="auto" w:sz="12" w:space="0"/>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工作内容</w:t>
            </w:r>
          </w:p>
        </w:tc>
        <w:tc>
          <w:tcPr>
            <w:tcW w:w="7022" w:type="dxa"/>
            <w:gridSpan w:val="9"/>
            <w:tcBorders>
              <w:top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vMerge w:val="restart"/>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风险调查</w:t>
            </w:r>
          </w:p>
        </w:tc>
        <w:tc>
          <w:tcPr>
            <w:tcW w:w="1490" w:type="dxa"/>
            <w:vMerge w:val="restart"/>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危险物质</w:t>
            </w:r>
          </w:p>
        </w:tc>
        <w:tc>
          <w:tcPr>
            <w:tcW w:w="1244" w:type="dxa"/>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名称</w:t>
            </w:r>
          </w:p>
        </w:tc>
        <w:tc>
          <w:tcPr>
            <w:tcW w:w="5778" w:type="dxa"/>
            <w:gridSpan w:val="8"/>
            <w:tcBorders>
              <w:right w:val="single" w:color="auto" w:sz="12" w:space="0"/>
            </w:tcBorders>
            <w:vAlign w:val="center"/>
          </w:tcPr>
          <w:p>
            <w:pPr>
              <w:spacing w:line="340" w:lineRule="exact"/>
              <w:jc w:val="center"/>
              <w:rPr>
                <w:rFonts w:hint="default" w:ascii="Times New Roman Regular" w:hAnsi="Times New Roman Regular" w:eastAsia="宋体" w:cs="Times New Roman Regular"/>
                <w:color w:val="auto"/>
                <w:sz w:val="21"/>
                <w:szCs w:val="21"/>
                <w:lang w:eastAsia="zh-Hans"/>
              </w:rPr>
            </w:pPr>
            <w:r>
              <w:rPr>
                <w:rFonts w:hint="default" w:ascii="Times New Roman Regular" w:hAnsi="Times New Roman Regular" w:cs="Times New Roman Regular"/>
                <w:color w:val="auto"/>
                <w:sz w:val="21"/>
                <w:szCs w:val="21"/>
                <w:lang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vMerge w:val="continue"/>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244" w:type="dxa"/>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存在总量/t</w:t>
            </w:r>
          </w:p>
        </w:tc>
        <w:tc>
          <w:tcPr>
            <w:tcW w:w="5778" w:type="dxa"/>
            <w:gridSpan w:val="8"/>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u w:val="single"/>
              </w:rPr>
            </w:pPr>
            <w:r>
              <w:rPr>
                <w:rFonts w:hint="default" w:ascii="Times New Roman Regular" w:hAnsi="Times New Roman Regular" w:cs="Times New Roman Regular"/>
                <w:color w:val="auto"/>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vMerge w:val="restart"/>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环境</w:t>
            </w:r>
          </w:p>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敏感性</w:t>
            </w:r>
          </w:p>
        </w:tc>
        <w:tc>
          <w:tcPr>
            <w:tcW w:w="1244" w:type="dxa"/>
            <w:vMerge w:val="restart"/>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大气</w:t>
            </w:r>
          </w:p>
        </w:tc>
        <w:tc>
          <w:tcPr>
            <w:tcW w:w="2917" w:type="dxa"/>
            <w:gridSpan w:val="4"/>
            <w:tcBorders>
              <w:bottom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500m范围内人口</w:t>
            </w:r>
            <w:r>
              <w:rPr>
                <w:rFonts w:hint="default" w:ascii="Times New Roman Regular" w:hAnsi="Times New Roman Regular" w:cs="Times New Roman Regular"/>
                <w:color w:val="auto"/>
                <w:sz w:val="21"/>
                <w:szCs w:val="21"/>
                <w:u w:val="single"/>
              </w:rPr>
              <w:t>—</w:t>
            </w:r>
            <w:r>
              <w:rPr>
                <w:rFonts w:hint="default" w:ascii="Times New Roman Regular" w:hAnsi="Times New Roman Regular" w:cs="Times New Roman Regular"/>
                <w:color w:val="auto"/>
                <w:sz w:val="21"/>
                <w:szCs w:val="21"/>
              </w:rPr>
              <w:t>人</w:t>
            </w:r>
          </w:p>
        </w:tc>
        <w:tc>
          <w:tcPr>
            <w:tcW w:w="2861" w:type="dxa"/>
            <w:gridSpan w:val="4"/>
            <w:tcBorders>
              <w:left w:val="single" w:color="auto" w:sz="12" w:space="0"/>
              <w:bottom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5km范围内人口—人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vMerge w:val="continue"/>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244" w:type="dxa"/>
            <w:vMerge w:val="continue"/>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4454" w:type="dxa"/>
            <w:gridSpan w:val="7"/>
            <w:tcBorders>
              <w:top w:val="single" w:color="auto" w:sz="12" w:space="0"/>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每公里管段周边200m范围内人口数（最大）</w:t>
            </w:r>
          </w:p>
        </w:tc>
        <w:tc>
          <w:tcPr>
            <w:tcW w:w="1324" w:type="dxa"/>
            <w:tcBorders>
              <w:top w:val="single" w:color="auto" w:sz="12" w:space="0"/>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u w:val="single"/>
              </w:rPr>
              <w:t xml:space="preserve">  </w:t>
            </w:r>
            <w:r>
              <w:rPr>
                <w:rFonts w:hint="default" w:ascii="Times New Roman Regular" w:hAnsi="Times New Roman Regular" w:cs="Times New Roman Regular"/>
                <w:color w:val="auto"/>
                <w:sz w:val="21"/>
                <w:szCs w:val="21"/>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vMerge w:val="continue"/>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244" w:type="dxa"/>
            <w:vMerge w:val="restart"/>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地表水</w:t>
            </w:r>
          </w:p>
        </w:tc>
        <w:tc>
          <w:tcPr>
            <w:tcW w:w="1968"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地表水功能敏感性</w:t>
            </w:r>
          </w:p>
        </w:tc>
        <w:tc>
          <w:tcPr>
            <w:tcW w:w="949" w:type="dxa"/>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F1□</w:t>
            </w:r>
          </w:p>
        </w:tc>
        <w:tc>
          <w:tcPr>
            <w:tcW w:w="1537"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F2□</w:t>
            </w:r>
          </w:p>
        </w:tc>
        <w:tc>
          <w:tcPr>
            <w:tcW w:w="1324" w:type="dxa"/>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F3</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vMerge w:val="continue"/>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244" w:type="dxa"/>
            <w:vMerge w:val="continue"/>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968"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环境敏感目标分级</w:t>
            </w:r>
          </w:p>
        </w:tc>
        <w:tc>
          <w:tcPr>
            <w:tcW w:w="949" w:type="dxa"/>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S1□</w:t>
            </w:r>
          </w:p>
        </w:tc>
        <w:tc>
          <w:tcPr>
            <w:tcW w:w="1537"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S2□</w:t>
            </w:r>
          </w:p>
        </w:tc>
        <w:tc>
          <w:tcPr>
            <w:tcW w:w="1324" w:type="dxa"/>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S3</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vMerge w:val="continue"/>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244" w:type="dxa"/>
            <w:vMerge w:val="restart"/>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地下水</w:t>
            </w:r>
          </w:p>
        </w:tc>
        <w:tc>
          <w:tcPr>
            <w:tcW w:w="1968"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地下水功能敏感性</w:t>
            </w:r>
          </w:p>
        </w:tc>
        <w:tc>
          <w:tcPr>
            <w:tcW w:w="949" w:type="dxa"/>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G1□</w:t>
            </w:r>
          </w:p>
        </w:tc>
        <w:tc>
          <w:tcPr>
            <w:tcW w:w="1537"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G2□</w:t>
            </w:r>
          </w:p>
        </w:tc>
        <w:tc>
          <w:tcPr>
            <w:tcW w:w="1324" w:type="dxa"/>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G3</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vMerge w:val="continue"/>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244" w:type="dxa"/>
            <w:vMerge w:val="continue"/>
            <w:tcBorders>
              <w:bottom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968"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包气带防污性能</w:t>
            </w:r>
          </w:p>
        </w:tc>
        <w:tc>
          <w:tcPr>
            <w:tcW w:w="949" w:type="dxa"/>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D1□</w:t>
            </w:r>
          </w:p>
        </w:tc>
        <w:tc>
          <w:tcPr>
            <w:tcW w:w="1537"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D2□</w:t>
            </w:r>
          </w:p>
        </w:tc>
        <w:tc>
          <w:tcPr>
            <w:tcW w:w="1324" w:type="dxa"/>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D3</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gridSpan w:val="2"/>
            <w:vMerge w:val="restart"/>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物质及工艺系统危险性</w:t>
            </w:r>
          </w:p>
        </w:tc>
        <w:tc>
          <w:tcPr>
            <w:tcW w:w="1244" w:type="dxa"/>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Q值</w:t>
            </w:r>
          </w:p>
        </w:tc>
        <w:tc>
          <w:tcPr>
            <w:tcW w:w="1465"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Q&lt;1</w:t>
            </w:r>
            <w:r>
              <w:rPr>
                <w:rFonts w:hint="default" w:ascii="Times New Roman Regular" w:hAnsi="Times New Roman Regular" w:cs="Times New Roman Regular"/>
                <w:color w:val="auto"/>
                <w:kern w:val="0"/>
                <w:sz w:val="21"/>
                <w:szCs w:val="21"/>
              </w:rPr>
              <w:sym w:font="Wingdings 2" w:char="0052"/>
            </w:r>
          </w:p>
        </w:tc>
        <w:tc>
          <w:tcPr>
            <w:tcW w:w="1452"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1≤Q&lt;10□</w:t>
            </w:r>
          </w:p>
        </w:tc>
        <w:tc>
          <w:tcPr>
            <w:tcW w:w="1537"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10≤Q&lt;100□</w:t>
            </w:r>
          </w:p>
        </w:tc>
        <w:tc>
          <w:tcPr>
            <w:tcW w:w="1324" w:type="dxa"/>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Q&gt;100□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gridSpan w:val="2"/>
            <w:vMerge w:val="continue"/>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244" w:type="dxa"/>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M值</w:t>
            </w:r>
          </w:p>
        </w:tc>
        <w:tc>
          <w:tcPr>
            <w:tcW w:w="1465"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M1□</w:t>
            </w:r>
          </w:p>
        </w:tc>
        <w:tc>
          <w:tcPr>
            <w:tcW w:w="1452"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M2□</w:t>
            </w:r>
          </w:p>
        </w:tc>
        <w:tc>
          <w:tcPr>
            <w:tcW w:w="1537"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M3□</w:t>
            </w:r>
          </w:p>
        </w:tc>
        <w:tc>
          <w:tcPr>
            <w:tcW w:w="1324" w:type="dxa"/>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M4</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gridSpan w:val="2"/>
            <w:vMerge w:val="continue"/>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244" w:type="dxa"/>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P值</w:t>
            </w:r>
          </w:p>
        </w:tc>
        <w:tc>
          <w:tcPr>
            <w:tcW w:w="1465"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P1□</w:t>
            </w:r>
          </w:p>
        </w:tc>
        <w:tc>
          <w:tcPr>
            <w:tcW w:w="1452"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P2□</w:t>
            </w:r>
          </w:p>
        </w:tc>
        <w:tc>
          <w:tcPr>
            <w:tcW w:w="1537"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P3□</w:t>
            </w:r>
          </w:p>
        </w:tc>
        <w:tc>
          <w:tcPr>
            <w:tcW w:w="1324" w:type="dxa"/>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P4</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gridSpan w:val="2"/>
            <w:vMerge w:val="restart"/>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环境敏感程度</w:t>
            </w:r>
          </w:p>
        </w:tc>
        <w:tc>
          <w:tcPr>
            <w:tcW w:w="1244" w:type="dxa"/>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大气</w:t>
            </w:r>
          </w:p>
        </w:tc>
        <w:tc>
          <w:tcPr>
            <w:tcW w:w="1465"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E1□</w:t>
            </w:r>
          </w:p>
        </w:tc>
        <w:tc>
          <w:tcPr>
            <w:tcW w:w="2158"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E2□</w:t>
            </w:r>
          </w:p>
        </w:tc>
        <w:tc>
          <w:tcPr>
            <w:tcW w:w="2155" w:type="dxa"/>
            <w:gridSpan w:val="3"/>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E3</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gridSpan w:val="2"/>
            <w:vMerge w:val="continue"/>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244" w:type="dxa"/>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地表水</w:t>
            </w:r>
          </w:p>
        </w:tc>
        <w:tc>
          <w:tcPr>
            <w:tcW w:w="1465"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E1□</w:t>
            </w:r>
          </w:p>
        </w:tc>
        <w:tc>
          <w:tcPr>
            <w:tcW w:w="2158"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E2□</w:t>
            </w:r>
          </w:p>
        </w:tc>
        <w:tc>
          <w:tcPr>
            <w:tcW w:w="2155" w:type="dxa"/>
            <w:gridSpan w:val="3"/>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E3</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019" w:type="dxa"/>
            <w:gridSpan w:val="2"/>
            <w:vMerge w:val="continue"/>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244" w:type="dxa"/>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地下水</w:t>
            </w:r>
          </w:p>
        </w:tc>
        <w:tc>
          <w:tcPr>
            <w:tcW w:w="1465"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E1□</w:t>
            </w:r>
          </w:p>
        </w:tc>
        <w:tc>
          <w:tcPr>
            <w:tcW w:w="2158"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E2□</w:t>
            </w:r>
          </w:p>
        </w:tc>
        <w:tc>
          <w:tcPr>
            <w:tcW w:w="2155" w:type="dxa"/>
            <w:gridSpan w:val="3"/>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E3</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019"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环境风险潜势</w:t>
            </w:r>
          </w:p>
        </w:tc>
        <w:tc>
          <w:tcPr>
            <w:tcW w:w="1244" w:type="dxa"/>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IV</w:t>
            </w:r>
            <w:r>
              <w:rPr>
                <w:rFonts w:hint="default" w:ascii="Times New Roman Regular" w:hAnsi="Times New Roman Regular" w:cs="Times New Roman Regular"/>
                <w:color w:val="auto"/>
                <w:sz w:val="21"/>
                <w:szCs w:val="21"/>
                <w:vertAlign w:val="superscript"/>
              </w:rPr>
              <w:t>+</w:t>
            </w:r>
            <w:r>
              <w:rPr>
                <w:rFonts w:hint="default" w:ascii="Times New Roman Regular" w:hAnsi="Times New Roman Regular" w:cs="Times New Roman Regular"/>
                <w:color w:val="auto"/>
                <w:sz w:val="21"/>
                <w:szCs w:val="21"/>
              </w:rPr>
              <w:t>□</w:t>
            </w:r>
          </w:p>
        </w:tc>
        <w:tc>
          <w:tcPr>
            <w:tcW w:w="1465"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IV□</w:t>
            </w:r>
          </w:p>
        </w:tc>
        <w:tc>
          <w:tcPr>
            <w:tcW w:w="1452"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III□</w:t>
            </w:r>
          </w:p>
        </w:tc>
        <w:tc>
          <w:tcPr>
            <w:tcW w:w="1537"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II□</w:t>
            </w:r>
          </w:p>
        </w:tc>
        <w:tc>
          <w:tcPr>
            <w:tcW w:w="1324" w:type="dxa"/>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I</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019"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评价等级</w:t>
            </w:r>
          </w:p>
        </w:tc>
        <w:tc>
          <w:tcPr>
            <w:tcW w:w="2709" w:type="dxa"/>
            <w:gridSpan w:val="3"/>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一级□</w:t>
            </w:r>
          </w:p>
        </w:tc>
        <w:tc>
          <w:tcPr>
            <w:tcW w:w="1452"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二级□</w:t>
            </w:r>
          </w:p>
        </w:tc>
        <w:tc>
          <w:tcPr>
            <w:tcW w:w="1537"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三级□</w:t>
            </w:r>
          </w:p>
        </w:tc>
        <w:tc>
          <w:tcPr>
            <w:tcW w:w="1324" w:type="dxa"/>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简单分析</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9" w:type="dxa"/>
            <w:vMerge w:val="restart"/>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风险识别</w:t>
            </w:r>
          </w:p>
        </w:tc>
        <w:tc>
          <w:tcPr>
            <w:tcW w:w="1490" w:type="dxa"/>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物质危险性</w:t>
            </w:r>
          </w:p>
        </w:tc>
        <w:tc>
          <w:tcPr>
            <w:tcW w:w="2709" w:type="dxa"/>
            <w:gridSpan w:val="3"/>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有毒有害□</w:t>
            </w:r>
          </w:p>
        </w:tc>
        <w:tc>
          <w:tcPr>
            <w:tcW w:w="4313" w:type="dxa"/>
            <w:gridSpan w:val="6"/>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易燃易爆</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环境风险类型</w:t>
            </w:r>
          </w:p>
        </w:tc>
        <w:tc>
          <w:tcPr>
            <w:tcW w:w="2709" w:type="dxa"/>
            <w:gridSpan w:val="3"/>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泄漏□</w:t>
            </w:r>
          </w:p>
        </w:tc>
        <w:tc>
          <w:tcPr>
            <w:tcW w:w="4313" w:type="dxa"/>
            <w:gridSpan w:val="6"/>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火灾、爆炸引发伴生/次生污染物排放</w:t>
            </w:r>
            <w:r>
              <w:rPr>
                <w:rFonts w:hint="default" w:ascii="Times New Roman Regular" w:hAnsi="Times New Roman Regular" w:cs="Times New Roman Regular"/>
                <w:color w:val="auto"/>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影响途径</w:t>
            </w:r>
          </w:p>
        </w:tc>
        <w:tc>
          <w:tcPr>
            <w:tcW w:w="2709" w:type="dxa"/>
            <w:gridSpan w:val="3"/>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大气</w:t>
            </w:r>
            <w:r>
              <w:rPr>
                <w:rFonts w:hint="default" w:ascii="Times New Roman Regular" w:hAnsi="Times New Roman Regular" w:cs="Times New Roman Regular"/>
                <w:color w:val="auto"/>
                <w:kern w:val="0"/>
                <w:sz w:val="21"/>
                <w:szCs w:val="21"/>
              </w:rPr>
              <w:sym w:font="Wingdings 2" w:char="0052"/>
            </w:r>
          </w:p>
        </w:tc>
        <w:tc>
          <w:tcPr>
            <w:tcW w:w="2177" w:type="dxa"/>
            <w:gridSpan w:val="4"/>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地表水□</w:t>
            </w:r>
          </w:p>
        </w:tc>
        <w:tc>
          <w:tcPr>
            <w:tcW w:w="2136" w:type="dxa"/>
            <w:gridSpan w:val="2"/>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地下水□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019"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事故情形分析</w:t>
            </w:r>
          </w:p>
        </w:tc>
        <w:tc>
          <w:tcPr>
            <w:tcW w:w="1612" w:type="dxa"/>
            <w:gridSpan w:val="2"/>
            <w:tcBorders>
              <w:bottom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源强设定方法</w:t>
            </w:r>
          </w:p>
        </w:tc>
        <w:tc>
          <w:tcPr>
            <w:tcW w:w="1600" w:type="dxa"/>
            <w:gridSpan w:val="2"/>
            <w:tcBorders>
              <w:left w:val="single" w:color="auto" w:sz="12" w:space="0"/>
              <w:bottom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计算法</w:t>
            </w:r>
            <w:r>
              <w:rPr>
                <w:rFonts w:hint="default" w:ascii="Times New Roman Regular" w:hAnsi="Times New Roman Regular" w:cs="Times New Roman Regular"/>
                <w:color w:val="auto"/>
                <w:kern w:val="0"/>
                <w:sz w:val="21"/>
                <w:szCs w:val="21"/>
              </w:rPr>
              <w:sym w:font="Wingdings 2" w:char="0052"/>
            </w:r>
          </w:p>
        </w:tc>
        <w:tc>
          <w:tcPr>
            <w:tcW w:w="1674"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经验估算法□</w:t>
            </w:r>
          </w:p>
        </w:tc>
        <w:tc>
          <w:tcPr>
            <w:tcW w:w="2136" w:type="dxa"/>
            <w:gridSpan w:val="2"/>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其他估算法□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9" w:type="dxa"/>
            <w:vMerge w:val="restart"/>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风险预测与评价</w:t>
            </w:r>
          </w:p>
        </w:tc>
        <w:tc>
          <w:tcPr>
            <w:tcW w:w="1490" w:type="dxa"/>
            <w:vMerge w:val="restart"/>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大气</w:t>
            </w:r>
          </w:p>
        </w:tc>
        <w:tc>
          <w:tcPr>
            <w:tcW w:w="1612" w:type="dxa"/>
            <w:gridSpan w:val="2"/>
            <w:tcBorders>
              <w:top w:val="single" w:color="auto" w:sz="12" w:space="0"/>
              <w:bottom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预测模型</w:t>
            </w:r>
          </w:p>
        </w:tc>
        <w:tc>
          <w:tcPr>
            <w:tcW w:w="1600" w:type="dxa"/>
            <w:gridSpan w:val="2"/>
            <w:tcBorders>
              <w:top w:val="single" w:color="auto" w:sz="12" w:space="0"/>
              <w:left w:val="single" w:color="auto" w:sz="12" w:space="0"/>
              <w:bottom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SLAB□</w:t>
            </w:r>
          </w:p>
        </w:tc>
        <w:tc>
          <w:tcPr>
            <w:tcW w:w="1674" w:type="dxa"/>
            <w:gridSpan w:val="3"/>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AFTOX□</w:t>
            </w:r>
          </w:p>
        </w:tc>
        <w:tc>
          <w:tcPr>
            <w:tcW w:w="2136" w:type="dxa"/>
            <w:gridSpan w:val="2"/>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其他</w:t>
            </w:r>
            <w:r>
              <w:rPr>
                <w:rFonts w:hint="default" w:ascii="Times New Roman Regular" w:hAnsi="Times New Roman Regular" w:cs="Times New Roman Regular"/>
                <w:color w:val="auto"/>
                <w:kern w:val="0"/>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vMerge w:val="continue"/>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612" w:type="dxa"/>
            <w:gridSpan w:val="2"/>
            <w:vMerge w:val="restart"/>
            <w:tcBorders>
              <w:top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预测结果</w:t>
            </w:r>
          </w:p>
        </w:tc>
        <w:tc>
          <w:tcPr>
            <w:tcW w:w="5410" w:type="dxa"/>
            <w:gridSpan w:val="7"/>
            <w:tcBorders>
              <w:top w:val="single" w:color="auto" w:sz="12" w:space="0"/>
              <w:left w:val="single" w:color="auto" w:sz="12" w:space="0"/>
              <w:bottom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大气毒性重点浓度-1 最大影响范围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vMerge w:val="continue"/>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612" w:type="dxa"/>
            <w:gridSpan w:val="2"/>
            <w:vMerge w:val="continue"/>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5410" w:type="dxa"/>
            <w:gridSpan w:val="7"/>
            <w:tcBorders>
              <w:top w:val="single" w:color="auto" w:sz="12" w:space="0"/>
              <w:left w:val="single" w:color="auto" w:sz="12" w:space="0"/>
              <w:bottom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大气毒性重点浓度-2 最大影响范围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地表水</w:t>
            </w:r>
          </w:p>
        </w:tc>
        <w:tc>
          <w:tcPr>
            <w:tcW w:w="7022" w:type="dxa"/>
            <w:gridSpan w:val="9"/>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最近环境敏感目标          ，到达时间             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vMerge w:val="restart"/>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地下水</w:t>
            </w:r>
          </w:p>
        </w:tc>
        <w:tc>
          <w:tcPr>
            <w:tcW w:w="7022" w:type="dxa"/>
            <w:gridSpan w:val="9"/>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下游厂区边界到达时间         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9" w:type="dxa"/>
            <w:vMerge w:val="continue"/>
            <w:tcBorders>
              <w:left w:val="single" w:color="auto" w:sz="12" w:space="0"/>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1490" w:type="dxa"/>
            <w:vMerge w:val="continue"/>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p>
        </w:tc>
        <w:tc>
          <w:tcPr>
            <w:tcW w:w="7022" w:type="dxa"/>
            <w:gridSpan w:val="9"/>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最近环境敏感目标          ，到达时间           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019"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重点风险防范措施</w:t>
            </w:r>
          </w:p>
        </w:tc>
        <w:tc>
          <w:tcPr>
            <w:tcW w:w="7022" w:type="dxa"/>
            <w:gridSpan w:val="9"/>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生产过程中，必须加强安全管理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019" w:type="dxa"/>
            <w:gridSpan w:val="2"/>
            <w:tcBorders>
              <w:lef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评价结论与建议</w:t>
            </w:r>
          </w:p>
        </w:tc>
        <w:tc>
          <w:tcPr>
            <w:tcW w:w="7022" w:type="dxa"/>
            <w:gridSpan w:val="9"/>
            <w:tcBorders>
              <w:right w:val="single" w:color="auto" w:sz="12" w:space="0"/>
            </w:tcBorders>
            <w:vAlign w:val="center"/>
          </w:tcPr>
          <w:p>
            <w:pPr>
              <w:spacing w:line="340" w:lineRule="exact"/>
              <w:jc w:val="center"/>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生产过程及原辅材料的运输储存过程中，必须加强安全管理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9041" w:type="dxa"/>
            <w:gridSpan w:val="11"/>
            <w:tcBorders>
              <w:left w:val="single" w:color="auto" w:sz="12" w:space="0"/>
              <w:bottom w:val="single" w:color="auto" w:sz="12" w:space="0"/>
              <w:right w:val="single" w:color="auto" w:sz="12" w:space="0"/>
            </w:tcBorders>
            <w:vAlign w:val="center"/>
          </w:tcPr>
          <w:p>
            <w:pPr>
              <w:spacing w:line="340" w:lineRule="exact"/>
              <w:jc w:val="left"/>
              <w:rPr>
                <w:rFonts w:hint="default" w:ascii="Times New Roman Regular" w:hAnsi="Times New Roman Regular" w:cs="Times New Roman Regular"/>
                <w:color w:val="auto"/>
                <w:sz w:val="21"/>
                <w:szCs w:val="21"/>
              </w:rPr>
            </w:pPr>
            <w:r>
              <w:rPr>
                <w:rFonts w:hint="default" w:ascii="Times New Roman Regular" w:hAnsi="Times New Roman Regular" w:cs="Times New Roman Regular"/>
                <w:color w:val="auto"/>
                <w:sz w:val="21"/>
                <w:szCs w:val="21"/>
              </w:rPr>
              <w:t>注：“□”为勾选项，“        ”为填写项。</w:t>
            </w:r>
          </w:p>
        </w:tc>
      </w:tr>
    </w:tbl>
    <w:p>
      <w:pPr>
        <w:rPr>
          <w:rFonts w:hint="default" w:ascii="Times New Roman Regular" w:hAnsi="Times New Roman Regular" w:cs="Times New Roman Regular"/>
          <w:color w:val="FF0000"/>
        </w:rPr>
      </w:pPr>
    </w:p>
    <w:p>
      <w:pPr>
        <w:rPr>
          <w:rFonts w:hint="default" w:ascii="Times New Roman Regular" w:hAnsi="Times New Roman Regular" w:cs="Times New Roman Regular"/>
          <w:color w:val="FF0000"/>
        </w:rPr>
      </w:pPr>
    </w:p>
    <w:sectPr>
      <w:pgSz w:w="11906" w:h="16838"/>
      <w:pgMar w:top="1440" w:right="391" w:bottom="1440" w:left="1462" w:header="851" w:footer="992" w:gutter="0"/>
      <w:pgBorders>
        <w:top w:val="none" w:sz="0" w:space="0"/>
        <w:left w:val="none" w:sz="0" w:space="0"/>
        <w:bottom w:val="none" w:sz="0" w:space="0"/>
        <w:right w:val="none" w:sz="0" w:space="0"/>
      </w:pgBorders>
      <w:pgNumType w:fmt="decimal"/>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Songti SC">
    <w:altName w:val="宋体"/>
    <w:panose1 w:val="02010800040101010101"/>
    <w:charset w:val="86"/>
    <w:family w:val="auto"/>
    <w:pitch w:val="default"/>
    <w:sig w:usb0="00000000" w:usb1="00000000" w:usb2="00000000" w:usb3="00000000" w:csb0="00040000" w:csb1="0000000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swiss"/>
    <w:pitch w:val="default"/>
    <w:sig w:usb0="E0002EFF" w:usb1="C0007843" w:usb2="00000009" w:usb3="00000000" w:csb0="400001FF" w:csb1="FFFF0000"/>
  </w:font>
  <w:font w:name="FangSong_GB2312">
    <w:altName w:val="仿宋"/>
    <w:panose1 w:val="020B0604020202020204"/>
    <w:charset w:val="00"/>
    <w:family w:val="modern"/>
    <w:pitch w:val="default"/>
    <w:sig w:usb0="00000000" w:usb1="0000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STKaiti">
    <w:altName w:val="宋体"/>
    <w:panose1 w:val="02010600040101010101"/>
    <w:charset w:val="86"/>
    <w:family w:val="auto"/>
    <w:pitch w:val="default"/>
    <w:sig w:usb0="00000000" w:usb1="00000000" w:usb2="00000016" w:usb3="00000000" w:csb0="0004001F" w:csb1="00000000"/>
  </w:font>
  <w:font w:name="KaiTi_GB2312">
    <w:altName w:val="楷体"/>
    <w:panose1 w:val="020B0604020202020204"/>
    <w:charset w:val="00"/>
    <w:family w:val="modern"/>
    <w:pitch w:val="default"/>
    <w:sig w:usb0="00000000" w:usb1="00000000" w:usb2="00000010" w:usb3="00000000" w:csb0="00040000" w:csb1="00000000"/>
  </w:font>
  <w:font w:name="Courier">
    <w:altName w:val="Courier New"/>
    <w:panose1 w:val="02000500000000000000"/>
    <w:charset w:val="00"/>
    <w:family w:val="auto"/>
    <w:pitch w:val="default"/>
    <w:sig w:usb0="00000000" w:usb1="00000000" w:usb2="00000000" w:usb3="00000000" w:csb0="00000003" w:csb1="00000000"/>
  </w:font>
  <w:font w:name="CG Times (W1)">
    <w:altName w:val="Segoe Print"/>
    <w:panose1 w:val="020B0604020202020204"/>
    <w:charset w:val="00"/>
    <w:family w:val="roman"/>
    <w:pitch w:val="default"/>
    <w:sig w:usb0="00000000" w:usb1="00000000" w:usb2="00000000" w:usb3="00000000" w:csb0="00000001" w:csb1="00000000"/>
  </w:font>
  <w:font w:name="Calibri Light">
    <w:panose1 w:val="020F0302020204030204"/>
    <w:charset w:val="00"/>
    <w:family w:val="swiss"/>
    <w:pitch w:val="default"/>
    <w:sig w:usb0="E0002A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Times New Roman Regular">
    <w:altName w:val="Times New Roman"/>
    <w:panose1 w:val="02020803070505020304"/>
    <w:charset w:val="00"/>
    <w:family w:val="auto"/>
    <w:pitch w:val="default"/>
    <w:sig w:usb0="00000000" w:usb1="00000000" w:usb2="00000009" w:usb3="00000000" w:csb0="400001FF" w:csb1="FFFF0000"/>
  </w:font>
  <w:font w:name="新宋体">
    <w:panose1 w:val="02010609030101010101"/>
    <w:charset w:val="86"/>
    <w:family w:val="modern"/>
    <w:pitch w:val="default"/>
    <w:sig w:usb0="00000003" w:usb1="288F0000" w:usb2="00000006" w:usb3="00000000" w:csb0="00040001" w:csb1="00000000"/>
  </w:font>
  <w:font w:name="Cambria Math">
    <w:panose1 w:val="02040503050406030204"/>
    <w:charset w:val="00"/>
    <w:family w:val="roman"/>
    <w:pitch w:val="default"/>
    <w:sig w:usb0="E00002FF" w:usb1="420024FF" w:usb2="00000000" w:usb3="00000000" w:csb0="2000019F" w:csb1="00000000"/>
  </w:font>
  <w:font w:name="Wingdings 2">
    <w:altName w:val="Wingdings"/>
    <w:panose1 w:val="05020102010507070707"/>
    <w:charset w:val="02"/>
    <w:family w:val="decorative"/>
    <w:pitch w:val="default"/>
    <w:sig w:usb0="00000000" w:usb1="00000000" w:usb2="00000000" w:usb3="00000000" w:csb0="80000000" w:csb1="00000000"/>
  </w:font>
  <w:font w:name="Times New Roman Bold">
    <w:altName w:val="Times New Roman"/>
    <w:panose1 w:val="02020803070505020304"/>
    <w:charset w:val="00"/>
    <w:family w:val="auto"/>
    <w:pitch w:val="default"/>
    <w:sig w:usb0="00000000" w:usb1="00000000" w:usb2="00000009" w:usb3="00000000" w:csb0="400001FF" w:csb1="FFFF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tabs>
        <w:tab w:val="center" w:pos="4308"/>
        <w:tab w:val="clear" w:pos="4153"/>
      </w:tabs>
      <w:ind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32</w:t>
                          </w:r>
                          <w:r>
                            <w:rPr>
                              <w:sz w:val="1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TTZk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5lNNmTICAABjBAAADgAAAAAAAAABACAAAAAfAQAAZHJzL2Uyb0RvYy54bWxQSwUG&#10;AAAAAAYABgBZAQAAwwUAAAAA&#10;">
              <v:fill on="f" focussize="0,0"/>
              <v:stroke on="f" weight="0.5pt"/>
              <v:imagedata o:title=""/>
              <o:lock v:ext="edit" aspectratio="f"/>
              <v:textbox inset="0mm,0mm,0mm,0mm" style="mso-fit-shape-to-text:t;">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32</w:t>
                    </w:r>
                    <w:r>
                      <w:rPr>
                        <w:sz w:val="1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rFonts w:hint="eastAsia"/>
      </w:rPr>
      <w:tab/>
    </w:r>
    <w:r>
      <w:rPr>
        <w:rFonts w:hint="eastAsia"/>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6AF4760"/>
    <w:multiLevelType w:val="multilevel"/>
    <w:tmpl w:val="56AF4760"/>
    <w:lvl w:ilvl="0" w:tentative="0">
      <w:start w:val="1"/>
      <w:numFmt w:val="chineseCountingThousand"/>
      <w:pStyle w:val="3"/>
      <w:suff w:val="nothing"/>
      <w:lvlText w:val="%1、"/>
      <w:lvlJc w:val="left"/>
      <w:pPr>
        <w:ind w:left="4537" w:firstLine="0"/>
      </w:pPr>
      <w:rPr>
        <w:rFonts w:hint="eastAsia"/>
      </w:rPr>
    </w:lvl>
    <w:lvl w:ilvl="1" w:tentative="0">
      <w:start w:val="1"/>
      <w:numFmt w:val="decimal"/>
      <w:isLgl/>
      <w:suff w:val="space"/>
      <w:lvlText w:val="%1.%2"/>
      <w:lvlJc w:val="left"/>
      <w:pPr>
        <w:ind w:left="3686" w:firstLine="0"/>
      </w:pPr>
      <w:rPr>
        <w:rFonts w:hint="eastAsia"/>
      </w:rPr>
    </w:lvl>
    <w:lvl w:ilvl="2" w:tentative="0">
      <w:start w:val="1"/>
      <w:numFmt w:val="decimal"/>
      <w:isLgl/>
      <w:suff w:val="space"/>
      <w:lvlText w:val="%1.%2.%3"/>
      <w:lvlJc w:val="left"/>
      <w:pPr>
        <w:ind w:left="3686" w:firstLine="0"/>
      </w:pPr>
      <w:rPr>
        <w:b/>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pStyle w:val="7"/>
      <w:isLgl/>
      <w:suff w:val="space"/>
      <w:lvlText w:val="%1.%2.%3.%4"/>
      <w:lvlJc w:val="left"/>
      <w:pPr>
        <w:ind w:left="3686" w:firstLine="0"/>
      </w:pPr>
      <w:rPr>
        <w:rFonts w:hint="eastAsia"/>
      </w:rPr>
    </w:lvl>
    <w:lvl w:ilvl="4" w:tentative="0">
      <w:start w:val="1"/>
      <w:numFmt w:val="decimal"/>
      <w:lvlRestart w:val="2"/>
      <w:pStyle w:val="45"/>
      <w:isLgl/>
      <w:suff w:val="space"/>
      <w:lvlText w:val="表%1.%2-%5"/>
      <w:lvlJc w:val="left"/>
      <w:pPr>
        <w:ind w:left="3686" w:firstLine="0"/>
      </w:pPr>
      <w:rPr>
        <w:rFonts w:hint="eastAsia"/>
      </w:rPr>
    </w:lvl>
    <w:lvl w:ilvl="5" w:tentative="0">
      <w:start w:val="1"/>
      <w:numFmt w:val="decimal"/>
      <w:lvlRestart w:val="2"/>
      <w:pStyle w:val="46"/>
      <w:isLgl/>
      <w:suff w:val="space"/>
      <w:lvlText w:val="图%1.%2-%6"/>
      <w:lvlJc w:val="left"/>
      <w:pPr>
        <w:ind w:left="3686" w:firstLine="0"/>
      </w:pPr>
      <w:rPr>
        <w:rFonts w:hint="eastAsia"/>
      </w:rPr>
    </w:lvl>
    <w:lvl w:ilvl="6" w:tentative="0">
      <w:start w:val="1"/>
      <w:numFmt w:val="decimal"/>
      <w:lvlText w:val="%1.%2.%3.%4.%5.%6.%7"/>
      <w:lvlJc w:val="left"/>
      <w:pPr>
        <w:ind w:left="3686" w:firstLine="0"/>
      </w:pPr>
      <w:rPr>
        <w:rFonts w:hint="eastAsia"/>
      </w:rPr>
    </w:lvl>
    <w:lvl w:ilvl="7" w:tentative="0">
      <w:start w:val="1"/>
      <w:numFmt w:val="decimal"/>
      <w:lvlText w:val="%1.%2.%3.%4.%5.%6.%7.%8"/>
      <w:lvlJc w:val="left"/>
      <w:pPr>
        <w:ind w:left="3686" w:firstLine="0"/>
      </w:pPr>
      <w:rPr>
        <w:rFonts w:hint="eastAsia"/>
      </w:rPr>
    </w:lvl>
    <w:lvl w:ilvl="8" w:tentative="0">
      <w:start w:val="1"/>
      <w:numFmt w:val="decimal"/>
      <w:lvlText w:val="%1.%2.%3.%4.%5.%6.%7.%8.%9"/>
      <w:lvlJc w:val="left"/>
      <w:pPr>
        <w:ind w:left="3686" w:firstLine="0"/>
      </w:pPr>
      <w:rPr>
        <w:rFonts w:hint="eastAsia"/>
      </w:rPr>
    </w:lvl>
  </w:abstractNum>
  <w:abstractNum w:abstractNumId="1">
    <w:nsid w:val="76B4282A"/>
    <w:multiLevelType w:val="multilevel"/>
    <w:tmpl w:val="76B4282A"/>
    <w:lvl w:ilvl="0" w:tentative="0">
      <w:start w:val="1"/>
      <w:numFmt w:val="chineseCountingThousand"/>
      <w:suff w:val="space"/>
      <w:lvlText w:val="第%1章 "/>
      <w:lvlJc w:val="center"/>
      <w:pPr>
        <w:ind w:left="0" w:firstLine="0"/>
      </w:pPr>
      <w:rPr>
        <w:rFonts w:hint="eastAsia"/>
        <w:b/>
        <w:i w:val="0"/>
        <w:sz w:val="32"/>
      </w:rPr>
    </w:lvl>
    <w:lvl w:ilvl="1" w:tentative="0">
      <w:start w:val="1"/>
      <w:numFmt w:val="decimal"/>
      <w:isLgl/>
      <w:suff w:val="space"/>
      <w:lvlText w:val="%1.%2 "/>
      <w:lvlJc w:val="left"/>
      <w:pPr>
        <w:ind w:left="0" w:firstLine="0"/>
      </w:pPr>
      <w:rPr>
        <w:rFonts w:hint="eastAsia"/>
        <w:b/>
        <w:bCs w:val="0"/>
        <w:i w:val="0"/>
        <w:iCs w:val="0"/>
        <w:caps w:val="0"/>
        <w:smallCaps w:val="0"/>
        <w:strike w:val="0"/>
        <w:dstrike w:val="0"/>
        <w:outline w:val="0"/>
        <w:shadow w:val="0"/>
        <w:emboss w:val="0"/>
        <w:imprint w:val="0"/>
        <w:vanish w:val="0"/>
        <w:spacing w:val="0"/>
        <w:position w:val="0"/>
        <w:u w:val="none"/>
        <w:vertAlign w:val="baseline"/>
      </w:rPr>
    </w:lvl>
    <w:lvl w:ilvl="2" w:tentative="0">
      <w:start w:val="1"/>
      <w:numFmt w:val="decimal"/>
      <w:isLgl/>
      <w:suff w:val="space"/>
      <w:lvlText w:val="%1.%2.%3 "/>
      <w:lvlJc w:val="left"/>
      <w:pPr>
        <w:ind w:left="0" w:firstLine="0"/>
      </w:pPr>
      <w:rPr>
        <w:rFonts w:hint="eastAsia"/>
        <w:b/>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isLgl/>
      <w:suff w:val="space"/>
      <w:lvlText w:val="%1.%2.%3.%4 "/>
      <w:lvlJc w:val="left"/>
      <w:pPr>
        <w:ind w:left="0" w:firstLine="0"/>
      </w:pPr>
      <w:rPr>
        <w:rFonts w:hint="eastAsia"/>
      </w:rPr>
    </w:lvl>
    <w:lvl w:ilvl="4" w:tentative="0">
      <w:start w:val="1"/>
      <w:numFmt w:val="decimal"/>
      <w:lvlRestart w:val="2"/>
      <w:pStyle w:val="10"/>
      <w:isLgl/>
      <w:suff w:val="nothing"/>
      <w:lvlText w:val="表%1.%2-%5   "/>
      <w:lvlJc w:val="left"/>
      <w:pPr>
        <w:ind w:left="0" w:firstLine="0"/>
      </w:pPr>
      <w:rPr>
        <w:rFonts w:hint="eastAsia" w:ascii="Times New Roman" w:hAnsi="Times New Roman" w:cs="Times New Roman"/>
        <w:b/>
        <w:bCs w:val="0"/>
        <w:i w:val="0"/>
        <w:iCs w:val="0"/>
        <w:caps w:val="0"/>
        <w:smallCaps w:val="0"/>
        <w:strike w:val="0"/>
        <w:dstrike w:val="0"/>
        <w:outline w:val="0"/>
        <w:shadow w:val="0"/>
        <w:emboss w:val="0"/>
        <w:imprint w:val="0"/>
        <w:vanish w:val="0"/>
        <w:spacing w:val="0"/>
        <w:position w:val="0"/>
        <w:u w:val="none"/>
        <w:vertAlign w:val="baseline"/>
      </w:rPr>
    </w:lvl>
    <w:lvl w:ilvl="5" w:tentative="0">
      <w:start w:val="1"/>
      <w:numFmt w:val="decimal"/>
      <w:lvlRestart w:val="2"/>
      <w:pStyle w:val="126"/>
      <w:isLgl/>
      <w:suff w:val="nothing"/>
      <w:lvlText w:val="图%1.%2-%6   "/>
      <w:lvlJc w:val="left"/>
      <w:pPr>
        <w:ind w:left="0" w:firstLine="0"/>
      </w:pPr>
      <w:rPr>
        <w:rFonts w:hint="eastAsia"/>
      </w:rPr>
    </w:lvl>
    <w:lvl w:ilvl="6" w:tentative="0">
      <w:start w:val="1"/>
      <w:numFmt w:val="decimal"/>
      <w:lvlText w:val="%1.%2.%3.%4.%5.%6.%7"/>
      <w:lvlJc w:val="left"/>
      <w:pPr>
        <w:tabs>
          <w:tab w:val="left" w:pos="1566"/>
        </w:tabs>
        <w:ind w:left="0" w:firstLine="0"/>
      </w:pPr>
      <w:rPr>
        <w:rFonts w:hint="eastAsia"/>
      </w:rPr>
    </w:lvl>
    <w:lvl w:ilvl="7" w:tentative="0">
      <w:start w:val="1"/>
      <w:numFmt w:val="decimal"/>
      <w:lvlText w:val="%1.%2.%3.%4.%5.%6.%7.%8"/>
      <w:lvlJc w:val="left"/>
      <w:pPr>
        <w:tabs>
          <w:tab w:val="left" w:pos="1566"/>
        </w:tabs>
        <w:ind w:left="0" w:firstLine="0"/>
      </w:pPr>
      <w:rPr>
        <w:rFonts w:hint="eastAsia"/>
      </w:rPr>
    </w:lvl>
    <w:lvl w:ilvl="8" w:tentative="0">
      <w:start w:val="1"/>
      <w:numFmt w:val="decimal"/>
      <w:lvlText w:val="%1.%2.%3.%4.%5.%6.%7.%8.%9"/>
      <w:lvlJc w:val="left"/>
      <w:pPr>
        <w:tabs>
          <w:tab w:val="left" w:pos="1566"/>
        </w:tabs>
        <w:ind w:left="0" w:firstLine="0"/>
      </w:pPr>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70"/>
  <w:bordersDoNotSurroundHeader w:val="0"/>
  <w:bordersDoNotSurroundFooter w:val="0"/>
  <w:hideSpellingErrors/>
  <w:hideGrammaticalErrors/>
  <w:documentProtection w:enforcement="0"/>
  <w:defaultTabStop w:val="720"/>
  <w:drawingGridHorizontalSpacing w:val="120"/>
  <w:drawingGridVerticalSpacing w:val="163"/>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DC1"/>
    <w:rsid w:val="00001BD4"/>
    <w:rsid w:val="000038FA"/>
    <w:rsid w:val="0000526D"/>
    <w:rsid w:val="000074A3"/>
    <w:rsid w:val="00010450"/>
    <w:rsid w:val="000119A9"/>
    <w:rsid w:val="00011D01"/>
    <w:rsid w:val="00011EB1"/>
    <w:rsid w:val="000122F3"/>
    <w:rsid w:val="00012E92"/>
    <w:rsid w:val="000143A5"/>
    <w:rsid w:val="0001459A"/>
    <w:rsid w:val="000149E3"/>
    <w:rsid w:val="00014F31"/>
    <w:rsid w:val="00014F66"/>
    <w:rsid w:val="00015F38"/>
    <w:rsid w:val="000161F1"/>
    <w:rsid w:val="00016314"/>
    <w:rsid w:val="00016468"/>
    <w:rsid w:val="0001671D"/>
    <w:rsid w:val="00017016"/>
    <w:rsid w:val="000174B2"/>
    <w:rsid w:val="00017D5F"/>
    <w:rsid w:val="00017EFA"/>
    <w:rsid w:val="00021326"/>
    <w:rsid w:val="000215DF"/>
    <w:rsid w:val="00021916"/>
    <w:rsid w:val="000223E5"/>
    <w:rsid w:val="00022582"/>
    <w:rsid w:val="00023527"/>
    <w:rsid w:val="00023B23"/>
    <w:rsid w:val="00023C7A"/>
    <w:rsid w:val="00023F1A"/>
    <w:rsid w:val="00026E85"/>
    <w:rsid w:val="0002789C"/>
    <w:rsid w:val="000279CD"/>
    <w:rsid w:val="00027CB5"/>
    <w:rsid w:val="00027DAB"/>
    <w:rsid w:val="00027DE5"/>
    <w:rsid w:val="000311F4"/>
    <w:rsid w:val="0003154A"/>
    <w:rsid w:val="00031E53"/>
    <w:rsid w:val="00032703"/>
    <w:rsid w:val="00032E57"/>
    <w:rsid w:val="000338CC"/>
    <w:rsid w:val="0003565B"/>
    <w:rsid w:val="00035B81"/>
    <w:rsid w:val="00035CAB"/>
    <w:rsid w:val="00036501"/>
    <w:rsid w:val="00036B1F"/>
    <w:rsid w:val="00036ED1"/>
    <w:rsid w:val="00037C77"/>
    <w:rsid w:val="000406D5"/>
    <w:rsid w:val="00041709"/>
    <w:rsid w:val="00042000"/>
    <w:rsid w:val="00044621"/>
    <w:rsid w:val="000453C9"/>
    <w:rsid w:val="000459FB"/>
    <w:rsid w:val="0004704D"/>
    <w:rsid w:val="00050222"/>
    <w:rsid w:val="000513EC"/>
    <w:rsid w:val="00051C04"/>
    <w:rsid w:val="00051C9B"/>
    <w:rsid w:val="000525B4"/>
    <w:rsid w:val="00052F02"/>
    <w:rsid w:val="00053604"/>
    <w:rsid w:val="0005382A"/>
    <w:rsid w:val="00054691"/>
    <w:rsid w:val="00054B59"/>
    <w:rsid w:val="00056286"/>
    <w:rsid w:val="0005691E"/>
    <w:rsid w:val="00056C04"/>
    <w:rsid w:val="00056E1E"/>
    <w:rsid w:val="00057B27"/>
    <w:rsid w:val="0006133B"/>
    <w:rsid w:val="0006268B"/>
    <w:rsid w:val="000626CB"/>
    <w:rsid w:val="00062BF8"/>
    <w:rsid w:val="00062CC1"/>
    <w:rsid w:val="0006302E"/>
    <w:rsid w:val="000632BD"/>
    <w:rsid w:val="00063E2A"/>
    <w:rsid w:val="00064FF4"/>
    <w:rsid w:val="000673C4"/>
    <w:rsid w:val="000673ED"/>
    <w:rsid w:val="000677B3"/>
    <w:rsid w:val="00067C73"/>
    <w:rsid w:val="00067D52"/>
    <w:rsid w:val="00070D08"/>
    <w:rsid w:val="00070EAD"/>
    <w:rsid w:val="00071C8E"/>
    <w:rsid w:val="00072340"/>
    <w:rsid w:val="00072DF0"/>
    <w:rsid w:val="000735DC"/>
    <w:rsid w:val="00073F74"/>
    <w:rsid w:val="00074FE7"/>
    <w:rsid w:val="00075173"/>
    <w:rsid w:val="000752C2"/>
    <w:rsid w:val="00076E6E"/>
    <w:rsid w:val="000776D1"/>
    <w:rsid w:val="00077AE9"/>
    <w:rsid w:val="00080715"/>
    <w:rsid w:val="000815B0"/>
    <w:rsid w:val="00081BBE"/>
    <w:rsid w:val="000839CA"/>
    <w:rsid w:val="000851CB"/>
    <w:rsid w:val="00085327"/>
    <w:rsid w:val="000868B4"/>
    <w:rsid w:val="00087900"/>
    <w:rsid w:val="00091051"/>
    <w:rsid w:val="0009122C"/>
    <w:rsid w:val="00092C6D"/>
    <w:rsid w:val="00094DCA"/>
    <w:rsid w:val="00094DDC"/>
    <w:rsid w:val="0009643C"/>
    <w:rsid w:val="00096600"/>
    <w:rsid w:val="00096E36"/>
    <w:rsid w:val="000A00F9"/>
    <w:rsid w:val="000A0F86"/>
    <w:rsid w:val="000A1185"/>
    <w:rsid w:val="000A1296"/>
    <w:rsid w:val="000A1B66"/>
    <w:rsid w:val="000A213B"/>
    <w:rsid w:val="000A29CF"/>
    <w:rsid w:val="000A310E"/>
    <w:rsid w:val="000A386E"/>
    <w:rsid w:val="000A4093"/>
    <w:rsid w:val="000A4E73"/>
    <w:rsid w:val="000A6A09"/>
    <w:rsid w:val="000A6E8C"/>
    <w:rsid w:val="000B03F5"/>
    <w:rsid w:val="000B0A33"/>
    <w:rsid w:val="000B1529"/>
    <w:rsid w:val="000B1AEA"/>
    <w:rsid w:val="000B1B12"/>
    <w:rsid w:val="000B1B31"/>
    <w:rsid w:val="000B23C5"/>
    <w:rsid w:val="000B3BC5"/>
    <w:rsid w:val="000B3F5A"/>
    <w:rsid w:val="000B4D56"/>
    <w:rsid w:val="000B4D7C"/>
    <w:rsid w:val="000B5330"/>
    <w:rsid w:val="000B54B2"/>
    <w:rsid w:val="000C14F6"/>
    <w:rsid w:val="000C2750"/>
    <w:rsid w:val="000C3B72"/>
    <w:rsid w:val="000C5FBF"/>
    <w:rsid w:val="000C62DA"/>
    <w:rsid w:val="000C666B"/>
    <w:rsid w:val="000C6FEE"/>
    <w:rsid w:val="000C706F"/>
    <w:rsid w:val="000D0A68"/>
    <w:rsid w:val="000D2128"/>
    <w:rsid w:val="000D24E2"/>
    <w:rsid w:val="000D32DA"/>
    <w:rsid w:val="000D37A1"/>
    <w:rsid w:val="000D5D9A"/>
    <w:rsid w:val="000D5E90"/>
    <w:rsid w:val="000D5EC5"/>
    <w:rsid w:val="000D6145"/>
    <w:rsid w:val="000D6370"/>
    <w:rsid w:val="000D69CD"/>
    <w:rsid w:val="000E1EC3"/>
    <w:rsid w:val="000E24F6"/>
    <w:rsid w:val="000E297B"/>
    <w:rsid w:val="000E2BDC"/>
    <w:rsid w:val="000E2C8D"/>
    <w:rsid w:val="000E421D"/>
    <w:rsid w:val="000E4A18"/>
    <w:rsid w:val="000E4F38"/>
    <w:rsid w:val="000E6748"/>
    <w:rsid w:val="000F05F6"/>
    <w:rsid w:val="000F221D"/>
    <w:rsid w:val="000F222D"/>
    <w:rsid w:val="000F2DB5"/>
    <w:rsid w:val="000F3BA3"/>
    <w:rsid w:val="000F4535"/>
    <w:rsid w:val="000F4AF5"/>
    <w:rsid w:val="000F72FE"/>
    <w:rsid w:val="000F783D"/>
    <w:rsid w:val="000F79FD"/>
    <w:rsid w:val="00100305"/>
    <w:rsid w:val="00100BED"/>
    <w:rsid w:val="00101C60"/>
    <w:rsid w:val="00103C8C"/>
    <w:rsid w:val="0010441D"/>
    <w:rsid w:val="00104492"/>
    <w:rsid w:val="00104EC8"/>
    <w:rsid w:val="00105910"/>
    <w:rsid w:val="001071D6"/>
    <w:rsid w:val="00110045"/>
    <w:rsid w:val="001105E3"/>
    <w:rsid w:val="0011127F"/>
    <w:rsid w:val="001121C9"/>
    <w:rsid w:val="00113457"/>
    <w:rsid w:val="00114748"/>
    <w:rsid w:val="001147E1"/>
    <w:rsid w:val="0011632E"/>
    <w:rsid w:val="001176F4"/>
    <w:rsid w:val="0011793B"/>
    <w:rsid w:val="00117D2C"/>
    <w:rsid w:val="00121391"/>
    <w:rsid w:val="0012181D"/>
    <w:rsid w:val="00121C7B"/>
    <w:rsid w:val="001222A2"/>
    <w:rsid w:val="00123111"/>
    <w:rsid w:val="00124E1A"/>
    <w:rsid w:val="00125631"/>
    <w:rsid w:val="00125EAA"/>
    <w:rsid w:val="00127643"/>
    <w:rsid w:val="0013012B"/>
    <w:rsid w:val="001303E7"/>
    <w:rsid w:val="0013053C"/>
    <w:rsid w:val="00131767"/>
    <w:rsid w:val="00131A81"/>
    <w:rsid w:val="00132482"/>
    <w:rsid w:val="00132C60"/>
    <w:rsid w:val="00133C97"/>
    <w:rsid w:val="00134FC7"/>
    <w:rsid w:val="001351C3"/>
    <w:rsid w:val="00135A1C"/>
    <w:rsid w:val="00135BE5"/>
    <w:rsid w:val="00136222"/>
    <w:rsid w:val="00136C91"/>
    <w:rsid w:val="001372EF"/>
    <w:rsid w:val="001374B6"/>
    <w:rsid w:val="00137E50"/>
    <w:rsid w:val="00141222"/>
    <w:rsid w:val="00141A7C"/>
    <w:rsid w:val="00143431"/>
    <w:rsid w:val="001436DA"/>
    <w:rsid w:val="00144641"/>
    <w:rsid w:val="00144DE8"/>
    <w:rsid w:val="00144ECE"/>
    <w:rsid w:val="0014512A"/>
    <w:rsid w:val="0014565D"/>
    <w:rsid w:val="00145E86"/>
    <w:rsid w:val="00147EC4"/>
    <w:rsid w:val="00151ABA"/>
    <w:rsid w:val="00151E20"/>
    <w:rsid w:val="00152E31"/>
    <w:rsid w:val="00152FC8"/>
    <w:rsid w:val="00153E9E"/>
    <w:rsid w:val="001544C7"/>
    <w:rsid w:val="00155792"/>
    <w:rsid w:val="00156474"/>
    <w:rsid w:val="00157654"/>
    <w:rsid w:val="00160B1A"/>
    <w:rsid w:val="001610EA"/>
    <w:rsid w:val="00161E2B"/>
    <w:rsid w:val="0016208A"/>
    <w:rsid w:val="001621A5"/>
    <w:rsid w:val="00162666"/>
    <w:rsid w:val="001662A4"/>
    <w:rsid w:val="0017060B"/>
    <w:rsid w:val="00170A67"/>
    <w:rsid w:val="001714FC"/>
    <w:rsid w:val="0017182B"/>
    <w:rsid w:val="00171E58"/>
    <w:rsid w:val="00172040"/>
    <w:rsid w:val="00172142"/>
    <w:rsid w:val="001721B7"/>
    <w:rsid w:val="0017339C"/>
    <w:rsid w:val="0017492A"/>
    <w:rsid w:val="0017537F"/>
    <w:rsid w:val="00175D56"/>
    <w:rsid w:val="00176FB6"/>
    <w:rsid w:val="0017747B"/>
    <w:rsid w:val="001776CC"/>
    <w:rsid w:val="00177DC2"/>
    <w:rsid w:val="00180A0F"/>
    <w:rsid w:val="00182A0E"/>
    <w:rsid w:val="00184124"/>
    <w:rsid w:val="001848B8"/>
    <w:rsid w:val="00184F1C"/>
    <w:rsid w:val="001851D7"/>
    <w:rsid w:val="001853EB"/>
    <w:rsid w:val="0019005E"/>
    <w:rsid w:val="00190B3F"/>
    <w:rsid w:val="00190B5D"/>
    <w:rsid w:val="00190C33"/>
    <w:rsid w:val="00191095"/>
    <w:rsid w:val="001920FB"/>
    <w:rsid w:val="00193FA1"/>
    <w:rsid w:val="00194685"/>
    <w:rsid w:val="00194C6D"/>
    <w:rsid w:val="001953A8"/>
    <w:rsid w:val="00195DF5"/>
    <w:rsid w:val="00196918"/>
    <w:rsid w:val="0019697E"/>
    <w:rsid w:val="00197362"/>
    <w:rsid w:val="001A0AAD"/>
    <w:rsid w:val="001A0AB8"/>
    <w:rsid w:val="001A0B34"/>
    <w:rsid w:val="001A1115"/>
    <w:rsid w:val="001A16BB"/>
    <w:rsid w:val="001A29F0"/>
    <w:rsid w:val="001A2A5E"/>
    <w:rsid w:val="001A3979"/>
    <w:rsid w:val="001A3F8D"/>
    <w:rsid w:val="001A59C8"/>
    <w:rsid w:val="001A700D"/>
    <w:rsid w:val="001B029E"/>
    <w:rsid w:val="001B061A"/>
    <w:rsid w:val="001B09C3"/>
    <w:rsid w:val="001B2112"/>
    <w:rsid w:val="001B257A"/>
    <w:rsid w:val="001B2D22"/>
    <w:rsid w:val="001B4B31"/>
    <w:rsid w:val="001B589E"/>
    <w:rsid w:val="001B59B1"/>
    <w:rsid w:val="001B680E"/>
    <w:rsid w:val="001B6A2A"/>
    <w:rsid w:val="001B6FE3"/>
    <w:rsid w:val="001B748D"/>
    <w:rsid w:val="001C0E55"/>
    <w:rsid w:val="001C1322"/>
    <w:rsid w:val="001C1977"/>
    <w:rsid w:val="001C1CD7"/>
    <w:rsid w:val="001C27B3"/>
    <w:rsid w:val="001C3B3F"/>
    <w:rsid w:val="001C3B97"/>
    <w:rsid w:val="001C4C10"/>
    <w:rsid w:val="001C5102"/>
    <w:rsid w:val="001C604C"/>
    <w:rsid w:val="001C6C36"/>
    <w:rsid w:val="001C6F38"/>
    <w:rsid w:val="001C73C7"/>
    <w:rsid w:val="001C7A24"/>
    <w:rsid w:val="001D096F"/>
    <w:rsid w:val="001D0ACA"/>
    <w:rsid w:val="001D0D28"/>
    <w:rsid w:val="001D0F70"/>
    <w:rsid w:val="001D2279"/>
    <w:rsid w:val="001D2B29"/>
    <w:rsid w:val="001D4350"/>
    <w:rsid w:val="001D5599"/>
    <w:rsid w:val="001D6506"/>
    <w:rsid w:val="001D670A"/>
    <w:rsid w:val="001D6B38"/>
    <w:rsid w:val="001D7611"/>
    <w:rsid w:val="001D7EF0"/>
    <w:rsid w:val="001E0883"/>
    <w:rsid w:val="001E0A29"/>
    <w:rsid w:val="001E1307"/>
    <w:rsid w:val="001E23C3"/>
    <w:rsid w:val="001E3338"/>
    <w:rsid w:val="001E4394"/>
    <w:rsid w:val="001E5631"/>
    <w:rsid w:val="001E5A01"/>
    <w:rsid w:val="001E5D0E"/>
    <w:rsid w:val="001E6096"/>
    <w:rsid w:val="001F0C5C"/>
    <w:rsid w:val="001F1CD8"/>
    <w:rsid w:val="001F329E"/>
    <w:rsid w:val="001F3377"/>
    <w:rsid w:val="001F50BA"/>
    <w:rsid w:val="001F53BA"/>
    <w:rsid w:val="0020087E"/>
    <w:rsid w:val="00200A0B"/>
    <w:rsid w:val="002013A8"/>
    <w:rsid w:val="00201EE1"/>
    <w:rsid w:val="002026D2"/>
    <w:rsid w:val="00202FA4"/>
    <w:rsid w:val="002034A9"/>
    <w:rsid w:val="00204602"/>
    <w:rsid w:val="002048FA"/>
    <w:rsid w:val="00205F67"/>
    <w:rsid w:val="00206A28"/>
    <w:rsid w:val="00206BEF"/>
    <w:rsid w:val="002070EE"/>
    <w:rsid w:val="00210AC9"/>
    <w:rsid w:val="0021118E"/>
    <w:rsid w:val="00211282"/>
    <w:rsid w:val="002132C3"/>
    <w:rsid w:val="0021394C"/>
    <w:rsid w:val="0021483C"/>
    <w:rsid w:val="0021570E"/>
    <w:rsid w:val="00215B14"/>
    <w:rsid w:val="00216C25"/>
    <w:rsid w:val="00217D58"/>
    <w:rsid w:val="00220547"/>
    <w:rsid w:val="0022087B"/>
    <w:rsid w:val="002230B3"/>
    <w:rsid w:val="00223705"/>
    <w:rsid w:val="00223D53"/>
    <w:rsid w:val="002242BA"/>
    <w:rsid w:val="002242F9"/>
    <w:rsid w:val="002243B8"/>
    <w:rsid w:val="00224673"/>
    <w:rsid w:val="00224A1B"/>
    <w:rsid w:val="00224B58"/>
    <w:rsid w:val="00224C3F"/>
    <w:rsid w:val="0022583E"/>
    <w:rsid w:val="002259AF"/>
    <w:rsid w:val="00225AB3"/>
    <w:rsid w:val="00226471"/>
    <w:rsid w:val="002270A0"/>
    <w:rsid w:val="002274CD"/>
    <w:rsid w:val="00227D58"/>
    <w:rsid w:val="0023228F"/>
    <w:rsid w:val="002332F8"/>
    <w:rsid w:val="00233593"/>
    <w:rsid w:val="00234627"/>
    <w:rsid w:val="00236D77"/>
    <w:rsid w:val="00236F21"/>
    <w:rsid w:val="00236FB0"/>
    <w:rsid w:val="002374FE"/>
    <w:rsid w:val="00237C1F"/>
    <w:rsid w:val="00237C36"/>
    <w:rsid w:val="002408F0"/>
    <w:rsid w:val="00240A47"/>
    <w:rsid w:val="00240CE3"/>
    <w:rsid w:val="00240F49"/>
    <w:rsid w:val="00241CAD"/>
    <w:rsid w:val="002439E3"/>
    <w:rsid w:val="0024403D"/>
    <w:rsid w:val="002443EA"/>
    <w:rsid w:val="0024463E"/>
    <w:rsid w:val="002449B6"/>
    <w:rsid w:val="0024627A"/>
    <w:rsid w:val="00246392"/>
    <w:rsid w:val="00247D47"/>
    <w:rsid w:val="0025028D"/>
    <w:rsid w:val="00250E03"/>
    <w:rsid w:val="00251198"/>
    <w:rsid w:val="002516D0"/>
    <w:rsid w:val="00252125"/>
    <w:rsid w:val="002524A0"/>
    <w:rsid w:val="00252B9F"/>
    <w:rsid w:val="0025307D"/>
    <w:rsid w:val="002538F5"/>
    <w:rsid w:val="0025429E"/>
    <w:rsid w:val="00254454"/>
    <w:rsid w:val="00254BFC"/>
    <w:rsid w:val="00256442"/>
    <w:rsid w:val="00260228"/>
    <w:rsid w:val="002608BC"/>
    <w:rsid w:val="00262D7A"/>
    <w:rsid w:val="00263457"/>
    <w:rsid w:val="0026383D"/>
    <w:rsid w:val="00264CFC"/>
    <w:rsid w:val="0026527F"/>
    <w:rsid w:val="00266F14"/>
    <w:rsid w:val="002677ED"/>
    <w:rsid w:val="00270B82"/>
    <w:rsid w:val="002724F6"/>
    <w:rsid w:val="00272AAF"/>
    <w:rsid w:val="00273367"/>
    <w:rsid w:val="00273466"/>
    <w:rsid w:val="00273C05"/>
    <w:rsid w:val="00274C85"/>
    <w:rsid w:val="002755CC"/>
    <w:rsid w:val="00275DC5"/>
    <w:rsid w:val="00275DE5"/>
    <w:rsid w:val="00276FF5"/>
    <w:rsid w:val="00277582"/>
    <w:rsid w:val="00277684"/>
    <w:rsid w:val="0027799E"/>
    <w:rsid w:val="00280898"/>
    <w:rsid w:val="00280C89"/>
    <w:rsid w:val="002811FD"/>
    <w:rsid w:val="00281D1D"/>
    <w:rsid w:val="002826DB"/>
    <w:rsid w:val="002826FF"/>
    <w:rsid w:val="00286063"/>
    <w:rsid w:val="002864CD"/>
    <w:rsid w:val="00286D8B"/>
    <w:rsid w:val="00290283"/>
    <w:rsid w:val="00290FDA"/>
    <w:rsid w:val="002910C4"/>
    <w:rsid w:val="00291EDB"/>
    <w:rsid w:val="00292E6F"/>
    <w:rsid w:val="00293134"/>
    <w:rsid w:val="00294EE0"/>
    <w:rsid w:val="002955A4"/>
    <w:rsid w:val="002A012F"/>
    <w:rsid w:val="002A0188"/>
    <w:rsid w:val="002A244E"/>
    <w:rsid w:val="002A2533"/>
    <w:rsid w:val="002A2A2C"/>
    <w:rsid w:val="002A3237"/>
    <w:rsid w:val="002A3358"/>
    <w:rsid w:val="002A34FD"/>
    <w:rsid w:val="002A3877"/>
    <w:rsid w:val="002A3E19"/>
    <w:rsid w:val="002A4AAD"/>
    <w:rsid w:val="002A4F91"/>
    <w:rsid w:val="002A541C"/>
    <w:rsid w:val="002A5AC7"/>
    <w:rsid w:val="002A5E3A"/>
    <w:rsid w:val="002A746B"/>
    <w:rsid w:val="002A7940"/>
    <w:rsid w:val="002B13C4"/>
    <w:rsid w:val="002B143E"/>
    <w:rsid w:val="002B17F1"/>
    <w:rsid w:val="002B319E"/>
    <w:rsid w:val="002B3E3D"/>
    <w:rsid w:val="002B3E69"/>
    <w:rsid w:val="002B3EBA"/>
    <w:rsid w:val="002B4B5C"/>
    <w:rsid w:val="002B4DDC"/>
    <w:rsid w:val="002B5184"/>
    <w:rsid w:val="002B6FB1"/>
    <w:rsid w:val="002B71EA"/>
    <w:rsid w:val="002C0BD2"/>
    <w:rsid w:val="002C1DFD"/>
    <w:rsid w:val="002C34C2"/>
    <w:rsid w:val="002C3A3D"/>
    <w:rsid w:val="002C3AF1"/>
    <w:rsid w:val="002C4486"/>
    <w:rsid w:val="002C44FD"/>
    <w:rsid w:val="002C6286"/>
    <w:rsid w:val="002C748A"/>
    <w:rsid w:val="002C7BD8"/>
    <w:rsid w:val="002D011A"/>
    <w:rsid w:val="002D0DF7"/>
    <w:rsid w:val="002D1865"/>
    <w:rsid w:val="002D213C"/>
    <w:rsid w:val="002D2BFC"/>
    <w:rsid w:val="002D319C"/>
    <w:rsid w:val="002D3352"/>
    <w:rsid w:val="002D35E2"/>
    <w:rsid w:val="002D44DC"/>
    <w:rsid w:val="002D46C4"/>
    <w:rsid w:val="002D4E49"/>
    <w:rsid w:val="002D6218"/>
    <w:rsid w:val="002E0FC5"/>
    <w:rsid w:val="002E10DC"/>
    <w:rsid w:val="002E12DC"/>
    <w:rsid w:val="002E2540"/>
    <w:rsid w:val="002E2E0C"/>
    <w:rsid w:val="002E323E"/>
    <w:rsid w:val="002E4BE7"/>
    <w:rsid w:val="002E4CD0"/>
    <w:rsid w:val="002E4D2D"/>
    <w:rsid w:val="002E5450"/>
    <w:rsid w:val="002E5D65"/>
    <w:rsid w:val="002E5F6A"/>
    <w:rsid w:val="002E7BCC"/>
    <w:rsid w:val="002F079A"/>
    <w:rsid w:val="002F13E6"/>
    <w:rsid w:val="002F16A0"/>
    <w:rsid w:val="002F17E3"/>
    <w:rsid w:val="002F1B01"/>
    <w:rsid w:val="002F1F12"/>
    <w:rsid w:val="002F2BFF"/>
    <w:rsid w:val="002F3281"/>
    <w:rsid w:val="002F3B5D"/>
    <w:rsid w:val="002F402D"/>
    <w:rsid w:val="002F42E1"/>
    <w:rsid w:val="002F4413"/>
    <w:rsid w:val="002F49F9"/>
    <w:rsid w:val="002F4EF8"/>
    <w:rsid w:val="002F64BF"/>
    <w:rsid w:val="002F6653"/>
    <w:rsid w:val="002F6814"/>
    <w:rsid w:val="002F7070"/>
    <w:rsid w:val="002F75C7"/>
    <w:rsid w:val="003026A7"/>
    <w:rsid w:val="00302D9D"/>
    <w:rsid w:val="00303063"/>
    <w:rsid w:val="003031C9"/>
    <w:rsid w:val="003043D3"/>
    <w:rsid w:val="003047B2"/>
    <w:rsid w:val="00304D44"/>
    <w:rsid w:val="003063D1"/>
    <w:rsid w:val="003063F0"/>
    <w:rsid w:val="00307153"/>
    <w:rsid w:val="00307C22"/>
    <w:rsid w:val="0031044A"/>
    <w:rsid w:val="00311C5F"/>
    <w:rsid w:val="00311FE8"/>
    <w:rsid w:val="00312582"/>
    <w:rsid w:val="00312839"/>
    <w:rsid w:val="0031358A"/>
    <w:rsid w:val="003136E5"/>
    <w:rsid w:val="00313726"/>
    <w:rsid w:val="003148C1"/>
    <w:rsid w:val="0031696C"/>
    <w:rsid w:val="00316DB0"/>
    <w:rsid w:val="003176D0"/>
    <w:rsid w:val="0032151F"/>
    <w:rsid w:val="0032169E"/>
    <w:rsid w:val="00323546"/>
    <w:rsid w:val="00324055"/>
    <w:rsid w:val="003244D4"/>
    <w:rsid w:val="003248A9"/>
    <w:rsid w:val="00326638"/>
    <w:rsid w:val="00326D4D"/>
    <w:rsid w:val="003276A4"/>
    <w:rsid w:val="00330289"/>
    <w:rsid w:val="0033078C"/>
    <w:rsid w:val="003308B7"/>
    <w:rsid w:val="00332280"/>
    <w:rsid w:val="00332B5D"/>
    <w:rsid w:val="00334077"/>
    <w:rsid w:val="00334996"/>
    <w:rsid w:val="003358E2"/>
    <w:rsid w:val="00335CA2"/>
    <w:rsid w:val="003366BD"/>
    <w:rsid w:val="003372C5"/>
    <w:rsid w:val="00337623"/>
    <w:rsid w:val="00344E92"/>
    <w:rsid w:val="003459D1"/>
    <w:rsid w:val="00346341"/>
    <w:rsid w:val="003504BF"/>
    <w:rsid w:val="00350D7B"/>
    <w:rsid w:val="00353792"/>
    <w:rsid w:val="00354422"/>
    <w:rsid w:val="00356860"/>
    <w:rsid w:val="00357F23"/>
    <w:rsid w:val="0036079C"/>
    <w:rsid w:val="00360E93"/>
    <w:rsid w:val="003613BF"/>
    <w:rsid w:val="003618F2"/>
    <w:rsid w:val="00362256"/>
    <w:rsid w:val="003623C7"/>
    <w:rsid w:val="00362493"/>
    <w:rsid w:val="00363107"/>
    <w:rsid w:val="00363166"/>
    <w:rsid w:val="003632D5"/>
    <w:rsid w:val="0036413C"/>
    <w:rsid w:val="003659DB"/>
    <w:rsid w:val="003664D0"/>
    <w:rsid w:val="003667A8"/>
    <w:rsid w:val="00367BE5"/>
    <w:rsid w:val="00370025"/>
    <w:rsid w:val="00371872"/>
    <w:rsid w:val="003723D6"/>
    <w:rsid w:val="00372F92"/>
    <w:rsid w:val="0037335C"/>
    <w:rsid w:val="00373BA2"/>
    <w:rsid w:val="00374215"/>
    <w:rsid w:val="003754C4"/>
    <w:rsid w:val="00376E8B"/>
    <w:rsid w:val="003771EC"/>
    <w:rsid w:val="00381B4A"/>
    <w:rsid w:val="00381D57"/>
    <w:rsid w:val="003827EF"/>
    <w:rsid w:val="00382D66"/>
    <w:rsid w:val="00382F17"/>
    <w:rsid w:val="003835CE"/>
    <w:rsid w:val="003850C5"/>
    <w:rsid w:val="00385A6F"/>
    <w:rsid w:val="00385ADE"/>
    <w:rsid w:val="00387B72"/>
    <w:rsid w:val="00390690"/>
    <w:rsid w:val="00390B21"/>
    <w:rsid w:val="00391470"/>
    <w:rsid w:val="0039148E"/>
    <w:rsid w:val="0039250F"/>
    <w:rsid w:val="00393BF7"/>
    <w:rsid w:val="00397809"/>
    <w:rsid w:val="003A0831"/>
    <w:rsid w:val="003A0CBC"/>
    <w:rsid w:val="003A0DF7"/>
    <w:rsid w:val="003A3499"/>
    <w:rsid w:val="003A3E91"/>
    <w:rsid w:val="003A41A5"/>
    <w:rsid w:val="003A5E7E"/>
    <w:rsid w:val="003A5EA2"/>
    <w:rsid w:val="003A7D3D"/>
    <w:rsid w:val="003B2EC1"/>
    <w:rsid w:val="003B45E8"/>
    <w:rsid w:val="003B4EC2"/>
    <w:rsid w:val="003B579E"/>
    <w:rsid w:val="003B5D88"/>
    <w:rsid w:val="003B615D"/>
    <w:rsid w:val="003B65CB"/>
    <w:rsid w:val="003B680A"/>
    <w:rsid w:val="003C0E22"/>
    <w:rsid w:val="003C0F65"/>
    <w:rsid w:val="003C1AD6"/>
    <w:rsid w:val="003C2D32"/>
    <w:rsid w:val="003C2F4D"/>
    <w:rsid w:val="003C33FF"/>
    <w:rsid w:val="003C3B96"/>
    <w:rsid w:val="003C3CF9"/>
    <w:rsid w:val="003C456C"/>
    <w:rsid w:val="003C5BF6"/>
    <w:rsid w:val="003C5D9D"/>
    <w:rsid w:val="003C7656"/>
    <w:rsid w:val="003C79F8"/>
    <w:rsid w:val="003D07FF"/>
    <w:rsid w:val="003D084A"/>
    <w:rsid w:val="003D0AD7"/>
    <w:rsid w:val="003D1653"/>
    <w:rsid w:val="003D2D42"/>
    <w:rsid w:val="003D307D"/>
    <w:rsid w:val="003D34E2"/>
    <w:rsid w:val="003D3B3E"/>
    <w:rsid w:val="003D3FBA"/>
    <w:rsid w:val="003D3FE5"/>
    <w:rsid w:val="003D453D"/>
    <w:rsid w:val="003D4DC4"/>
    <w:rsid w:val="003D7041"/>
    <w:rsid w:val="003E0380"/>
    <w:rsid w:val="003E3ED1"/>
    <w:rsid w:val="003E3ED2"/>
    <w:rsid w:val="003E4153"/>
    <w:rsid w:val="003E4231"/>
    <w:rsid w:val="003E4C32"/>
    <w:rsid w:val="003E6E05"/>
    <w:rsid w:val="003E75C5"/>
    <w:rsid w:val="003E7609"/>
    <w:rsid w:val="003E7D62"/>
    <w:rsid w:val="003E7DD5"/>
    <w:rsid w:val="003F0094"/>
    <w:rsid w:val="003F0A55"/>
    <w:rsid w:val="003F0C7F"/>
    <w:rsid w:val="003F1189"/>
    <w:rsid w:val="003F14B7"/>
    <w:rsid w:val="003F3065"/>
    <w:rsid w:val="003F30AC"/>
    <w:rsid w:val="003F323E"/>
    <w:rsid w:val="003F3A1A"/>
    <w:rsid w:val="003F3B0A"/>
    <w:rsid w:val="003F663A"/>
    <w:rsid w:val="003F67D0"/>
    <w:rsid w:val="003F77C4"/>
    <w:rsid w:val="00400901"/>
    <w:rsid w:val="00401404"/>
    <w:rsid w:val="00401592"/>
    <w:rsid w:val="00401FDC"/>
    <w:rsid w:val="00402098"/>
    <w:rsid w:val="00402281"/>
    <w:rsid w:val="0040237B"/>
    <w:rsid w:val="00402BE4"/>
    <w:rsid w:val="004037B7"/>
    <w:rsid w:val="004042B3"/>
    <w:rsid w:val="0040451C"/>
    <w:rsid w:val="0040475D"/>
    <w:rsid w:val="00405566"/>
    <w:rsid w:val="004060F4"/>
    <w:rsid w:val="004067D7"/>
    <w:rsid w:val="0041082A"/>
    <w:rsid w:val="00410CB9"/>
    <w:rsid w:val="004127CD"/>
    <w:rsid w:val="004142B0"/>
    <w:rsid w:val="004158D1"/>
    <w:rsid w:val="00416C7B"/>
    <w:rsid w:val="0041732D"/>
    <w:rsid w:val="00422538"/>
    <w:rsid w:val="00422CE1"/>
    <w:rsid w:val="00423BAA"/>
    <w:rsid w:val="00424B12"/>
    <w:rsid w:val="00426392"/>
    <w:rsid w:val="00427552"/>
    <w:rsid w:val="00427E48"/>
    <w:rsid w:val="004311AD"/>
    <w:rsid w:val="004320E7"/>
    <w:rsid w:val="0043301B"/>
    <w:rsid w:val="00433CA2"/>
    <w:rsid w:val="00433F4B"/>
    <w:rsid w:val="0043404C"/>
    <w:rsid w:val="0043451B"/>
    <w:rsid w:val="00434BD5"/>
    <w:rsid w:val="00435CBF"/>
    <w:rsid w:val="004360FB"/>
    <w:rsid w:val="0043764A"/>
    <w:rsid w:val="0044041A"/>
    <w:rsid w:val="004404D6"/>
    <w:rsid w:val="0044074B"/>
    <w:rsid w:val="00441BC1"/>
    <w:rsid w:val="00441EB4"/>
    <w:rsid w:val="00442A12"/>
    <w:rsid w:val="00442AB5"/>
    <w:rsid w:val="004436E7"/>
    <w:rsid w:val="00445F18"/>
    <w:rsid w:val="00446409"/>
    <w:rsid w:val="004469B5"/>
    <w:rsid w:val="00446B9F"/>
    <w:rsid w:val="00446E07"/>
    <w:rsid w:val="00447064"/>
    <w:rsid w:val="004473B8"/>
    <w:rsid w:val="004502BF"/>
    <w:rsid w:val="0045084C"/>
    <w:rsid w:val="00450B4B"/>
    <w:rsid w:val="00450EB8"/>
    <w:rsid w:val="004526F3"/>
    <w:rsid w:val="004530C3"/>
    <w:rsid w:val="00453325"/>
    <w:rsid w:val="004535BC"/>
    <w:rsid w:val="004540A7"/>
    <w:rsid w:val="00454F4E"/>
    <w:rsid w:val="004563BA"/>
    <w:rsid w:val="00456406"/>
    <w:rsid w:val="00460395"/>
    <w:rsid w:val="0046084C"/>
    <w:rsid w:val="004614B9"/>
    <w:rsid w:val="0046156A"/>
    <w:rsid w:val="00463005"/>
    <w:rsid w:val="00463823"/>
    <w:rsid w:val="0046401C"/>
    <w:rsid w:val="004678E6"/>
    <w:rsid w:val="00467C63"/>
    <w:rsid w:val="004701C0"/>
    <w:rsid w:val="0047049F"/>
    <w:rsid w:val="00470C62"/>
    <w:rsid w:val="0047187A"/>
    <w:rsid w:val="004718AE"/>
    <w:rsid w:val="00472F05"/>
    <w:rsid w:val="004736D5"/>
    <w:rsid w:val="00473C11"/>
    <w:rsid w:val="00474494"/>
    <w:rsid w:val="00481339"/>
    <w:rsid w:val="00482922"/>
    <w:rsid w:val="00482B99"/>
    <w:rsid w:val="00483AEA"/>
    <w:rsid w:val="00483CAF"/>
    <w:rsid w:val="004859A0"/>
    <w:rsid w:val="0048625A"/>
    <w:rsid w:val="00486502"/>
    <w:rsid w:val="00486CB8"/>
    <w:rsid w:val="00487BC1"/>
    <w:rsid w:val="0049031D"/>
    <w:rsid w:val="00490BA5"/>
    <w:rsid w:val="00492507"/>
    <w:rsid w:val="00492B43"/>
    <w:rsid w:val="00492E97"/>
    <w:rsid w:val="00493350"/>
    <w:rsid w:val="00493974"/>
    <w:rsid w:val="00494551"/>
    <w:rsid w:val="0049550D"/>
    <w:rsid w:val="004961AD"/>
    <w:rsid w:val="004966D1"/>
    <w:rsid w:val="00496CD2"/>
    <w:rsid w:val="004971F5"/>
    <w:rsid w:val="004979CB"/>
    <w:rsid w:val="00497C93"/>
    <w:rsid w:val="00497EFF"/>
    <w:rsid w:val="004A0834"/>
    <w:rsid w:val="004A1B23"/>
    <w:rsid w:val="004A31C4"/>
    <w:rsid w:val="004A388E"/>
    <w:rsid w:val="004A423E"/>
    <w:rsid w:val="004A4C67"/>
    <w:rsid w:val="004A6995"/>
    <w:rsid w:val="004B1646"/>
    <w:rsid w:val="004B1948"/>
    <w:rsid w:val="004B1FE6"/>
    <w:rsid w:val="004B22DB"/>
    <w:rsid w:val="004B2673"/>
    <w:rsid w:val="004B28E2"/>
    <w:rsid w:val="004B2AC1"/>
    <w:rsid w:val="004B30CD"/>
    <w:rsid w:val="004B3258"/>
    <w:rsid w:val="004B4BB1"/>
    <w:rsid w:val="004B604D"/>
    <w:rsid w:val="004B64FC"/>
    <w:rsid w:val="004B66A7"/>
    <w:rsid w:val="004B7B3D"/>
    <w:rsid w:val="004C03AB"/>
    <w:rsid w:val="004C0EAF"/>
    <w:rsid w:val="004C1589"/>
    <w:rsid w:val="004C1919"/>
    <w:rsid w:val="004C1B5C"/>
    <w:rsid w:val="004C24BC"/>
    <w:rsid w:val="004C35D5"/>
    <w:rsid w:val="004C382D"/>
    <w:rsid w:val="004C4BEF"/>
    <w:rsid w:val="004C6176"/>
    <w:rsid w:val="004C6408"/>
    <w:rsid w:val="004C676D"/>
    <w:rsid w:val="004D1463"/>
    <w:rsid w:val="004D1A8D"/>
    <w:rsid w:val="004D298C"/>
    <w:rsid w:val="004D2F66"/>
    <w:rsid w:val="004D3262"/>
    <w:rsid w:val="004D39E5"/>
    <w:rsid w:val="004D402F"/>
    <w:rsid w:val="004D45D3"/>
    <w:rsid w:val="004D628B"/>
    <w:rsid w:val="004D780D"/>
    <w:rsid w:val="004E209E"/>
    <w:rsid w:val="004E324E"/>
    <w:rsid w:val="004E470B"/>
    <w:rsid w:val="004E4B69"/>
    <w:rsid w:val="004E580D"/>
    <w:rsid w:val="004E5B4D"/>
    <w:rsid w:val="004E7148"/>
    <w:rsid w:val="004E7DE9"/>
    <w:rsid w:val="004F077D"/>
    <w:rsid w:val="004F2B46"/>
    <w:rsid w:val="004F46F0"/>
    <w:rsid w:val="004F661F"/>
    <w:rsid w:val="004F686F"/>
    <w:rsid w:val="004F6873"/>
    <w:rsid w:val="004F704C"/>
    <w:rsid w:val="004F7645"/>
    <w:rsid w:val="004F787B"/>
    <w:rsid w:val="004F7E57"/>
    <w:rsid w:val="0050087C"/>
    <w:rsid w:val="00500995"/>
    <w:rsid w:val="00500C44"/>
    <w:rsid w:val="00501D6A"/>
    <w:rsid w:val="00501F5F"/>
    <w:rsid w:val="00504AD9"/>
    <w:rsid w:val="00504B8B"/>
    <w:rsid w:val="00505233"/>
    <w:rsid w:val="005056E6"/>
    <w:rsid w:val="00506458"/>
    <w:rsid w:val="005064D4"/>
    <w:rsid w:val="005069DC"/>
    <w:rsid w:val="00506A64"/>
    <w:rsid w:val="00506C29"/>
    <w:rsid w:val="00507B75"/>
    <w:rsid w:val="0051005A"/>
    <w:rsid w:val="0051107C"/>
    <w:rsid w:val="00511125"/>
    <w:rsid w:val="00512696"/>
    <w:rsid w:val="00512C20"/>
    <w:rsid w:val="0051318D"/>
    <w:rsid w:val="0051339A"/>
    <w:rsid w:val="005134AD"/>
    <w:rsid w:val="005143F4"/>
    <w:rsid w:val="00516BEB"/>
    <w:rsid w:val="00516C21"/>
    <w:rsid w:val="005178F3"/>
    <w:rsid w:val="00517C97"/>
    <w:rsid w:val="00517DE6"/>
    <w:rsid w:val="005210F0"/>
    <w:rsid w:val="00523803"/>
    <w:rsid w:val="005243DD"/>
    <w:rsid w:val="005244B1"/>
    <w:rsid w:val="00524A86"/>
    <w:rsid w:val="00527075"/>
    <w:rsid w:val="00530318"/>
    <w:rsid w:val="00530B82"/>
    <w:rsid w:val="00531ECF"/>
    <w:rsid w:val="00532954"/>
    <w:rsid w:val="00532C30"/>
    <w:rsid w:val="00533521"/>
    <w:rsid w:val="0053481F"/>
    <w:rsid w:val="00534A48"/>
    <w:rsid w:val="00534B77"/>
    <w:rsid w:val="00535B7D"/>
    <w:rsid w:val="0053609A"/>
    <w:rsid w:val="00536132"/>
    <w:rsid w:val="0053613A"/>
    <w:rsid w:val="00536FE1"/>
    <w:rsid w:val="00537084"/>
    <w:rsid w:val="005374E0"/>
    <w:rsid w:val="00537573"/>
    <w:rsid w:val="005378D7"/>
    <w:rsid w:val="00540BB0"/>
    <w:rsid w:val="00541E3D"/>
    <w:rsid w:val="0054279C"/>
    <w:rsid w:val="00542859"/>
    <w:rsid w:val="00542CF2"/>
    <w:rsid w:val="005444CC"/>
    <w:rsid w:val="005445CE"/>
    <w:rsid w:val="00544A1C"/>
    <w:rsid w:val="005451BD"/>
    <w:rsid w:val="00545CC0"/>
    <w:rsid w:val="0054686A"/>
    <w:rsid w:val="00546D86"/>
    <w:rsid w:val="00547F9B"/>
    <w:rsid w:val="00550BDD"/>
    <w:rsid w:val="0055126B"/>
    <w:rsid w:val="00551409"/>
    <w:rsid w:val="00551C14"/>
    <w:rsid w:val="00552A81"/>
    <w:rsid w:val="00552F26"/>
    <w:rsid w:val="00553615"/>
    <w:rsid w:val="0055406D"/>
    <w:rsid w:val="00555A67"/>
    <w:rsid w:val="00555EE0"/>
    <w:rsid w:val="005560FB"/>
    <w:rsid w:val="0055631B"/>
    <w:rsid w:val="005600AF"/>
    <w:rsid w:val="00560801"/>
    <w:rsid w:val="00561928"/>
    <w:rsid w:val="0056367B"/>
    <w:rsid w:val="0056428C"/>
    <w:rsid w:val="00564CCE"/>
    <w:rsid w:val="005653EB"/>
    <w:rsid w:val="005655F7"/>
    <w:rsid w:val="00565BBD"/>
    <w:rsid w:val="005662D7"/>
    <w:rsid w:val="00566680"/>
    <w:rsid w:val="0056720B"/>
    <w:rsid w:val="00570151"/>
    <w:rsid w:val="00570F81"/>
    <w:rsid w:val="00574351"/>
    <w:rsid w:val="005746AA"/>
    <w:rsid w:val="00575BD7"/>
    <w:rsid w:val="0057733D"/>
    <w:rsid w:val="00577ABA"/>
    <w:rsid w:val="00577C09"/>
    <w:rsid w:val="00582BAB"/>
    <w:rsid w:val="00583433"/>
    <w:rsid w:val="00583B05"/>
    <w:rsid w:val="0058476D"/>
    <w:rsid w:val="00585C52"/>
    <w:rsid w:val="005872A3"/>
    <w:rsid w:val="00587A82"/>
    <w:rsid w:val="00587F99"/>
    <w:rsid w:val="00590A1A"/>
    <w:rsid w:val="00590D22"/>
    <w:rsid w:val="0059207B"/>
    <w:rsid w:val="00592DA0"/>
    <w:rsid w:val="00594A7B"/>
    <w:rsid w:val="00595931"/>
    <w:rsid w:val="00595E0E"/>
    <w:rsid w:val="00596949"/>
    <w:rsid w:val="00596996"/>
    <w:rsid w:val="005969D3"/>
    <w:rsid w:val="00597277"/>
    <w:rsid w:val="00597FF8"/>
    <w:rsid w:val="005A02B0"/>
    <w:rsid w:val="005A0EAF"/>
    <w:rsid w:val="005A2324"/>
    <w:rsid w:val="005A24BC"/>
    <w:rsid w:val="005A2540"/>
    <w:rsid w:val="005A2703"/>
    <w:rsid w:val="005A3035"/>
    <w:rsid w:val="005A3701"/>
    <w:rsid w:val="005A37B6"/>
    <w:rsid w:val="005A3A2C"/>
    <w:rsid w:val="005A3BC4"/>
    <w:rsid w:val="005A3C00"/>
    <w:rsid w:val="005A4297"/>
    <w:rsid w:val="005A54C5"/>
    <w:rsid w:val="005A649B"/>
    <w:rsid w:val="005A65EB"/>
    <w:rsid w:val="005A69A2"/>
    <w:rsid w:val="005A72F6"/>
    <w:rsid w:val="005A7CC4"/>
    <w:rsid w:val="005A7F37"/>
    <w:rsid w:val="005A7FA5"/>
    <w:rsid w:val="005B000C"/>
    <w:rsid w:val="005B0AEF"/>
    <w:rsid w:val="005B1EB4"/>
    <w:rsid w:val="005B2845"/>
    <w:rsid w:val="005B32D5"/>
    <w:rsid w:val="005B35B5"/>
    <w:rsid w:val="005B411F"/>
    <w:rsid w:val="005B66F3"/>
    <w:rsid w:val="005B7641"/>
    <w:rsid w:val="005C06FD"/>
    <w:rsid w:val="005C099E"/>
    <w:rsid w:val="005C0B92"/>
    <w:rsid w:val="005C0BAB"/>
    <w:rsid w:val="005C1B9A"/>
    <w:rsid w:val="005C299A"/>
    <w:rsid w:val="005C2BD4"/>
    <w:rsid w:val="005C4163"/>
    <w:rsid w:val="005C6779"/>
    <w:rsid w:val="005C7FED"/>
    <w:rsid w:val="005D162B"/>
    <w:rsid w:val="005D1736"/>
    <w:rsid w:val="005D2A63"/>
    <w:rsid w:val="005D3B62"/>
    <w:rsid w:val="005D481A"/>
    <w:rsid w:val="005D5539"/>
    <w:rsid w:val="005D595B"/>
    <w:rsid w:val="005D5E75"/>
    <w:rsid w:val="005D7024"/>
    <w:rsid w:val="005D7D79"/>
    <w:rsid w:val="005D7FBA"/>
    <w:rsid w:val="005E006B"/>
    <w:rsid w:val="005E0AA1"/>
    <w:rsid w:val="005E0C81"/>
    <w:rsid w:val="005E135E"/>
    <w:rsid w:val="005E1B31"/>
    <w:rsid w:val="005E2EE8"/>
    <w:rsid w:val="005E3ECD"/>
    <w:rsid w:val="005E45B0"/>
    <w:rsid w:val="005E5C95"/>
    <w:rsid w:val="005E5D71"/>
    <w:rsid w:val="005E7B51"/>
    <w:rsid w:val="005E7C83"/>
    <w:rsid w:val="005F0378"/>
    <w:rsid w:val="005F0483"/>
    <w:rsid w:val="005F075C"/>
    <w:rsid w:val="005F1E62"/>
    <w:rsid w:val="005F3F96"/>
    <w:rsid w:val="005F556B"/>
    <w:rsid w:val="00601B8A"/>
    <w:rsid w:val="00601EC1"/>
    <w:rsid w:val="00602EFD"/>
    <w:rsid w:val="0060314F"/>
    <w:rsid w:val="00604AB4"/>
    <w:rsid w:val="00604BCC"/>
    <w:rsid w:val="00606837"/>
    <w:rsid w:val="00606A82"/>
    <w:rsid w:val="00606AD2"/>
    <w:rsid w:val="00607739"/>
    <w:rsid w:val="006077B6"/>
    <w:rsid w:val="0061164C"/>
    <w:rsid w:val="006125FB"/>
    <w:rsid w:val="006128FA"/>
    <w:rsid w:val="00612A2F"/>
    <w:rsid w:val="00612DD8"/>
    <w:rsid w:val="006139CF"/>
    <w:rsid w:val="00615078"/>
    <w:rsid w:val="00615A17"/>
    <w:rsid w:val="00616B7E"/>
    <w:rsid w:val="0062040C"/>
    <w:rsid w:val="00620497"/>
    <w:rsid w:val="0062060D"/>
    <w:rsid w:val="00623150"/>
    <w:rsid w:val="00623E8D"/>
    <w:rsid w:val="006243C0"/>
    <w:rsid w:val="006253B8"/>
    <w:rsid w:val="006256D5"/>
    <w:rsid w:val="00625B1D"/>
    <w:rsid w:val="0062745B"/>
    <w:rsid w:val="006278BA"/>
    <w:rsid w:val="006300E7"/>
    <w:rsid w:val="006304F6"/>
    <w:rsid w:val="00630735"/>
    <w:rsid w:val="00630C3A"/>
    <w:rsid w:val="00631808"/>
    <w:rsid w:val="0063217A"/>
    <w:rsid w:val="006325B4"/>
    <w:rsid w:val="00632834"/>
    <w:rsid w:val="006331CD"/>
    <w:rsid w:val="006339E2"/>
    <w:rsid w:val="00635A33"/>
    <w:rsid w:val="00635FA1"/>
    <w:rsid w:val="00640B90"/>
    <w:rsid w:val="006435DC"/>
    <w:rsid w:val="00644689"/>
    <w:rsid w:val="00645709"/>
    <w:rsid w:val="006458EF"/>
    <w:rsid w:val="00645B9F"/>
    <w:rsid w:val="00645DB9"/>
    <w:rsid w:val="0064619B"/>
    <w:rsid w:val="006463E7"/>
    <w:rsid w:val="006474C0"/>
    <w:rsid w:val="006474D0"/>
    <w:rsid w:val="006503F6"/>
    <w:rsid w:val="0065222E"/>
    <w:rsid w:val="006525BB"/>
    <w:rsid w:val="00652F53"/>
    <w:rsid w:val="00653CD2"/>
    <w:rsid w:val="00656271"/>
    <w:rsid w:val="006569A3"/>
    <w:rsid w:val="006571A7"/>
    <w:rsid w:val="00657A1D"/>
    <w:rsid w:val="0066239D"/>
    <w:rsid w:val="00662D6E"/>
    <w:rsid w:val="00665903"/>
    <w:rsid w:val="00666BEE"/>
    <w:rsid w:val="006672CD"/>
    <w:rsid w:val="0066741F"/>
    <w:rsid w:val="00667748"/>
    <w:rsid w:val="00670207"/>
    <w:rsid w:val="006727A7"/>
    <w:rsid w:val="00673372"/>
    <w:rsid w:val="006767F5"/>
    <w:rsid w:val="0067733D"/>
    <w:rsid w:val="006777CE"/>
    <w:rsid w:val="00680C85"/>
    <w:rsid w:val="00680D79"/>
    <w:rsid w:val="00681D0C"/>
    <w:rsid w:val="006822E6"/>
    <w:rsid w:val="0068268D"/>
    <w:rsid w:val="00682B0B"/>
    <w:rsid w:val="006832D6"/>
    <w:rsid w:val="00683411"/>
    <w:rsid w:val="00683D90"/>
    <w:rsid w:val="00685416"/>
    <w:rsid w:val="006869E4"/>
    <w:rsid w:val="00687CCA"/>
    <w:rsid w:val="00687DA9"/>
    <w:rsid w:val="00690F9C"/>
    <w:rsid w:val="00691DF9"/>
    <w:rsid w:val="00693306"/>
    <w:rsid w:val="00693AC6"/>
    <w:rsid w:val="006946C7"/>
    <w:rsid w:val="00697A6A"/>
    <w:rsid w:val="006A1644"/>
    <w:rsid w:val="006A4024"/>
    <w:rsid w:val="006A4E5E"/>
    <w:rsid w:val="006A6FFD"/>
    <w:rsid w:val="006A77AE"/>
    <w:rsid w:val="006B0BBB"/>
    <w:rsid w:val="006B0EFE"/>
    <w:rsid w:val="006B0F8C"/>
    <w:rsid w:val="006B1B3F"/>
    <w:rsid w:val="006B220D"/>
    <w:rsid w:val="006B222D"/>
    <w:rsid w:val="006B29F1"/>
    <w:rsid w:val="006B2A0B"/>
    <w:rsid w:val="006B304D"/>
    <w:rsid w:val="006B3428"/>
    <w:rsid w:val="006B3F34"/>
    <w:rsid w:val="006B4D44"/>
    <w:rsid w:val="006B54DF"/>
    <w:rsid w:val="006B574E"/>
    <w:rsid w:val="006B5B47"/>
    <w:rsid w:val="006C1287"/>
    <w:rsid w:val="006C1289"/>
    <w:rsid w:val="006C1EB8"/>
    <w:rsid w:val="006C20E7"/>
    <w:rsid w:val="006C4031"/>
    <w:rsid w:val="006C4E06"/>
    <w:rsid w:val="006C56E7"/>
    <w:rsid w:val="006C5A27"/>
    <w:rsid w:val="006C654B"/>
    <w:rsid w:val="006C66C6"/>
    <w:rsid w:val="006C7820"/>
    <w:rsid w:val="006C7A87"/>
    <w:rsid w:val="006C7B53"/>
    <w:rsid w:val="006C7D7C"/>
    <w:rsid w:val="006D0183"/>
    <w:rsid w:val="006D0249"/>
    <w:rsid w:val="006D0582"/>
    <w:rsid w:val="006D06A3"/>
    <w:rsid w:val="006D0D23"/>
    <w:rsid w:val="006D0EB8"/>
    <w:rsid w:val="006D2488"/>
    <w:rsid w:val="006D2509"/>
    <w:rsid w:val="006D2607"/>
    <w:rsid w:val="006D3B38"/>
    <w:rsid w:val="006D3C07"/>
    <w:rsid w:val="006D3F65"/>
    <w:rsid w:val="006D4D6F"/>
    <w:rsid w:val="006D50A9"/>
    <w:rsid w:val="006D79CC"/>
    <w:rsid w:val="006D7C65"/>
    <w:rsid w:val="006E16BB"/>
    <w:rsid w:val="006E21DD"/>
    <w:rsid w:val="006E3675"/>
    <w:rsid w:val="006E38F9"/>
    <w:rsid w:val="006E3C86"/>
    <w:rsid w:val="006E45DF"/>
    <w:rsid w:val="006E5DE2"/>
    <w:rsid w:val="006E6755"/>
    <w:rsid w:val="006E70BC"/>
    <w:rsid w:val="006F19C6"/>
    <w:rsid w:val="006F1D3A"/>
    <w:rsid w:val="006F3116"/>
    <w:rsid w:val="006F3889"/>
    <w:rsid w:val="006F3AF3"/>
    <w:rsid w:val="006F44AC"/>
    <w:rsid w:val="006F5330"/>
    <w:rsid w:val="006F5B8E"/>
    <w:rsid w:val="006F6E89"/>
    <w:rsid w:val="006F6FBF"/>
    <w:rsid w:val="006F77AC"/>
    <w:rsid w:val="00700A2A"/>
    <w:rsid w:val="007028B8"/>
    <w:rsid w:val="00702AC2"/>
    <w:rsid w:val="00703C53"/>
    <w:rsid w:val="00704D4A"/>
    <w:rsid w:val="00705213"/>
    <w:rsid w:val="007057B4"/>
    <w:rsid w:val="0070617E"/>
    <w:rsid w:val="00706843"/>
    <w:rsid w:val="0070725E"/>
    <w:rsid w:val="007073DD"/>
    <w:rsid w:val="007129AD"/>
    <w:rsid w:val="00712B6C"/>
    <w:rsid w:val="007131F3"/>
    <w:rsid w:val="007132DD"/>
    <w:rsid w:val="007140FF"/>
    <w:rsid w:val="0071713C"/>
    <w:rsid w:val="00720C84"/>
    <w:rsid w:val="0072112E"/>
    <w:rsid w:val="00721276"/>
    <w:rsid w:val="00721655"/>
    <w:rsid w:val="00721D30"/>
    <w:rsid w:val="00721DF5"/>
    <w:rsid w:val="007220EA"/>
    <w:rsid w:val="00722175"/>
    <w:rsid w:val="007221E3"/>
    <w:rsid w:val="00723813"/>
    <w:rsid w:val="007260A7"/>
    <w:rsid w:val="00726368"/>
    <w:rsid w:val="00726AE1"/>
    <w:rsid w:val="007271FA"/>
    <w:rsid w:val="0073330F"/>
    <w:rsid w:val="007334A7"/>
    <w:rsid w:val="0073409A"/>
    <w:rsid w:val="0073458D"/>
    <w:rsid w:val="00734F78"/>
    <w:rsid w:val="0073508B"/>
    <w:rsid w:val="0073627D"/>
    <w:rsid w:val="007401D4"/>
    <w:rsid w:val="0074167B"/>
    <w:rsid w:val="00742034"/>
    <w:rsid w:val="0074249D"/>
    <w:rsid w:val="0074543F"/>
    <w:rsid w:val="00745A73"/>
    <w:rsid w:val="00745EA0"/>
    <w:rsid w:val="0074695B"/>
    <w:rsid w:val="0074700B"/>
    <w:rsid w:val="00751176"/>
    <w:rsid w:val="00751B73"/>
    <w:rsid w:val="00752D64"/>
    <w:rsid w:val="0075605B"/>
    <w:rsid w:val="00756BE3"/>
    <w:rsid w:val="00756DDE"/>
    <w:rsid w:val="007602FD"/>
    <w:rsid w:val="00760337"/>
    <w:rsid w:val="00760F86"/>
    <w:rsid w:val="00761C14"/>
    <w:rsid w:val="007628D1"/>
    <w:rsid w:val="00762DC5"/>
    <w:rsid w:val="00763445"/>
    <w:rsid w:val="007634E0"/>
    <w:rsid w:val="007643AA"/>
    <w:rsid w:val="00766322"/>
    <w:rsid w:val="00766C91"/>
    <w:rsid w:val="00771242"/>
    <w:rsid w:val="00771583"/>
    <w:rsid w:val="00771E59"/>
    <w:rsid w:val="00774EFC"/>
    <w:rsid w:val="00775A79"/>
    <w:rsid w:val="007767FB"/>
    <w:rsid w:val="00777CA3"/>
    <w:rsid w:val="00780207"/>
    <w:rsid w:val="00781855"/>
    <w:rsid w:val="00784691"/>
    <w:rsid w:val="00784891"/>
    <w:rsid w:val="00784F24"/>
    <w:rsid w:val="007858DC"/>
    <w:rsid w:val="0078644D"/>
    <w:rsid w:val="007879BB"/>
    <w:rsid w:val="00787E89"/>
    <w:rsid w:val="00787EB5"/>
    <w:rsid w:val="00790893"/>
    <w:rsid w:val="00792E48"/>
    <w:rsid w:val="00794DF3"/>
    <w:rsid w:val="007950A2"/>
    <w:rsid w:val="007953C1"/>
    <w:rsid w:val="00796169"/>
    <w:rsid w:val="007966E8"/>
    <w:rsid w:val="00796FED"/>
    <w:rsid w:val="007972E5"/>
    <w:rsid w:val="007A0028"/>
    <w:rsid w:val="007A1AB3"/>
    <w:rsid w:val="007A1E08"/>
    <w:rsid w:val="007A3B43"/>
    <w:rsid w:val="007A3EBE"/>
    <w:rsid w:val="007A4676"/>
    <w:rsid w:val="007A5143"/>
    <w:rsid w:val="007A51D2"/>
    <w:rsid w:val="007A619E"/>
    <w:rsid w:val="007A7108"/>
    <w:rsid w:val="007A75AB"/>
    <w:rsid w:val="007B02BA"/>
    <w:rsid w:val="007B1212"/>
    <w:rsid w:val="007B1CA4"/>
    <w:rsid w:val="007B3728"/>
    <w:rsid w:val="007B4171"/>
    <w:rsid w:val="007B5777"/>
    <w:rsid w:val="007B590A"/>
    <w:rsid w:val="007B5BEE"/>
    <w:rsid w:val="007B62C0"/>
    <w:rsid w:val="007B6E3E"/>
    <w:rsid w:val="007C09F5"/>
    <w:rsid w:val="007C1305"/>
    <w:rsid w:val="007C1DA3"/>
    <w:rsid w:val="007C215F"/>
    <w:rsid w:val="007C29B1"/>
    <w:rsid w:val="007C3281"/>
    <w:rsid w:val="007C37F0"/>
    <w:rsid w:val="007C429C"/>
    <w:rsid w:val="007C4B33"/>
    <w:rsid w:val="007C4D3D"/>
    <w:rsid w:val="007C51AD"/>
    <w:rsid w:val="007C52E8"/>
    <w:rsid w:val="007C5768"/>
    <w:rsid w:val="007C5817"/>
    <w:rsid w:val="007C5E31"/>
    <w:rsid w:val="007D0106"/>
    <w:rsid w:val="007D098C"/>
    <w:rsid w:val="007D16D0"/>
    <w:rsid w:val="007D212F"/>
    <w:rsid w:val="007D4418"/>
    <w:rsid w:val="007D49FD"/>
    <w:rsid w:val="007D4F4A"/>
    <w:rsid w:val="007D52EA"/>
    <w:rsid w:val="007D56F0"/>
    <w:rsid w:val="007D692A"/>
    <w:rsid w:val="007D7D25"/>
    <w:rsid w:val="007E0988"/>
    <w:rsid w:val="007E13AD"/>
    <w:rsid w:val="007E1578"/>
    <w:rsid w:val="007E2A5A"/>
    <w:rsid w:val="007E4243"/>
    <w:rsid w:val="007E4FCD"/>
    <w:rsid w:val="007E6764"/>
    <w:rsid w:val="007F05EB"/>
    <w:rsid w:val="007F0FE0"/>
    <w:rsid w:val="007F1A2F"/>
    <w:rsid w:val="007F1E22"/>
    <w:rsid w:val="007F2309"/>
    <w:rsid w:val="007F24F9"/>
    <w:rsid w:val="007F29E5"/>
    <w:rsid w:val="007F2B2C"/>
    <w:rsid w:val="007F2EF8"/>
    <w:rsid w:val="007F502F"/>
    <w:rsid w:val="007F5DF0"/>
    <w:rsid w:val="007F603A"/>
    <w:rsid w:val="008004BA"/>
    <w:rsid w:val="00800B84"/>
    <w:rsid w:val="00801567"/>
    <w:rsid w:val="00801868"/>
    <w:rsid w:val="0080190C"/>
    <w:rsid w:val="00802967"/>
    <w:rsid w:val="00802993"/>
    <w:rsid w:val="00804451"/>
    <w:rsid w:val="0080449A"/>
    <w:rsid w:val="00804CB1"/>
    <w:rsid w:val="0080515E"/>
    <w:rsid w:val="0080562A"/>
    <w:rsid w:val="00806073"/>
    <w:rsid w:val="00806EDC"/>
    <w:rsid w:val="0080769C"/>
    <w:rsid w:val="0080794B"/>
    <w:rsid w:val="00807DE3"/>
    <w:rsid w:val="00807E32"/>
    <w:rsid w:val="00812AC3"/>
    <w:rsid w:val="00812C4B"/>
    <w:rsid w:val="008143C1"/>
    <w:rsid w:val="00814748"/>
    <w:rsid w:val="00815178"/>
    <w:rsid w:val="00815DBC"/>
    <w:rsid w:val="0081719B"/>
    <w:rsid w:val="008178E4"/>
    <w:rsid w:val="00817CF6"/>
    <w:rsid w:val="00817ED7"/>
    <w:rsid w:val="008218E3"/>
    <w:rsid w:val="008218E4"/>
    <w:rsid w:val="00822B84"/>
    <w:rsid w:val="008232D1"/>
    <w:rsid w:val="00824FE7"/>
    <w:rsid w:val="00825CE1"/>
    <w:rsid w:val="0082650F"/>
    <w:rsid w:val="0082726E"/>
    <w:rsid w:val="0082727A"/>
    <w:rsid w:val="00827EA2"/>
    <w:rsid w:val="00830D04"/>
    <w:rsid w:val="0083106F"/>
    <w:rsid w:val="008312E5"/>
    <w:rsid w:val="0083168E"/>
    <w:rsid w:val="0083278D"/>
    <w:rsid w:val="00833230"/>
    <w:rsid w:val="008353C5"/>
    <w:rsid w:val="00836701"/>
    <w:rsid w:val="00840661"/>
    <w:rsid w:val="008409C7"/>
    <w:rsid w:val="00841136"/>
    <w:rsid w:val="00841E32"/>
    <w:rsid w:val="00841FBA"/>
    <w:rsid w:val="008433C2"/>
    <w:rsid w:val="00844A4B"/>
    <w:rsid w:val="00845B2F"/>
    <w:rsid w:val="00847641"/>
    <w:rsid w:val="00847676"/>
    <w:rsid w:val="00850D8E"/>
    <w:rsid w:val="00851DF1"/>
    <w:rsid w:val="00851F91"/>
    <w:rsid w:val="00853862"/>
    <w:rsid w:val="00854CAA"/>
    <w:rsid w:val="00855086"/>
    <w:rsid w:val="0085535F"/>
    <w:rsid w:val="00855631"/>
    <w:rsid w:val="00855E66"/>
    <w:rsid w:val="00856063"/>
    <w:rsid w:val="008567EB"/>
    <w:rsid w:val="008577AE"/>
    <w:rsid w:val="00857CAC"/>
    <w:rsid w:val="00857D3D"/>
    <w:rsid w:val="0086041F"/>
    <w:rsid w:val="0086089E"/>
    <w:rsid w:val="008608B2"/>
    <w:rsid w:val="00860D42"/>
    <w:rsid w:val="00861435"/>
    <w:rsid w:val="0086169E"/>
    <w:rsid w:val="00861CB7"/>
    <w:rsid w:val="008654BE"/>
    <w:rsid w:val="00866263"/>
    <w:rsid w:val="00867A55"/>
    <w:rsid w:val="00872B2A"/>
    <w:rsid w:val="008743B1"/>
    <w:rsid w:val="00874758"/>
    <w:rsid w:val="00874C17"/>
    <w:rsid w:val="0087609C"/>
    <w:rsid w:val="008771C8"/>
    <w:rsid w:val="00877D82"/>
    <w:rsid w:val="00880E3C"/>
    <w:rsid w:val="00882504"/>
    <w:rsid w:val="00884826"/>
    <w:rsid w:val="00884A4B"/>
    <w:rsid w:val="008851B3"/>
    <w:rsid w:val="008853DA"/>
    <w:rsid w:val="00886FE0"/>
    <w:rsid w:val="008876AC"/>
    <w:rsid w:val="008876C4"/>
    <w:rsid w:val="00887895"/>
    <w:rsid w:val="00887AD8"/>
    <w:rsid w:val="00890402"/>
    <w:rsid w:val="00890B99"/>
    <w:rsid w:val="00891FEF"/>
    <w:rsid w:val="0089287B"/>
    <w:rsid w:val="008935A1"/>
    <w:rsid w:val="00893AAA"/>
    <w:rsid w:val="008942AE"/>
    <w:rsid w:val="008945B9"/>
    <w:rsid w:val="00894A1A"/>
    <w:rsid w:val="00895C67"/>
    <w:rsid w:val="008978AC"/>
    <w:rsid w:val="008A007E"/>
    <w:rsid w:val="008A0BA6"/>
    <w:rsid w:val="008A308B"/>
    <w:rsid w:val="008A4A3C"/>
    <w:rsid w:val="008A4B7B"/>
    <w:rsid w:val="008A5916"/>
    <w:rsid w:val="008A609F"/>
    <w:rsid w:val="008A681E"/>
    <w:rsid w:val="008A7177"/>
    <w:rsid w:val="008A76B6"/>
    <w:rsid w:val="008A7A4A"/>
    <w:rsid w:val="008B08C8"/>
    <w:rsid w:val="008B0C46"/>
    <w:rsid w:val="008B0E8C"/>
    <w:rsid w:val="008B1488"/>
    <w:rsid w:val="008B1717"/>
    <w:rsid w:val="008B32FA"/>
    <w:rsid w:val="008B4982"/>
    <w:rsid w:val="008B5146"/>
    <w:rsid w:val="008B56BF"/>
    <w:rsid w:val="008B59B6"/>
    <w:rsid w:val="008B75CF"/>
    <w:rsid w:val="008B7843"/>
    <w:rsid w:val="008B7CBC"/>
    <w:rsid w:val="008C0194"/>
    <w:rsid w:val="008C0F1B"/>
    <w:rsid w:val="008C15F9"/>
    <w:rsid w:val="008C26E8"/>
    <w:rsid w:val="008C3269"/>
    <w:rsid w:val="008C375D"/>
    <w:rsid w:val="008C48B1"/>
    <w:rsid w:val="008C5259"/>
    <w:rsid w:val="008C655B"/>
    <w:rsid w:val="008C66BF"/>
    <w:rsid w:val="008C6F25"/>
    <w:rsid w:val="008D02E0"/>
    <w:rsid w:val="008D0859"/>
    <w:rsid w:val="008D15BF"/>
    <w:rsid w:val="008D1C53"/>
    <w:rsid w:val="008D3C62"/>
    <w:rsid w:val="008D491F"/>
    <w:rsid w:val="008D4A45"/>
    <w:rsid w:val="008D5505"/>
    <w:rsid w:val="008D5CF4"/>
    <w:rsid w:val="008D653C"/>
    <w:rsid w:val="008D6B6C"/>
    <w:rsid w:val="008D7222"/>
    <w:rsid w:val="008D7273"/>
    <w:rsid w:val="008D72B5"/>
    <w:rsid w:val="008D772D"/>
    <w:rsid w:val="008E03B3"/>
    <w:rsid w:val="008E0D27"/>
    <w:rsid w:val="008E101D"/>
    <w:rsid w:val="008E11B1"/>
    <w:rsid w:val="008E1ACD"/>
    <w:rsid w:val="008E2D43"/>
    <w:rsid w:val="008E2E0F"/>
    <w:rsid w:val="008E6063"/>
    <w:rsid w:val="008E6A53"/>
    <w:rsid w:val="008F060E"/>
    <w:rsid w:val="008F128A"/>
    <w:rsid w:val="008F148F"/>
    <w:rsid w:val="008F1A7C"/>
    <w:rsid w:val="008F1D7F"/>
    <w:rsid w:val="008F292E"/>
    <w:rsid w:val="008F2D8F"/>
    <w:rsid w:val="008F51DB"/>
    <w:rsid w:val="008F5607"/>
    <w:rsid w:val="008F596E"/>
    <w:rsid w:val="008F59B5"/>
    <w:rsid w:val="008F5C05"/>
    <w:rsid w:val="008F66AF"/>
    <w:rsid w:val="008F76BD"/>
    <w:rsid w:val="00900A0B"/>
    <w:rsid w:val="00901441"/>
    <w:rsid w:val="00902421"/>
    <w:rsid w:val="0090313B"/>
    <w:rsid w:val="00903F9A"/>
    <w:rsid w:val="0090450A"/>
    <w:rsid w:val="009056D3"/>
    <w:rsid w:val="00907511"/>
    <w:rsid w:val="009103E6"/>
    <w:rsid w:val="009105F6"/>
    <w:rsid w:val="00910C1D"/>
    <w:rsid w:val="009130E9"/>
    <w:rsid w:val="009134FF"/>
    <w:rsid w:val="00914617"/>
    <w:rsid w:val="00914B8A"/>
    <w:rsid w:val="00915E87"/>
    <w:rsid w:val="0091711E"/>
    <w:rsid w:val="00920208"/>
    <w:rsid w:val="00920C8A"/>
    <w:rsid w:val="00921472"/>
    <w:rsid w:val="009230EA"/>
    <w:rsid w:val="0092369F"/>
    <w:rsid w:val="00924918"/>
    <w:rsid w:val="00924C6D"/>
    <w:rsid w:val="00926D5E"/>
    <w:rsid w:val="009276EF"/>
    <w:rsid w:val="00930DFB"/>
    <w:rsid w:val="009315B5"/>
    <w:rsid w:val="009316C6"/>
    <w:rsid w:val="00932BF8"/>
    <w:rsid w:val="009336DF"/>
    <w:rsid w:val="00934016"/>
    <w:rsid w:val="00935B72"/>
    <w:rsid w:val="00935E0B"/>
    <w:rsid w:val="009368B7"/>
    <w:rsid w:val="00937105"/>
    <w:rsid w:val="0093739D"/>
    <w:rsid w:val="00940D09"/>
    <w:rsid w:val="009410DA"/>
    <w:rsid w:val="009418D8"/>
    <w:rsid w:val="00941DAC"/>
    <w:rsid w:val="00941F78"/>
    <w:rsid w:val="009425F8"/>
    <w:rsid w:val="00942E9B"/>
    <w:rsid w:val="00943FB5"/>
    <w:rsid w:val="009440EA"/>
    <w:rsid w:val="009444DB"/>
    <w:rsid w:val="00944705"/>
    <w:rsid w:val="00944F38"/>
    <w:rsid w:val="00945199"/>
    <w:rsid w:val="009453E5"/>
    <w:rsid w:val="009454EE"/>
    <w:rsid w:val="00945554"/>
    <w:rsid w:val="00945776"/>
    <w:rsid w:val="00945A5E"/>
    <w:rsid w:val="0094699C"/>
    <w:rsid w:val="0094768B"/>
    <w:rsid w:val="009478A5"/>
    <w:rsid w:val="009503C4"/>
    <w:rsid w:val="00950FDE"/>
    <w:rsid w:val="00952A66"/>
    <w:rsid w:val="00952DDC"/>
    <w:rsid w:val="009533AE"/>
    <w:rsid w:val="00953F7E"/>
    <w:rsid w:val="00955AD3"/>
    <w:rsid w:val="009574C8"/>
    <w:rsid w:val="009577A4"/>
    <w:rsid w:val="00960581"/>
    <w:rsid w:val="009607B8"/>
    <w:rsid w:val="009635C8"/>
    <w:rsid w:val="009648A5"/>
    <w:rsid w:val="00965975"/>
    <w:rsid w:val="009706EC"/>
    <w:rsid w:val="00971BAD"/>
    <w:rsid w:val="009727DC"/>
    <w:rsid w:val="00972FE6"/>
    <w:rsid w:val="009746C9"/>
    <w:rsid w:val="00974C53"/>
    <w:rsid w:val="00977AEF"/>
    <w:rsid w:val="00977E68"/>
    <w:rsid w:val="00981388"/>
    <w:rsid w:val="009814C1"/>
    <w:rsid w:val="00981B5A"/>
    <w:rsid w:val="009832E8"/>
    <w:rsid w:val="00984346"/>
    <w:rsid w:val="00984715"/>
    <w:rsid w:val="00985CA9"/>
    <w:rsid w:val="009863CC"/>
    <w:rsid w:val="0098645D"/>
    <w:rsid w:val="0099008A"/>
    <w:rsid w:val="00990113"/>
    <w:rsid w:val="0099212A"/>
    <w:rsid w:val="00993818"/>
    <w:rsid w:val="0099416E"/>
    <w:rsid w:val="0099511C"/>
    <w:rsid w:val="00995BBE"/>
    <w:rsid w:val="00995BD2"/>
    <w:rsid w:val="00995E11"/>
    <w:rsid w:val="00996372"/>
    <w:rsid w:val="00997363"/>
    <w:rsid w:val="00997BDD"/>
    <w:rsid w:val="009A08CE"/>
    <w:rsid w:val="009A0DA3"/>
    <w:rsid w:val="009A0E6C"/>
    <w:rsid w:val="009A198C"/>
    <w:rsid w:val="009A2234"/>
    <w:rsid w:val="009A230E"/>
    <w:rsid w:val="009A2AF2"/>
    <w:rsid w:val="009A3B26"/>
    <w:rsid w:val="009A4EE1"/>
    <w:rsid w:val="009A626D"/>
    <w:rsid w:val="009A6E02"/>
    <w:rsid w:val="009B1D5D"/>
    <w:rsid w:val="009B2095"/>
    <w:rsid w:val="009B2912"/>
    <w:rsid w:val="009B3062"/>
    <w:rsid w:val="009B3E02"/>
    <w:rsid w:val="009B3FBE"/>
    <w:rsid w:val="009B6280"/>
    <w:rsid w:val="009B7D3C"/>
    <w:rsid w:val="009C0A27"/>
    <w:rsid w:val="009C18C3"/>
    <w:rsid w:val="009C2871"/>
    <w:rsid w:val="009C2F3B"/>
    <w:rsid w:val="009C3CC3"/>
    <w:rsid w:val="009C4BD1"/>
    <w:rsid w:val="009C51F1"/>
    <w:rsid w:val="009C5937"/>
    <w:rsid w:val="009C741C"/>
    <w:rsid w:val="009C75CE"/>
    <w:rsid w:val="009D1191"/>
    <w:rsid w:val="009D1B1B"/>
    <w:rsid w:val="009D23CA"/>
    <w:rsid w:val="009D2EAF"/>
    <w:rsid w:val="009D383E"/>
    <w:rsid w:val="009D5122"/>
    <w:rsid w:val="009D5C95"/>
    <w:rsid w:val="009D612D"/>
    <w:rsid w:val="009D6661"/>
    <w:rsid w:val="009D66A6"/>
    <w:rsid w:val="009D7164"/>
    <w:rsid w:val="009D742B"/>
    <w:rsid w:val="009D7CF4"/>
    <w:rsid w:val="009E1C03"/>
    <w:rsid w:val="009E2495"/>
    <w:rsid w:val="009E39B5"/>
    <w:rsid w:val="009E5385"/>
    <w:rsid w:val="009E7142"/>
    <w:rsid w:val="009E7340"/>
    <w:rsid w:val="009F03A3"/>
    <w:rsid w:val="009F07B8"/>
    <w:rsid w:val="009F1192"/>
    <w:rsid w:val="009F11B4"/>
    <w:rsid w:val="009F199C"/>
    <w:rsid w:val="009F1D39"/>
    <w:rsid w:val="009F256C"/>
    <w:rsid w:val="009F2ED1"/>
    <w:rsid w:val="009F3678"/>
    <w:rsid w:val="009F3FDF"/>
    <w:rsid w:val="009F4323"/>
    <w:rsid w:val="009F4E6A"/>
    <w:rsid w:val="009F5AB9"/>
    <w:rsid w:val="009F6A60"/>
    <w:rsid w:val="009F75FC"/>
    <w:rsid w:val="009F7A78"/>
    <w:rsid w:val="00A00B90"/>
    <w:rsid w:val="00A012EF"/>
    <w:rsid w:val="00A018A3"/>
    <w:rsid w:val="00A021CA"/>
    <w:rsid w:val="00A02602"/>
    <w:rsid w:val="00A04404"/>
    <w:rsid w:val="00A0492C"/>
    <w:rsid w:val="00A04FB6"/>
    <w:rsid w:val="00A051A5"/>
    <w:rsid w:val="00A0693E"/>
    <w:rsid w:val="00A07C2B"/>
    <w:rsid w:val="00A100D5"/>
    <w:rsid w:val="00A103B0"/>
    <w:rsid w:val="00A11E97"/>
    <w:rsid w:val="00A14746"/>
    <w:rsid w:val="00A15BB7"/>
    <w:rsid w:val="00A15FC4"/>
    <w:rsid w:val="00A165C2"/>
    <w:rsid w:val="00A16A8D"/>
    <w:rsid w:val="00A17ECE"/>
    <w:rsid w:val="00A2110F"/>
    <w:rsid w:val="00A22299"/>
    <w:rsid w:val="00A2251D"/>
    <w:rsid w:val="00A22A4A"/>
    <w:rsid w:val="00A22C42"/>
    <w:rsid w:val="00A24346"/>
    <w:rsid w:val="00A25E33"/>
    <w:rsid w:val="00A27021"/>
    <w:rsid w:val="00A30C99"/>
    <w:rsid w:val="00A327A9"/>
    <w:rsid w:val="00A32AB0"/>
    <w:rsid w:val="00A3347E"/>
    <w:rsid w:val="00A3389E"/>
    <w:rsid w:val="00A349A5"/>
    <w:rsid w:val="00A34A55"/>
    <w:rsid w:val="00A355F6"/>
    <w:rsid w:val="00A35CEE"/>
    <w:rsid w:val="00A3670C"/>
    <w:rsid w:val="00A37B4B"/>
    <w:rsid w:val="00A403BE"/>
    <w:rsid w:val="00A40569"/>
    <w:rsid w:val="00A4065F"/>
    <w:rsid w:val="00A40B29"/>
    <w:rsid w:val="00A41C08"/>
    <w:rsid w:val="00A4234E"/>
    <w:rsid w:val="00A424CE"/>
    <w:rsid w:val="00A42B02"/>
    <w:rsid w:val="00A43066"/>
    <w:rsid w:val="00A4412A"/>
    <w:rsid w:val="00A44AB2"/>
    <w:rsid w:val="00A44CF4"/>
    <w:rsid w:val="00A4574F"/>
    <w:rsid w:val="00A462FD"/>
    <w:rsid w:val="00A46B27"/>
    <w:rsid w:val="00A471B9"/>
    <w:rsid w:val="00A505F4"/>
    <w:rsid w:val="00A50DB6"/>
    <w:rsid w:val="00A52736"/>
    <w:rsid w:val="00A52822"/>
    <w:rsid w:val="00A5572F"/>
    <w:rsid w:val="00A561B4"/>
    <w:rsid w:val="00A571D1"/>
    <w:rsid w:val="00A60FCC"/>
    <w:rsid w:val="00A615C9"/>
    <w:rsid w:val="00A6184A"/>
    <w:rsid w:val="00A61CEB"/>
    <w:rsid w:val="00A62295"/>
    <w:rsid w:val="00A64CE2"/>
    <w:rsid w:val="00A650B3"/>
    <w:rsid w:val="00A65DBF"/>
    <w:rsid w:val="00A65EAA"/>
    <w:rsid w:val="00A66FF3"/>
    <w:rsid w:val="00A6750A"/>
    <w:rsid w:val="00A70092"/>
    <w:rsid w:val="00A701DF"/>
    <w:rsid w:val="00A70542"/>
    <w:rsid w:val="00A71A10"/>
    <w:rsid w:val="00A71AD9"/>
    <w:rsid w:val="00A71FF8"/>
    <w:rsid w:val="00A737D5"/>
    <w:rsid w:val="00A73C65"/>
    <w:rsid w:val="00A73DB4"/>
    <w:rsid w:val="00A7481C"/>
    <w:rsid w:val="00A74CC8"/>
    <w:rsid w:val="00A77A09"/>
    <w:rsid w:val="00A81126"/>
    <w:rsid w:val="00A8173D"/>
    <w:rsid w:val="00A8334C"/>
    <w:rsid w:val="00A83971"/>
    <w:rsid w:val="00A842EE"/>
    <w:rsid w:val="00A853F6"/>
    <w:rsid w:val="00A857FA"/>
    <w:rsid w:val="00A85C20"/>
    <w:rsid w:val="00A85E17"/>
    <w:rsid w:val="00A86754"/>
    <w:rsid w:val="00A870DA"/>
    <w:rsid w:val="00A8774E"/>
    <w:rsid w:val="00A90EB1"/>
    <w:rsid w:val="00A911AE"/>
    <w:rsid w:val="00A9159A"/>
    <w:rsid w:val="00A9167A"/>
    <w:rsid w:val="00A92005"/>
    <w:rsid w:val="00A93B31"/>
    <w:rsid w:val="00A951C7"/>
    <w:rsid w:val="00A960A4"/>
    <w:rsid w:val="00A96926"/>
    <w:rsid w:val="00A97785"/>
    <w:rsid w:val="00A9783A"/>
    <w:rsid w:val="00AA1FED"/>
    <w:rsid w:val="00AA2182"/>
    <w:rsid w:val="00AA2C61"/>
    <w:rsid w:val="00AA2E19"/>
    <w:rsid w:val="00AA321F"/>
    <w:rsid w:val="00AA3751"/>
    <w:rsid w:val="00AA492F"/>
    <w:rsid w:val="00AA5CFE"/>
    <w:rsid w:val="00AA694A"/>
    <w:rsid w:val="00AA6A13"/>
    <w:rsid w:val="00AA7D71"/>
    <w:rsid w:val="00AB265F"/>
    <w:rsid w:val="00AB2C04"/>
    <w:rsid w:val="00AB2C33"/>
    <w:rsid w:val="00AB388B"/>
    <w:rsid w:val="00AB3915"/>
    <w:rsid w:val="00AB42A1"/>
    <w:rsid w:val="00AB5795"/>
    <w:rsid w:val="00AB6DC8"/>
    <w:rsid w:val="00AC0553"/>
    <w:rsid w:val="00AC0CE0"/>
    <w:rsid w:val="00AC174C"/>
    <w:rsid w:val="00AC3225"/>
    <w:rsid w:val="00AC3247"/>
    <w:rsid w:val="00AC352B"/>
    <w:rsid w:val="00AC358F"/>
    <w:rsid w:val="00AC3885"/>
    <w:rsid w:val="00AC4662"/>
    <w:rsid w:val="00AC7A7F"/>
    <w:rsid w:val="00AC7DFF"/>
    <w:rsid w:val="00AD0D6A"/>
    <w:rsid w:val="00AD463C"/>
    <w:rsid w:val="00AD4D96"/>
    <w:rsid w:val="00AD5479"/>
    <w:rsid w:val="00AD5FB9"/>
    <w:rsid w:val="00AD73B1"/>
    <w:rsid w:val="00AE31C4"/>
    <w:rsid w:val="00AE330E"/>
    <w:rsid w:val="00AE3E53"/>
    <w:rsid w:val="00AE4D53"/>
    <w:rsid w:val="00AE53FF"/>
    <w:rsid w:val="00AE54F8"/>
    <w:rsid w:val="00AE55DD"/>
    <w:rsid w:val="00AE5AC6"/>
    <w:rsid w:val="00AE6BD7"/>
    <w:rsid w:val="00AE6CC0"/>
    <w:rsid w:val="00AE7BC2"/>
    <w:rsid w:val="00AE7F0C"/>
    <w:rsid w:val="00AF0217"/>
    <w:rsid w:val="00AF0FE4"/>
    <w:rsid w:val="00AF16F6"/>
    <w:rsid w:val="00AF195B"/>
    <w:rsid w:val="00AF1DE4"/>
    <w:rsid w:val="00AF3C1B"/>
    <w:rsid w:val="00AF4C21"/>
    <w:rsid w:val="00AF702A"/>
    <w:rsid w:val="00AF7121"/>
    <w:rsid w:val="00AF7F05"/>
    <w:rsid w:val="00B002D6"/>
    <w:rsid w:val="00B00389"/>
    <w:rsid w:val="00B004B9"/>
    <w:rsid w:val="00B01BF9"/>
    <w:rsid w:val="00B01CAF"/>
    <w:rsid w:val="00B01F80"/>
    <w:rsid w:val="00B02308"/>
    <w:rsid w:val="00B02D09"/>
    <w:rsid w:val="00B03034"/>
    <w:rsid w:val="00B03218"/>
    <w:rsid w:val="00B03BD8"/>
    <w:rsid w:val="00B03C6E"/>
    <w:rsid w:val="00B043F4"/>
    <w:rsid w:val="00B06267"/>
    <w:rsid w:val="00B07040"/>
    <w:rsid w:val="00B0753B"/>
    <w:rsid w:val="00B0779C"/>
    <w:rsid w:val="00B10540"/>
    <w:rsid w:val="00B11C5B"/>
    <w:rsid w:val="00B11F91"/>
    <w:rsid w:val="00B13943"/>
    <w:rsid w:val="00B15216"/>
    <w:rsid w:val="00B1565D"/>
    <w:rsid w:val="00B161E1"/>
    <w:rsid w:val="00B163EC"/>
    <w:rsid w:val="00B16D8F"/>
    <w:rsid w:val="00B16EF1"/>
    <w:rsid w:val="00B1701A"/>
    <w:rsid w:val="00B17A60"/>
    <w:rsid w:val="00B200E2"/>
    <w:rsid w:val="00B20322"/>
    <w:rsid w:val="00B21B11"/>
    <w:rsid w:val="00B22237"/>
    <w:rsid w:val="00B23A0C"/>
    <w:rsid w:val="00B23E9D"/>
    <w:rsid w:val="00B24788"/>
    <w:rsid w:val="00B256B9"/>
    <w:rsid w:val="00B25791"/>
    <w:rsid w:val="00B25C64"/>
    <w:rsid w:val="00B262EE"/>
    <w:rsid w:val="00B26E55"/>
    <w:rsid w:val="00B26F15"/>
    <w:rsid w:val="00B300CA"/>
    <w:rsid w:val="00B30799"/>
    <w:rsid w:val="00B30A9F"/>
    <w:rsid w:val="00B31EE2"/>
    <w:rsid w:val="00B334ED"/>
    <w:rsid w:val="00B33E05"/>
    <w:rsid w:val="00B34806"/>
    <w:rsid w:val="00B35EB0"/>
    <w:rsid w:val="00B35F6F"/>
    <w:rsid w:val="00B36977"/>
    <w:rsid w:val="00B3796C"/>
    <w:rsid w:val="00B4209C"/>
    <w:rsid w:val="00B4386A"/>
    <w:rsid w:val="00B511BA"/>
    <w:rsid w:val="00B514B5"/>
    <w:rsid w:val="00B514DD"/>
    <w:rsid w:val="00B516C6"/>
    <w:rsid w:val="00B519D8"/>
    <w:rsid w:val="00B51DFB"/>
    <w:rsid w:val="00B52076"/>
    <w:rsid w:val="00B5377B"/>
    <w:rsid w:val="00B53CEE"/>
    <w:rsid w:val="00B54344"/>
    <w:rsid w:val="00B5476C"/>
    <w:rsid w:val="00B55486"/>
    <w:rsid w:val="00B5578A"/>
    <w:rsid w:val="00B56050"/>
    <w:rsid w:val="00B561D2"/>
    <w:rsid w:val="00B56B9F"/>
    <w:rsid w:val="00B6040A"/>
    <w:rsid w:val="00B60901"/>
    <w:rsid w:val="00B618EE"/>
    <w:rsid w:val="00B62242"/>
    <w:rsid w:val="00B625C5"/>
    <w:rsid w:val="00B62647"/>
    <w:rsid w:val="00B63119"/>
    <w:rsid w:val="00B63FB0"/>
    <w:rsid w:val="00B643E4"/>
    <w:rsid w:val="00B64401"/>
    <w:rsid w:val="00B64DCC"/>
    <w:rsid w:val="00B65035"/>
    <w:rsid w:val="00B6599C"/>
    <w:rsid w:val="00B66126"/>
    <w:rsid w:val="00B67D05"/>
    <w:rsid w:val="00B7065F"/>
    <w:rsid w:val="00B715DB"/>
    <w:rsid w:val="00B722CC"/>
    <w:rsid w:val="00B722E9"/>
    <w:rsid w:val="00B7242E"/>
    <w:rsid w:val="00B72C13"/>
    <w:rsid w:val="00B73146"/>
    <w:rsid w:val="00B733A0"/>
    <w:rsid w:val="00B73AD2"/>
    <w:rsid w:val="00B73FDD"/>
    <w:rsid w:val="00B74BB4"/>
    <w:rsid w:val="00B75534"/>
    <w:rsid w:val="00B76B7C"/>
    <w:rsid w:val="00B7741C"/>
    <w:rsid w:val="00B7780E"/>
    <w:rsid w:val="00B77975"/>
    <w:rsid w:val="00B77DFD"/>
    <w:rsid w:val="00B77FEE"/>
    <w:rsid w:val="00B80440"/>
    <w:rsid w:val="00B80880"/>
    <w:rsid w:val="00B80D35"/>
    <w:rsid w:val="00B814BD"/>
    <w:rsid w:val="00B814E7"/>
    <w:rsid w:val="00B829DB"/>
    <w:rsid w:val="00B837F6"/>
    <w:rsid w:val="00B854DA"/>
    <w:rsid w:val="00B856B8"/>
    <w:rsid w:val="00B85856"/>
    <w:rsid w:val="00B85E68"/>
    <w:rsid w:val="00B910B1"/>
    <w:rsid w:val="00B9116D"/>
    <w:rsid w:val="00B91ADE"/>
    <w:rsid w:val="00B92F3B"/>
    <w:rsid w:val="00B93353"/>
    <w:rsid w:val="00B9339F"/>
    <w:rsid w:val="00B93750"/>
    <w:rsid w:val="00B939E6"/>
    <w:rsid w:val="00B940D9"/>
    <w:rsid w:val="00B94E7B"/>
    <w:rsid w:val="00B954CB"/>
    <w:rsid w:val="00B958A4"/>
    <w:rsid w:val="00B961FD"/>
    <w:rsid w:val="00BA088D"/>
    <w:rsid w:val="00BA2142"/>
    <w:rsid w:val="00BA2269"/>
    <w:rsid w:val="00BA2D05"/>
    <w:rsid w:val="00BA3123"/>
    <w:rsid w:val="00BA37CE"/>
    <w:rsid w:val="00BA3E7D"/>
    <w:rsid w:val="00BA4EBA"/>
    <w:rsid w:val="00BA5484"/>
    <w:rsid w:val="00BA5794"/>
    <w:rsid w:val="00BA7B4F"/>
    <w:rsid w:val="00BA7CEB"/>
    <w:rsid w:val="00BB0623"/>
    <w:rsid w:val="00BB1A98"/>
    <w:rsid w:val="00BB3B93"/>
    <w:rsid w:val="00BB4308"/>
    <w:rsid w:val="00BB4778"/>
    <w:rsid w:val="00BB4EF5"/>
    <w:rsid w:val="00BB5627"/>
    <w:rsid w:val="00BB584B"/>
    <w:rsid w:val="00BB5D9E"/>
    <w:rsid w:val="00BC0975"/>
    <w:rsid w:val="00BC118C"/>
    <w:rsid w:val="00BC1719"/>
    <w:rsid w:val="00BC2721"/>
    <w:rsid w:val="00BC3737"/>
    <w:rsid w:val="00BC4734"/>
    <w:rsid w:val="00BC6964"/>
    <w:rsid w:val="00BC73C1"/>
    <w:rsid w:val="00BC75E6"/>
    <w:rsid w:val="00BD0242"/>
    <w:rsid w:val="00BD03F6"/>
    <w:rsid w:val="00BD0952"/>
    <w:rsid w:val="00BD1558"/>
    <w:rsid w:val="00BD324E"/>
    <w:rsid w:val="00BD3411"/>
    <w:rsid w:val="00BD3DA4"/>
    <w:rsid w:val="00BD3E09"/>
    <w:rsid w:val="00BD493A"/>
    <w:rsid w:val="00BD4C84"/>
    <w:rsid w:val="00BD4F14"/>
    <w:rsid w:val="00BD5CD4"/>
    <w:rsid w:val="00BD6363"/>
    <w:rsid w:val="00BD66B0"/>
    <w:rsid w:val="00BD67A2"/>
    <w:rsid w:val="00BD75B5"/>
    <w:rsid w:val="00BD7F83"/>
    <w:rsid w:val="00BE03B1"/>
    <w:rsid w:val="00BE2DC5"/>
    <w:rsid w:val="00BE2F6D"/>
    <w:rsid w:val="00BE31F0"/>
    <w:rsid w:val="00BE3C54"/>
    <w:rsid w:val="00BE3F0B"/>
    <w:rsid w:val="00BE3FB9"/>
    <w:rsid w:val="00BE40F0"/>
    <w:rsid w:val="00BE606F"/>
    <w:rsid w:val="00BE6AD1"/>
    <w:rsid w:val="00BE7171"/>
    <w:rsid w:val="00BE7698"/>
    <w:rsid w:val="00BE7759"/>
    <w:rsid w:val="00BE776D"/>
    <w:rsid w:val="00BF1236"/>
    <w:rsid w:val="00BF1C05"/>
    <w:rsid w:val="00BF1FDC"/>
    <w:rsid w:val="00BF3062"/>
    <w:rsid w:val="00BF313B"/>
    <w:rsid w:val="00BF3F22"/>
    <w:rsid w:val="00BF4AE5"/>
    <w:rsid w:val="00BF5D6D"/>
    <w:rsid w:val="00BF79C2"/>
    <w:rsid w:val="00C01FBF"/>
    <w:rsid w:val="00C0296C"/>
    <w:rsid w:val="00C040FD"/>
    <w:rsid w:val="00C04C6C"/>
    <w:rsid w:val="00C07752"/>
    <w:rsid w:val="00C10123"/>
    <w:rsid w:val="00C1044E"/>
    <w:rsid w:val="00C123B4"/>
    <w:rsid w:val="00C14DD9"/>
    <w:rsid w:val="00C16207"/>
    <w:rsid w:val="00C165AD"/>
    <w:rsid w:val="00C16B58"/>
    <w:rsid w:val="00C16FA7"/>
    <w:rsid w:val="00C1756A"/>
    <w:rsid w:val="00C17BED"/>
    <w:rsid w:val="00C20DFA"/>
    <w:rsid w:val="00C23150"/>
    <w:rsid w:val="00C238B5"/>
    <w:rsid w:val="00C24879"/>
    <w:rsid w:val="00C24C7A"/>
    <w:rsid w:val="00C2553F"/>
    <w:rsid w:val="00C26F19"/>
    <w:rsid w:val="00C27714"/>
    <w:rsid w:val="00C2789B"/>
    <w:rsid w:val="00C30A24"/>
    <w:rsid w:val="00C30AC3"/>
    <w:rsid w:val="00C3114A"/>
    <w:rsid w:val="00C3126D"/>
    <w:rsid w:val="00C313A7"/>
    <w:rsid w:val="00C34478"/>
    <w:rsid w:val="00C34619"/>
    <w:rsid w:val="00C346E3"/>
    <w:rsid w:val="00C34802"/>
    <w:rsid w:val="00C358B1"/>
    <w:rsid w:val="00C35A8E"/>
    <w:rsid w:val="00C3647E"/>
    <w:rsid w:val="00C36829"/>
    <w:rsid w:val="00C40308"/>
    <w:rsid w:val="00C40945"/>
    <w:rsid w:val="00C40F77"/>
    <w:rsid w:val="00C41A8B"/>
    <w:rsid w:val="00C432EE"/>
    <w:rsid w:val="00C4360F"/>
    <w:rsid w:val="00C437D9"/>
    <w:rsid w:val="00C43BEE"/>
    <w:rsid w:val="00C44366"/>
    <w:rsid w:val="00C44591"/>
    <w:rsid w:val="00C44CAC"/>
    <w:rsid w:val="00C45998"/>
    <w:rsid w:val="00C462A5"/>
    <w:rsid w:val="00C4663D"/>
    <w:rsid w:val="00C47C30"/>
    <w:rsid w:val="00C47CF2"/>
    <w:rsid w:val="00C5069E"/>
    <w:rsid w:val="00C5157B"/>
    <w:rsid w:val="00C5279F"/>
    <w:rsid w:val="00C53DDE"/>
    <w:rsid w:val="00C552A2"/>
    <w:rsid w:val="00C55C5F"/>
    <w:rsid w:val="00C55EAC"/>
    <w:rsid w:val="00C56AF5"/>
    <w:rsid w:val="00C575E3"/>
    <w:rsid w:val="00C57C96"/>
    <w:rsid w:val="00C6074C"/>
    <w:rsid w:val="00C614D7"/>
    <w:rsid w:val="00C63721"/>
    <w:rsid w:val="00C642A2"/>
    <w:rsid w:val="00C66D03"/>
    <w:rsid w:val="00C67988"/>
    <w:rsid w:val="00C7008E"/>
    <w:rsid w:val="00C70A45"/>
    <w:rsid w:val="00C713C1"/>
    <w:rsid w:val="00C71C9C"/>
    <w:rsid w:val="00C721E6"/>
    <w:rsid w:val="00C73598"/>
    <w:rsid w:val="00C746DF"/>
    <w:rsid w:val="00C75E22"/>
    <w:rsid w:val="00C75E5B"/>
    <w:rsid w:val="00C7630F"/>
    <w:rsid w:val="00C778A8"/>
    <w:rsid w:val="00C82579"/>
    <w:rsid w:val="00C82FA8"/>
    <w:rsid w:val="00C853FD"/>
    <w:rsid w:val="00C86969"/>
    <w:rsid w:val="00C8761C"/>
    <w:rsid w:val="00C876E0"/>
    <w:rsid w:val="00C9075D"/>
    <w:rsid w:val="00C90862"/>
    <w:rsid w:val="00C90B7F"/>
    <w:rsid w:val="00C90D3B"/>
    <w:rsid w:val="00C91000"/>
    <w:rsid w:val="00C95723"/>
    <w:rsid w:val="00C96230"/>
    <w:rsid w:val="00C96D6F"/>
    <w:rsid w:val="00C97E47"/>
    <w:rsid w:val="00CA0EA3"/>
    <w:rsid w:val="00CA14E5"/>
    <w:rsid w:val="00CA18D2"/>
    <w:rsid w:val="00CA18ED"/>
    <w:rsid w:val="00CA26A8"/>
    <w:rsid w:val="00CA3222"/>
    <w:rsid w:val="00CA3BDF"/>
    <w:rsid w:val="00CA6A36"/>
    <w:rsid w:val="00CA6C52"/>
    <w:rsid w:val="00CA6FF1"/>
    <w:rsid w:val="00CA785A"/>
    <w:rsid w:val="00CA7DE3"/>
    <w:rsid w:val="00CB10A3"/>
    <w:rsid w:val="00CB28D1"/>
    <w:rsid w:val="00CB33F9"/>
    <w:rsid w:val="00CB390E"/>
    <w:rsid w:val="00CB6164"/>
    <w:rsid w:val="00CB61BE"/>
    <w:rsid w:val="00CB6CDF"/>
    <w:rsid w:val="00CB6E4C"/>
    <w:rsid w:val="00CB74FD"/>
    <w:rsid w:val="00CB763D"/>
    <w:rsid w:val="00CB76A5"/>
    <w:rsid w:val="00CB7E35"/>
    <w:rsid w:val="00CC0E59"/>
    <w:rsid w:val="00CC10EB"/>
    <w:rsid w:val="00CC30E6"/>
    <w:rsid w:val="00CC35B7"/>
    <w:rsid w:val="00CC35D6"/>
    <w:rsid w:val="00CC5059"/>
    <w:rsid w:val="00CC5546"/>
    <w:rsid w:val="00CC669E"/>
    <w:rsid w:val="00CC784C"/>
    <w:rsid w:val="00CC7942"/>
    <w:rsid w:val="00CC7DDC"/>
    <w:rsid w:val="00CD15E3"/>
    <w:rsid w:val="00CD1615"/>
    <w:rsid w:val="00CD1B35"/>
    <w:rsid w:val="00CD2AA0"/>
    <w:rsid w:val="00CD2D78"/>
    <w:rsid w:val="00CD41E9"/>
    <w:rsid w:val="00CD44B1"/>
    <w:rsid w:val="00CD4D56"/>
    <w:rsid w:val="00CD529E"/>
    <w:rsid w:val="00CD6D7F"/>
    <w:rsid w:val="00CD7C99"/>
    <w:rsid w:val="00CE0775"/>
    <w:rsid w:val="00CE0AD4"/>
    <w:rsid w:val="00CE192D"/>
    <w:rsid w:val="00CE1D2F"/>
    <w:rsid w:val="00CE2928"/>
    <w:rsid w:val="00CE2F8B"/>
    <w:rsid w:val="00CE3028"/>
    <w:rsid w:val="00CE46A8"/>
    <w:rsid w:val="00CE4DC3"/>
    <w:rsid w:val="00CE50A9"/>
    <w:rsid w:val="00CE600B"/>
    <w:rsid w:val="00CE72E3"/>
    <w:rsid w:val="00CF021C"/>
    <w:rsid w:val="00CF1442"/>
    <w:rsid w:val="00CF1833"/>
    <w:rsid w:val="00CF18ED"/>
    <w:rsid w:val="00CF1E48"/>
    <w:rsid w:val="00CF330C"/>
    <w:rsid w:val="00CF3C7C"/>
    <w:rsid w:val="00CF47E0"/>
    <w:rsid w:val="00CF5ABA"/>
    <w:rsid w:val="00CF64A7"/>
    <w:rsid w:val="00D00100"/>
    <w:rsid w:val="00D0051D"/>
    <w:rsid w:val="00D02A7E"/>
    <w:rsid w:val="00D02BC0"/>
    <w:rsid w:val="00D03DBB"/>
    <w:rsid w:val="00D0469D"/>
    <w:rsid w:val="00D04921"/>
    <w:rsid w:val="00D07E98"/>
    <w:rsid w:val="00D103C3"/>
    <w:rsid w:val="00D10F8C"/>
    <w:rsid w:val="00D11665"/>
    <w:rsid w:val="00D121F3"/>
    <w:rsid w:val="00D12982"/>
    <w:rsid w:val="00D131CE"/>
    <w:rsid w:val="00D1363E"/>
    <w:rsid w:val="00D14EA7"/>
    <w:rsid w:val="00D15EB7"/>
    <w:rsid w:val="00D16C89"/>
    <w:rsid w:val="00D17D14"/>
    <w:rsid w:val="00D17D15"/>
    <w:rsid w:val="00D20B51"/>
    <w:rsid w:val="00D2102A"/>
    <w:rsid w:val="00D21100"/>
    <w:rsid w:val="00D215A1"/>
    <w:rsid w:val="00D2194B"/>
    <w:rsid w:val="00D21A85"/>
    <w:rsid w:val="00D22F3E"/>
    <w:rsid w:val="00D244B4"/>
    <w:rsid w:val="00D244D2"/>
    <w:rsid w:val="00D24506"/>
    <w:rsid w:val="00D2680D"/>
    <w:rsid w:val="00D26F08"/>
    <w:rsid w:val="00D27CA8"/>
    <w:rsid w:val="00D3038C"/>
    <w:rsid w:val="00D30D77"/>
    <w:rsid w:val="00D3200C"/>
    <w:rsid w:val="00D32E2D"/>
    <w:rsid w:val="00D34F5F"/>
    <w:rsid w:val="00D350AC"/>
    <w:rsid w:val="00D35C01"/>
    <w:rsid w:val="00D37264"/>
    <w:rsid w:val="00D40D76"/>
    <w:rsid w:val="00D4338D"/>
    <w:rsid w:val="00D43916"/>
    <w:rsid w:val="00D4414D"/>
    <w:rsid w:val="00D4493C"/>
    <w:rsid w:val="00D451FF"/>
    <w:rsid w:val="00D45AD9"/>
    <w:rsid w:val="00D4729E"/>
    <w:rsid w:val="00D4772B"/>
    <w:rsid w:val="00D5005B"/>
    <w:rsid w:val="00D5067A"/>
    <w:rsid w:val="00D51A92"/>
    <w:rsid w:val="00D51AA4"/>
    <w:rsid w:val="00D5205A"/>
    <w:rsid w:val="00D537FD"/>
    <w:rsid w:val="00D548B4"/>
    <w:rsid w:val="00D54D6A"/>
    <w:rsid w:val="00D5685B"/>
    <w:rsid w:val="00D5724D"/>
    <w:rsid w:val="00D604D2"/>
    <w:rsid w:val="00D60FA2"/>
    <w:rsid w:val="00D62D4B"/>
    <w:rsid w:val="00D6356A"/>
    <w:rsid w:val="00D63B20"/>
    <w:rsid w:val="00D6540E"/>
    <w:rsid w:val="00D70BB6"/>
    <w:rsid w:val="00D70F15"/>
    <w:rsid w:val="00D71906"/>
    <w:rsid w:val="00D7361A"/>
    <w:rsid w:val="00D74AF6"/>
    <w:rsid w:val="00D7510C"/>
    <w:rsid w:val="00D75BCD"/>
    <w:rsid w:val="00D76629"/>
    <w:rsid w:val="00D76F43"/>
    <w:rsid w:val="00D82579"/>
    <w:rsid w:val="00D82B07"/>
    <w:rsid w:val="00D83311"/>
    <w:rsid w:val="00D83999"/>
    <w:rsid w:val="00D84483"/>
    <w:rsid w:val="00D85431"/>
    <w:rsid w:val="00D85A69"/>
    <w:rsid w:val="00D864B4"/>
    <w:rsid w:val="00D868C1"/>
    <w:rsid w:val="00D86C74"/>
    <w:rsid w:val="00D86C80"/>
    <w:rsid w:val="00D90C2A"/>
    <w:rsid w:val="00D90C74"/>
    <w:rsid w:val="00D90EEA"/>
    <w:rsid w:val="00D910DD"/>
    <w:rsid w:val="00D91369"/>
    <w:rsid w:val="00D91FC7"/>
    <w:rsid w:val="00D92560"/>
    <w:rsid w:val="00D927FF"/>
    <w:rsid w:val="00D931FD"/>
    <w:rsid w:val="00D94136"/>
    <w:rsid w:val="00D94A51"/>
    <w:rsid w:val="00D94F89"/>
    <w:rsid w:val="00D95B87"/>
    <w:rsid w:val="00D95C8C"/>
    <w:rsid w:val="00D95FA0"/>
    <w:rsid w:val="00D96ADE"/>
    <w:rsid w:val="00D96E68"/>
    <w:rsid w:val="00D97403"/>
    <w:rsid w:val="00DA3C0F"/>
    <w:rsid w:val="00DA4005"/>
    <w:rsid w:val="00DA4184"/>
    <w:rsid w:val="00DA5B03"/>
    <w:rsid w:val="00DA6568"/>
    <w:rsid w:val="00DB09CF"/>
    <w:rsid w:val="00DB10E4"/>
    <w:rsid w:val="00DB179B"/>
    <w:rsid w:val="00DB1CA5"/>
    <w:rsid w:val="00DB25E0"/>
    <w:rsid w:val="00DB2DF3"/>
    <w:rsid w:val="00DB336A"/>
    <w:rsid w:val="00DB3D3B"/>
    <w:rsid w:val="00DB4E2D"/>
    <w:rsid w:val="00DB50CF"/>
    <w:rsid w:val="00DB62C8"/>
    <w:rsid w:val="00DB6CD5"/>
    <w:rsid w:val="00DB71D5"/>
    <w:rsid w:val="00DC01D3"/>
    <w:rsid w:val="00DC0C38"/>
    <w:rsid w:val="00DC16DB"/>
    <w:rsid w:val="00DC1CFE"/>
    <w:rsid w:val="00DC1F74"/>
    <w:rsid w:val="00DC1F76"/>
    <w:rsid w:val="00DC3704"/>
    <w:rsid w:val="00DC5753"/>
    <w:rsid w:val="00DC5B27"/>
    <w:rsid w:val="00DC5BF3"/>
    <w:rsid w:val="00DC5CDA"/>
    <w:rsid w:val="00DC5EF0"/>
    <w:rsid w:val="00DC6015"/>
    <w:rsid w:val="00DC60B1"/>
    <w:rsid w:val="00DC64F9"/>
    <w:rsid w:val="00DC728D"/>
    <w:rsid w:val="00DC7DD0"/>
    <w:rsid w:val="00DD05A3"/>
    <w:rsid w:val="00DD0D4B"/>
    <w:rsid w:val="00DD1437"/>
    <w:rsid w:val="00DD2010"/>
    <w:rsid w:val="00DD22EE"/>
    <w:rsid w:val="00DD28F2"/>
    <w:rsid w:val="00DD2E94"/>
    <w:rsid w:val="00DD30B1"/>
    <w:rsid w:val="00DD3A68"/>
    <w:rsid w:val="00DD3E48"/>
    <w:rsid w:val="00DD457C"/>
    <w:rsid w:val="00DD562F"/>
    <w:rsid w:val="00DD60C2"/>
    <w:rsid w:val="00DD6463"/>
    <w:rsid w:val="00DD69C7"/>
    <w:rsid w:val="00DD73F7"/>
    <w:rsid w:val="00DD7686"/>
    <w:rsid w:val="00DD7A0D"/>
    <w:rsid w:val="00DE0115"/>
    <w:rsid w:val="00DE110D"/>
    <w:rsid w:val="00DE1ECE"/>
    <w:rsid w:val="00DE25DF"/>
    <w:rsid w:val="00DE2E33"/>
    <w:rsid w:val="00DE3C3A"/>
    <w:rsid w:val="00DE41EA"/>
    <w:rsid w:val="00DE563F"/>
    <w:rsid w:val="00DE5E6D"/>
    <w:rsid w:val="00DE6173"/>
    <w:rsid w:val="00DE6328"/>
    <w:rsid w:val="00DE7938"/>
    <w:rsid w:val="00DE7D3A"/>
    <w:rsid w:val="00DF0960"/>
    <w:rsid w:val="00DF1017"/>
    <w:rsid w:val="00DF24A2"/>
    <w:rsid w:val="00DF2F73"/>
    <w:rsid w:val="00DF4BC4"/>
    <w:rsid w:val="00DF52CE"/>
    <w:rsid w:val="00DF57C1"/>
    <w:rsid w:val="00DF60D2"/>
    <w:rsid w:val="00DF6568"/>
    <w:rsid w:val="00DF686F"/>
    <w:rsid w:val="00DF7425"/>
    <w:rsid w:val="00DF74B6"/>
    <w:rsid w:val="00DF7BC3"/>
    <w:rsid w:val="00E00638"/>
    <w:rsid w:val="00E00B39"/>
    <w:rsid w:val="00E01DE2"/>
    <w:rsid w:val="00E020A9"/>
    <w:rsid w:val="00E02DC7"/>
    <w:rsid w:val="00E03074"/>
    <w:rsid w:val="00E030CF"/>
    <w:rsid w:val="00E03268"/>
    <w:rsid w:val="00E03720"/>
    <w:rsid w:val="00E045AF"/>
    <w:rsid w:val="00E049D8"/>
    <w:rsid w:val="00E065C7"/>
    <w:rsid w:val="00E0710B"/>
    <w:rsid w:val="00E07A8E"/>
    <w:rsid w:val="00E07CA6"/>
    <w:rsid w:val="00E10982"/>
    <w:rsid w:val="00E117D6"/>
    <w:rsid w:val="00E11A70"/>
    <w:rsid w:val="00E12139"/>
    <w:rsid w:val="00E13772"/>
    <w:rsid w:val="00E137EB"/>
    <w:rsid w:val="00E13A0B"/>
    <w:rsid w:val="00E1417B"/>
    <w:rsid w:val="00E14C33"/>
    <w:rsid w:val="00E15F06"/>
    <w:rsid w:val="00E162AC"/>
    <w:rsid w:val="00E1680A"/>
    <w:rsid w:val="00E16C2E"/>
    <w:rsid w:val="00E16C52"/>
    <w:rsid w:val="00E177CC"/>
    <w:rsid w:val="00E2014B"/>
    <w:rsid w:val="00E2145D"/>
    <w:rsid w:val="00E2253B"/>
    <w:rsid w:val="00E239B7"/>
    <w:rsid w:val="00E252E6"/>
    <w:rsid w:val="00E26C62"/>
    <w:rsid w:val="00E30FA5"/>
    <w:rsid w:val="00E31514"/>
    <w:rsid w:val="00E325EA"/>
    <w:rsid w:val="00E33673"/>
    <w:rsid w:val="00E348F2"/>
    <w:rsid w:val="00E35513"/>
    <w:rsid w:val="00E35888"/>
    <w:rsid w:val="00E3592F"/>
    <w:rsid w:val="00E35F59"/>
    <w:rsid w:val="00E3697E"/>
    <w:rsid w:val="00E36CAA"/>
    <w:rsid w:val="00E372BC"/>
    <w:rsid w:val="00E37A73"/>
    <w:rsid w:val="00E40FAA"/>
    <w:rsid w:val="00E41F43"/>
    <w:rsid w:val="00E42E4B"/>
    <w:rsid w:val="00E4348E"/>
    <w:rsid w:val="00E43491"/>
    <w:rsid w:val="00E43B17"/>
    <w:rsid w:val="00E43B9D"/>
    <w:rsid w:val="00E43F29"/>
    <w:rsid w:val="00E44E42"/>
    <w:rsid w:val="00E451ED"/>
    <w:rsid w:val="00E46A28"/>
    <w:rsid w:val="00E475B3"/>
    <w:rsid w:val="00E50EAC"/>
    <w:rsid w:val="00E515E4"/>
    <w:rsid w:val="00E51BF6"/>
    <w:rsid w:val="00E53FF1"/>
    <w:rsid w:val="00E54D97"/>
    <w:rsid w:val="00E55CC3"/>
    <w:rsid w:val="00E5762B"/>
    <w:rsid w:val="00E61306"/>
    <w:rsid w:val="00E62007"/>
    <w:rsid w:val="00E63F42"/>
    <w:rsid w:val="00E64644"/>
    <w:rsid w:val="00E67043"/>
    <w:rsid w:val="00E6716A"/>
    <w:rsid w:val="00E67891"/>
    <w:rsid w:val="00E67BE4"/>
    <w:rsid w:val="00E67E85"/>
    <w:rsid w:val="00E70416"/>
    <w:rsid w:val="00E70508"/>
    <w:rsid w:val="00E70C86"/>
    <w:rsid w:val="00E72AAE"/>
    <w:rsid w:val="00E733FC"/>
    <w:rsid w:val="00E740F8"/>
    <w:rsid w:val="00E74D10"/>
    <w:rsid w:val="00E752FD"/>
    <w:rsid w:val="00E75970"/>
    <w:rsid w:val="00E81880"/>
    <w:rsid w:val="00E81AC0"/>
    <w:rsid w:val="00E81CC4"/>
    <w:rsid w:val="00E831C6"/>
    <w:rsid w:val="00E83664"/>
    <w:rsid w:val="00E83C55"/>
    <w:rsid w:val="00E83D2E"/>
    <w:rsid w:val="00E849F5"/>
    <w:rsid w:val="00E86C79"/>
    <w:rsid w:val="00E8739A"/>
    <w:rsid w:val="00E87F02"/>
    <w:rsid w:val="00E92260"/>
    <w:rsid w:val="00E923AC"/>
    <w:rsid w:val="00E932AA"/>
    <w:rsid w:val="00E948AC"/>
    <w:rsid w:val="00E95137"/>
    <w:rsid w:val="00E951AD"/>
    <w:rsid w:val="00E954DD"/>
    <w:rsid w:val="00E95D12"/>
    <w:rsid w:val="00E967FF"/>
    <w:rsid w:val="00E979E3"/>
    <w:rsid w:val="00EA0056"/>
    <w:rsid w:val="00EA12F8"/>
    <w:rsid w:val="00EA14E3"/>
    <w:rsid w:val="00EA3050"/>
    <w:rsid w:val="00EA35F7"/>
    <w:rsid w:val="00EA3C92"/>
    <w:rsid w:val="00EA45D4"/>
    <w:rsid w:val="00EA6100"/>
    <w:rsid w:val="00EB0A65"/>
    <w:rsid w:val="00EB11FF"/>
    <w:rsid w:val="00EB16B8"/>
    <w:rsid w:val="00EB3F10"/>
    <w:rsid w:val="00EB4135"/>
    <w:rsid w:val="00EB63EA"/>
    <w:rsid w:val="00EB6993"/>
    <w:rsid w:val="00EB7341"/>
    <w:rsid w:val="00EB7B7D"/>
    <w:rsid w:val="00EC1249"/>
    <w:rsid w:val="00EC16CC"/>
    <w:rsid w:val="00EC483B"/>
    <w:rsid w:val="00EC4F2A"/>
    <w:rsid w:val="00EC6E94"/>
    <w:rsid w:val="00EC7DCA"/>
    <w:rsid w:val="00ED1482"/>
    <w:rsid w:val="00ED1727"/>
    <w:rsid w:val="00ED2361"/>
    <w:rsid w:val="00ED28DC"/>
    <w:rsid w:val="00ED2A10"/>
    <w:rsid w:val="00ED4188"/>
    <w:rsid w:val="00ED4DB0"/>
    <w:rsid w:val="00ED4DCF"/>
    <w:rsid w:val="00ED52B4"/>
    <w:rsid w:val="00ED61E8"/>
    <w:rsid w:val="00ED62D5"/>
    <w:rsid w:val="00ED7997"/>
    <w:rsid w:val="00ED7B89"/>
    <w:rsid w:val="00ED7CAA"/>
    <w:rsid w:val="00EE030C"/>
    <w:rsid w:val="00EE175A"/>
    <w:rsid w:val="00EE2BB6"/>
    <w:rsid w:val="00EE3210"/>
    <w:rsid w:val="00EE3AA5"/>
    <w:rsid w:val="00EE435E"/>
    <w:rsid w:val="00EE4904"/>
    <w:rsid w:val="00EE4EE8"/>
    <w:rsid w:val="00EE5169"/>
    <w:rsid w:val="00EE71D2"/>
    <w:rsid w:val="00EE756E"/>
    <w:rsid w:val="00EE7983"/>
    <w:rsid w:val="00EF0124"/>
    <w:rsid w:val="00EF0E42"/>
    <w:rsid w:val="00EF1169"/>
    <w:rsid w:val="00EF1C01"/>
    <w:rsid w:val="00EF37BD"/>
    <w:rsid w:val="00EF389F"/>
    <w:rsid w:val="00EF3ECD"/>
    <w:rsid w:val="00EF44FA"/>
    <w:rsid w:val="00EF5CDD"/>
    <w:rsid w:val="00EF617C"/>
    <w:rsid w:val="00EF7A3E"/>
    <w:rsid w:val="00F0237E"/>
    <w:rsid w:val="00F02E56"/>
    <w:rsid w:val="00F02FC6"/>
    <w:rsid w:val="00F03ABB"/>
    <w:rsid w:val="00F070F1"/>
    <w:rsid w:val="00F0769D"/>
    <w:rsid w:val="00F076DC"/>
    <w:rsid w:val="00F07742"/>
    <w:rsid w:val="00F079EC"/>
    <w:rsid w:val="00F1019C"/>
    <w:rsid w:val="00F11279"/>
    <w:rsid w:val="00F114BE"/>
    <w:rsid w:val="00F11DD3"/>
    <w:rsid w:val="00F12238"/>
    <w:rsid w:val="00F129B0"/>
    <w:rsid w:val="00F1393B"/>
    <w:rsid w:val="00F13D6A"/>
    <w:rsid w:val="00F13F92"/>
    <w:rsid w:val="00F1433D"/>
    <w:rsid w:val="00F14BF3"/>
    <w:rsid w:val="00F15046"/>
    <w:rsid w:val="00F15E31"/>
    <w:rsid w:val="00F16A06"/>
    <w:rsid w:val="00F16FF1"/>
    <w:rsid w:val="00F20058"/>
    <w:rsid w:val="00F21A4A"/>
    <w:rsid w:val="00F22186"/>
    <w:rsid w:val="00F2241B"/>
    <w:rsid w:val="00F2264B"/>
    <w:rsid w:val="00F22F59"/>
    <w:rsid w:val="00F239C2"/>
    <w:rsid w:val="00F25678"/>
    <w:rsid w:val="00F25BAF"/>
    <w:rsid w:val="00F25E02"/>
    <w:rsid w:val="00F267DD"/>
    <w:rsid w:val="00F26A65"/>
    <w:rsid w:val="00F26BEE"/>
    <w:rsid w:val="00F26C62"/>
    <w:rsid w:val="00F27766"/>
    <w:rsid w:val="00F30533"/>
    <w:rsid w:val="00F32819"/>
    <w:rsid w:val="00F32887"/>
    <w:rsid w:val="00F332FF"/>
    <w:rsid w:val="00F33397"/>
    <w:rsid w:val="00F34166"/>
    <w:rsid w:val="00F35870"/>
    <w:rsid w:val="00F35B89"/>
    <w:rsid w:val="00F3601E"/>
    <w:rsid w:val="00F361D8"/>
    <w:rsid w:val="00F37251"/>
    <w:rsid w:val="00F373F7"/>
    <w:rsid w:val="00F37EF9"/>
    <w:rsid w:val="00F40D99"/>
    <w:rsid w:val="00F411E8"/>
    <w:rsid w:val="00F41344"/>
    <w:rsid w:val="00F4140F"/>
    <w:rsid w:val="00F416A1"/>
    <w:rsid w:val="00F43844"/>
    <w:rsid w:val="00F44EF8"/>
    <w:rsid w:val="00F458C8"/>
    <w:rsid w:val="00F45D42"/>
    <w:rsid w:val="00F45D82"/>
    <w:rsid w:val="00F46434"/>
    <w:rsid w:val="00F50116"/>
    <w:rsid w:val="00F507A1"/>
    <w:rsid w:val="00F5095A"/>
    <w:rsid w:val="00F51567"/>
    <w:rsid w:val="00F52417"/>
    <w:rsid w:val="00F52BCF"/>
    <w:rsid w:val="00F541CE"/>
    <w:rsid w:val="00F54E2A"/>
    <w:rsid w:val="00F54F83"/>
    <w:rsid w:val="00F55552"/>
    <w:rsid w:val="00F556AE"/>
    <w:rsid w:val="00F55F04"/>
    <w:rsid w:val="00F55F4F"/>
    <w:rsid w:val="00F56E3C"/>
    <w:rsid w:val="00F57B3A"/>
    <w:rsid w:val="00F618F7"/>
    <w:rsid w:val="00F621B6"/>
    <w:rsid w:val="00F62DC3"/>
    <w:rsid w:val="00F63B1D"/>
    <w:rsid w:val="00F64049"/>
    <w:rsid w:val="00F65B3E"/>
    <w:rsid w:val="00F65D98"/>
    <w:rsid w:val="00F66AE4"/>
    <w:rsid w:val="00F674E0"/>
    <w:rsid w:val="00F67D64"/>
    <w:rsid w:val="00F7074E"/>
    <w:rsid w:val="00F70AF2"/>
    <w:rsid w:val="00F7110F"/>
    <w:rsid w:val="00F72544"/>
    <w:rsid w:val="00F72833"/>
    <w:rsid w:val="00F746CD"/>
    <w:rsid w:val="00F749DD"/>
    <w:rsid w:val="00F74A0F"/>
    <w:rsid w:val="00F752EB"/>
    <w:rsid w:val="00F773E7"/>
    <w:rsid w:val="00F77F2E"/>
    <w:rsid w:val="00F802D9"/>
    <w:rsid w:val="00F81014"/>
    <w:rsid w:val="00F812CC"/>
    <w:rsid w:val="00F83C60"/>
    <w:rsid w:val="00F84477"/>
    <w:rsid w:val="00F91078"/>
    <w:rsid w:val="00F9197E"/>
    <w:rsid w:val="00F92AF2"/>
    <w:rsid w:val="00F938DA"/>
    <w:rsid w:val="00F93FCE"/>
    <w:rsid w:val="00F9449C"/>
    <w:rsid w:val="00F95A80"/>
    <w:rsid w:val="00F95BEC"/>
    <w:rsid w:val="00F95E83"/>
    <w:rsid w:val="00F96757"/>
    <w:rsid w:val="00F97611"/>
    <w:rsid w:val="00F97E82"/>
    <w:rsid w:val="00FA180B"/>
    <w:rsid w:val="00FA2E6B"/>
    <w:rsid w:val="00FA2E93"/>
    <w:rsid w:val="00FA569B"/>
    <w:rsid w:val="00FA63DE"/>
    <w:rsid w:val="00FA6A2D"/>
    <w:rsid w:val="00FA72F9"/>
    <w:rsid w:val="00FA747E"/>
    <w:rsid w:val="00FA75F9"/>
    <w:rsid w:val="00FA7AFF"/>
    <w:rsid w:val="00FB0F3B"/>
    <w:rsid w:val="00FB116F"/>
    <w:rsid w:val="00FB15BD"/>
    <w:rsid w:val="00FB5E46"/>
    <w:rsid w:val="00FB644D"/>
    <w:rsid w:val="00FB699E"/>
    <w:rsid w:val="00FB720E"/>
    <w:rsid w:val="00FB78EC"/>
    <w:rsid w:val="00FB7E66"/>
    <w:rsid w:val="00FC0B51"/>
    <w:rsid w:val="00FC0C33"/>
    <w:rsid w:val="00FC2A19"/>
    <w:rsid w:val="00FC3505"/>
    <w:rsid w:val="00FC44B2"/>
    <w:rsid w:val="00FC561F"/>
    <w:rsid w:val="00FC5CE8"/>
    <w:rsid w:val="00FC648B"/>
    <w:rsid w:val="00FC7341"/>
    <w:rsid w:val="00FD017D"/>
    <w:rsid w:val="00FD1109"/>
    <w:rsid w:val="00FD12DE"/>
    <w:rsid w:val="00FD12EB"/>
    <w:rsid w:val="00FD1BE7"/>
    <w:rsid w:val="00FD32BD"/>
    <w:rsid w:val="00FD332D"/>
    <w:rsid w:val="00FD3685"/>
    <w:rsid w:val="00FD4C0D"/>
    <w:rsid w:val="00FD4DEC"/>
    <w:rsid w:val="00FD5598"/>
    <w:rsid w:val="00FD78D2"/>
    <w:rsid w:val="00FE0510"/>
    <w:rsid w:val="00FE1981"/>
    <w:rsid w:val="00FE2807"/>
    <w:rsid w:val="00FE372E"/>
    <w:rsid w:val="00FE38CE"/>
    <w:rsid w:val="00FE3F4F"/>
    <w:rsid w:val="00FE416B"/>
    <w:rsid w:val="00FE5293"/>
    <w:rsid w:val="00FE64D3"/>
    <w:rsid w:val="00FE73C4"/>
    <w:rsid w:val="00FE7A16"/>
    <w:rsid w:val="00FF0631"/>
    <w:rsid w:val="00FF06DD"/>
    <w:rsid w:val="00FF09AB"/>
    <w:rsid w:val="00FF1419"/>
    <w:rsid w:val="00FF1C4B"/>
    <w:rsid w:val="00FF3817"/>
    <w:rsid w:val="00FF3A79"/>
    <w:rsid w:val="00FF600E"/>
    <w:rsid w:val="00FF651C"/>
    <w:rsid w:val="00FF78C9"/>
    <w:rsid w:val="0EBB3913"/>
    <w:rsid w:val="13FEFABF"/>
    <w:rsid w:val="179F41F4"/>
    <w:rsid w:val="17AF8490"/>
    <w:rsid w:val="17DE7803"/>
    <w:rsid w:val="17F86BE3"/>
    <w:rsid w:val="1A2E47E1"/>
    <w:rsid w:val="1AFF8960"/>
    <w:rsid w:val="1BBB6510"/>
    <w:rsid w:val="1DDFD208"/>
    <w:rsid w:val="1DE90486"/>
    <w:rsid w:val="1DED3BCD"/>
    <w:rsid w:val="1EA84C25"/>
    <w:rsid w:val="1EEBC22D"/>
    <w:rsid w:val="1F3FDAD2"/>
    <w:rsid w:val="1F5480AA"/>
    <w:rsid w:val="1F6B5F27"/>
    <w:rsid w:val="1FF06692"/>
    <w:rsid w:val="1FFF9B88"/>
    <w:rsid w:val="257D3D82"/>
    <w:rsid w:val="27EBB43D"/>
    <w:rsid w:val="299FBAF1"/>
    <w:rsid w:val="2B8977BA"/>
    <w:rsid w:val="2BEF3B9A"/>
    <w:rsid w:val="2BFE5C17"/>
    <w:rsid w:val="2DFFFFA7"/>
    <w:rsid w:val="2E562382"/>
    <w:rsid w:val="2EBDC219"/>
    <w:rsid w:val="2EE7D73E"/>
    <w:rsid w:val="2FFFC69F"/>
    <w:rsid w:val="33DBEA29"/>
    <w:rsid w:val="33DD058C"/>
    <w:rsid w:val="33EE5688"/>
    <w:rsid w:val="35AFB833"/>
    <w:rsid w:val="36BFC345"/>
    <w:rsid w:val="3777DFC9"/>
    <w:rsid w:val="37BD66F4"/>
    <w:rsid w:val="37D26F74"/>
    <w:rsid w:val="37D806FE"/>
    <w:rsid w:val="37E63D38"/>
    <w:rsid w:val="37FF48B0"/>
    <w:rsid w:val="37FFC8E1"/>
    <w:rsid w:val="387B4262"/>
    <w:rsid w:val="399ABBF6"/>
    <w:rsid w:val="399DB19E"/>
    <w:rsid w:val="39F3271A"/>
    <w:rsid w:val="3A74DFA2"/>
    <w:rsid w:val="3A788B9E"/>
    <w:rsid w:val="3AF80E0C"/>
    <w:rsid w:val="3B6BB203"/>
    <w:rsid w:val="3B736677"/>
    <w:rsid w:val="3BBB88BC"/>
    <w:rsid w:val="3BBDD3A6"/>
    <w:rsid w:val="3BC5516A"/>
    <w:rsid w:val="3BFDD770"/>
    <w:rsid w:val="3BFE50D6"/>
    <w:rsid w:val="3D3B0CDB"/>
    <w:rsid w:val="3D67660A"/>
    <w:rsid w:val="3D7B509B"/>
    <w:rsid w:val="3D998700"/>
    <w:rsid w:val="3DDDE0D6"/>
    <w:rsid w:val="3DDF953E"/>
    <w:rsid w:val="3E7DA152"/>
    <w:rsid w:val="3ECB3359"/>
    <w:rsid w:val="3ECFFCCE"/>
    <w:rsid w:val="3EEFAD5B"/>
    <w:rsid w:val="3F6F954E"/>
    <w:rsid w:val="3F7E07F0"/>
    <w:rsid w:val="3F87DFBE"/>
    <w:rsid w:val="3FB725DA"/>
    <w:rsid w:val="3FBF0390"/>
    <w:rsid w:val="3FCFF20D"/>
    <w:rsid w:val="3FD1C6F9"/>
    <w:rsid w:val="3FEBFC9F"/>
    <w:rsid w:val="3FF2B9C0"/>
    <w:rsid w:val="3FF91F94"/>
    <w:rsid w:val="3FFDAD2C"/>
    <w:rsid w:val="3FFFD416"/>
    <w:rsid w:val="43EB4A0F"/>
    <w:rsid w:val="45FFD142"/>
    <w:rsid w:val="46F32C31"/>
    <w:rsid w:val="472FF00A"/>
    <w:rsid w:val="47FDF885"/>
    <w:rsid w:val="4BBB52B5"/>
    <w:rsid w:val="4CFEB18E"/>
    <w:rsid w:val="4DA72CDB"/>
    <w:rsid w:val="4DBDB5DF"/>
    <w:rsid w:val="4DED6ABF"/>
    <w:rsid w:val="4EFED6A1"/>
    <w:rsid w:val="4FAF858E"/>
    <w:rsid w:val="4FBFC49D"/>
    <w:rsid w:val="4FCF3705"/>
    <w:rsid w:val="4FDF3083"/>
    <w:rsid w:val="4FFC94BA"/>
    <w:rsid w:val="4FFDDF6B"/>
    <w:rsid w:val="4FFDF73B"/>
    <w:rsid w:val="51DDF5D3"/>
    <w:rsid w:val="53BF9C50"/>
    <w:rsid w:val="53F33469"/>
    <w:rsid w:val="53FE99F7"/>
    <w:rsid w:val="5475D54A"/>
    <w:rsid w:val="567876CC"/>
    <w:rsid w:val="56BFF755"/>
    <w:rsid w:val="56EB7D5F"/>
    <w:rsid w:val="57BFFC7F"/>
    <w:rsid w:val="57E47BE2"/>
    <w:rsid w:val="57FF7E2F"/>
    <w:rsid w:val="589F3AA8"/>
    <w:rsid w:val="5B6BFBFF"/>
    <w:rsid w:val="5B956BB4"/>
    <w:rsid w:val="5BA9F04D"/>
    <w:rsid w:val="5BEFB9FC"/>
    <w:rsid w:val="5BFDB14D"/>
    <w:rsid w:val="5CF71AD6"/>
    <w:rsid w:val="5E67D2CC"/>
    <w:rsid w:val="5E877BD3"/>
    <w:rsid w:val="5EFF1AD7"/>
    <w:rsid w:val="5F5981ED"/>
    <w:rsid w:val="5F5A7856"/>
    <w:rsid w:val="5F9E9B51"/>
    <w:rsid w:val="5FBF370C"/>
    <w:rsid w:val="5FBF933C"/>
    <w:rsid w:val="5FDC5624"/>
    <w:rsid w:val="5FDEC9FA"/>
    <w:rsid w:val="5FFE283F"/>
    <w:rsid w:val="5FFE7FD4"/>
    <w:rsid w:val="63F75EA4"/>
    <w:rsid w:val="63F7824E"/>
    <w:rsid w:val="63FF48F6"/>
    <w:rsid w:val="667A2281"/>
    <w:rsid w:val="66BFD312"/>
    <w:rsid w:val="67BCF3F1"/>
    <w:rsid w:val="67F78263"/>
    <w:rsid w:val="67FB1E60"/>
    <w:rsid w:val="6A7A0A02"/>
    <w:rsid w:val="6B7F3181"/>
    <w:rsid w:val="6BDF01C5"/>
    <w:rsid w:val="6BDFB657"/>
    <w:rsid w:val="6BFB8FEE"/>
    <w:rsid w:val="6CFD50AE"/>
    <w:rsid w:val="6D3F520E"/>
    <w:rsid w:val="6D7DCC3E"/>
    <w:rsid w:val="6DF74A80"/>
    <w:rsid w:val="6DFDB741"/>
    <w:rsid w:val="6E27014F"/>
    <w:rsid w:val="6E3FE128"/>
    <w:rsid w:val="6EB726C4"/>
    <w:rsid w:val="6ECCB23A"/>
    <w:rsid w:val="6EFF0F40"/>
    <w:rsid w:val="6F3D4151"/>
    <w:rsid w:val="6F5D7FB4"/>
    <w:rsid w:val="6F7EDCF3"/>
    <w:rsid w:val="6F9D2366"/>
    <w:rsid w:val="6FFF8A20"/>
    <w:rsid w:val="6FFFBD90"/>
    <w:rsid w:val="6FFFF306"/>
    <w:rsid w:val="717F5827"/>
    <w:rsid w:val="71EFA681"/>
    <w:rsid w:val="71FF450D"/>
    <w:rsid w:val="735D428C"/>
    <w:rsid w:val="73F3FE4F"/>
    <w:rsid w:val="73FA644A"/>
    <w:rsid w:val="73FBBD26"/>
    <w:rsid w:val="73FE9EE3"/>
    <w:rsid w:val="743FD79C"/>
    <w:rsid w:val="75F96D37"/>
    <w:rsid w:val="75F9A1DE"/>
    <w:rsid w:val="761D0A0A"/>
    <w:rsid w:val="76BF90F3"/>
    <w:rsid w:val="76EF418A"/>
    <w:rsid w:val="772D76A1"/>
    <w:rsid w:val="77673D08"/>
    <w:rsid w:val="777E5C7E"/>
    <w:rsid w:val="777FC89E"/>
    <w:rsid w:val="77C7E187"/>
    <w:rsid w:val="77D229B1"/>
    <w:rsid w:val="77DFF2F0"/>
    <w:rsid w:val="77E095C2"/>
    <w:rsid w:val="77EE76AF"/>
    <w:rsid w:val="77F4BEF3"/>
    <w:rsid w:val="77F4D592"/>
    <w:rsid w:val="77F9A855"/>
    <w:rsid w:val="77FC9DFC"/>
    <w:rsid w:val="77FD4DDD"/>
    <w:rsid w:val="77FFA20E"/>
    <w:rsid w:val="78FFEB4C"/>
    <w:rsid w:val="797FF0F9"/>
    <w:rsid w:val="79C32289"/>
    <w:rsid w:val="79DFD80C"/>
    <w:rsid w:val="79FD9140"/>
    <w:rsid w:val="7A7BA9E3"/>
    <w:rsid w:val="7AB2EC88"/>
    <w:rsid w:val="7ABD16B5"/>
    <w:rsid w:val="7AD5E3E7"/>
    <w:rsid w:val="7AEEFFBB"/>
    <w:rsid w:val="7AEF7753"/>
    <w:rsid w:val="7AF54FDD"/>
    <w:rsid w:val="7AFD72DA"/>
    <w:rsid w:val="7AFD9F7B"/>
    <w:rsid w:val="7B0F24A3"/>
    <w:rsid w:val="7B3F0902"/>
    <w:rsid w:val="7B722FFC"/>
    <w:rsid w:val="7B7B5A30"/>
    <w:rsid w:val="7B7E3D11"/>
    <w:rsid w:val="7B929D96"/>
    <w:rsid w:val="7BAD5DA6"/>
    <w:rsid w:val="7BB51667"/>
    <w:rsid w:val="7BCE8299"/>
    <w:rsid w:val="7BDCFAED"/>
    <w:rsid w:val="7BDE7C34"/>
    <w:rsid w:val="7BDF2716"/>
    <w:rsid w:val="7BE35561"/>
    <w:rsid w:val="7BEAE6A8"/>
    <w:rsid w:val="7BF1CC24"/>
    <w:rsid w:val="7BF228A8"/>
    <w:rsid w:val="7BF35F4E"/>
    <w:rsid w:val="7BF5D1B7"/>
    <w:rsid w:val="7BF784EE"/>
    <w:rsid w:val="7BFB154C"/>
    <w:rsid w:val="7BFDC5F1"/>
    <w:rsid w:val="7BFE0366"/>
    <w:rsid w:val="7BFE0CE7"/>
    <w:rsid w:val="7BFEE14B"/>
    <w:rsid w:val="7BFF74A6"/>
    <w:rsid w:val="7BFFDCA3"/>
    <w:rsid w:val="7BFFF09E"/>
    <w:rsid w:val="7C3FFE77"/>
    <w:rsid w:val="7C6DFE09"/>
    <w:rsid w:val="7CBCE626"/>
    <w:rsid w:val="7CF90713"/>
    <w:rsid w:val="7CFDE6AB"/>
    <w:rsid w:val="7D2F6A36"/>
    <w:rsid w:val="7D2FF221"/>
    <w:rsid w:val="7D794041"/>
    <w:rsid w:val="7D7DC016"/>
    <w:rsid w:val="7D7EBE7D"/>
    <w:rsid w:val="7D9B4856"/>
    <w:rsid w:val="7DAE308F"/>
    <w:rsid w:val="7DAF8733"/>
    <w:rsid w:val="7DBFC157"/>
    <w:rsid w:val="7DDDC724"/>
    <w:rsid w:val="7DEE7464"/>
    <w:rsid w:val="7DF771AE"/>
    <w:rsid w:val="7DF7C14C"/>
    <w:rsid w:val="7DFB5513"/>
    <w:rsid w:val="7DFDA2FE"/>
    <w:rsid w:val="7DFF23C0"/>
    <w:rsid w:val="7DFF676D"/>
    <w:rsid w:val="7DFFA7C7"/>
    <w:rsid w:val="7DFFB5BF"/>
    <w:rsid w:val="7E0E7858"/>
    <w:rsid w:val="7E3F9E6E"/>
    <w:rsid w:val="7E79E611"/>
    <w:rsid w:val="7E7B090A"/>
    <w:rsid w:val="7E7F64ED"/>
    <w:rsid w:val="7EB9920F"/>
    <w:rsid w:val="7EBFE927"/>
    <w:rsid w:val="7EEC9966"/>
    <w:rsid w:val="7F1419E9"/>
    <w:rsid w:val="7F339FF2"/>
    <w:rsid w:val="7F4D346E"/>
    <w:rsid w:val="7F7785EC"/>
    <w:rsid w:val="7F7F863E"/>
    <w:rsid w:val="7F7FC207"/>
    <w:rsid w:val="7F9CFC9F"/>
    <w:rsid w:val="7F9D5CC3"/>
    <w:rsid w:val="7F9E97B1"/>
    <w:rsid w:val="7F9EB1E1"/>
    <w:rsid w:val="7FB5C1B1"/>
    <w:rsid w:val="7FB98CAE"/>
    <w:rsid w:val="7FDB83E5"/>
    <w:rsid w:val="7FDF3A52"/>
    <w:rsid w:val="7FE697FC"/>
    <w:rsid w:val="7FED7DB5"/>
    <w:rsid w:val="7FEE1C26"/>
    <w:rsid w:val="7FEFD6CE"/>
    <w:rsid w:val="7FF45420"/>
    <w:rsid w:val="7FF70DE9"/>
    <w:rsid w:val="7FFB05B7"/>
    <w:rsid w:val="7FFB4058"/>
    <w:rsid w:val="7FFB7CFA"/>
    <w:rsid w:val="7FFE2FA7"/>
    <w:rsid w:val="7FFF0421"/>
    <w:rsid w:val="7FFF30CF"/>
    <w:rsid w:val="7FFFB7F9"/>
    <w:rsid w:val="879BFB03"/>
    <w:rsid w:val="8FFF85BE"/>
    <w:rsid w:val="92F9A62C"/>
    <w:rsid w:val="93FFC275"/>
    <w:rsid w:val="9769878A"/>
    <w:rsid w:val="9B7E5382"/>
    <w:rsid w:val="9CD76E51"/>
    <w:rsid w:val="9DACB87B"/>
    <w:rsid w:val="9DDB9A89"/>
    <w:rsid w:val="9E7E6128"/>
    <w:rsid w:val="9F267358"/>
    <w:rsid w:val="9FFD1C53"/>
    <w:rsid w:val="A3FE4512"/>
    <w:rsid w:val="A6F74540"/>
    <w:rsid w:val="A71ED31B"/>
    <w:rsid w:val="AA3D8ACD"/>
    <w:rsid w:val="ABF91633"/>
    <w:rsid w:val="AD6738A0"/>
    <w:rsid w:val="ADDF6D50"/>
    <w:rsid w:val="AF3E4908"/>
    <w:rsid w:val="AFA9F66D"/>
    <w:rsid w:val="AFBECF40"/>
    <w:rsid w:val="AFDF81A5"/>
    <w:rsid w:val="AFFB09D5"/>
    <w:rsid w:val="AFFD69F6"/>
    <w:rsid w:val="AFFF230E"/>
    <w:rsid w:val="B5BF62B6"/>
    <w:rsid w:val="B5BFEA94"/>
    <w:rsid w:val="B5EE3B3B"/>
    <w:rsid w:val="B7B81B4A"/>
    <w:rsid w:val="B7EF48AE"/>
    <w:rsid w:val="B7F961C0"/>
    <w:rsid w:val="B96FE746"/>
    <w:rsid w:val="B9D8EAAB"/>
    <w:rsid w:val="BAE7CC31"/>
    <w:rsid w:val="BAF718C3"/>
    <w:rsid w:val="BBBF4C69"/>
    <w:rsid w:val="BBFE5047"/>
    <w:rsid w:val="BD754F3B"/>
    <w:rsid w:val="BDBF97D3"/>
    <w:rsid w:val="BDEFE42A"/>
    <w:rsid w:val="BE7E0591"/>
    <w:rsid w:val="BEA7EBDB"/>
    <w:rsid w:val="BEC46636"/>
    <w:rsid w:val="BED96EE9"/>
    <w:rsid w:val="BEDF1112"/>
    <w:rsid w:val="BEED256F"/>
    <w:rsid w:val="BEF6CAE2"/>
    <w:rsid w:val="BEFF6D96"/>
    <w:rsid w:val="BF5EA3A8"/>
    <w:rsid w:val="BF7DB388"/>
    <w:rsid w:val="BF7EB378"/>
    <w:rsid w:val="BF7F591D"/>
    <w:rsid w:val="BF934109"/>
    <w:rsid w:val="BF9DFB9B"/>
    <w:rsid w:val="BFDB1280"/>
    <w:rsid w:val="BFDF30D3"/>
    <w:rsid w:val="BFEF3C25"/>
    <w:rsid w:val="BFFF7771"/>
    <w:rsid w:val="BFFFCF77"/>
    <w:rsid w:val="C5EFB495"/>
    <w:rsid w:val="C6F73750"/>
    <w:rsid w:val="C6FB952D"/>
    <w:rsid w:val="C7FD2C8F"/>
    <w:rsid w:val="C8A79E1E"/>
    <w:rsid w:val="CCBED1B5"/>
    <w:rsid w:val="CD7857EE"/>
    <w:rsid w:val="CDFAC38A"/>
    <w:rsid w:val="CEF91265"/>
    <w:rsid w:val="CF692730"/>
    <w:rsid w:val="CFF6E5C0"/>
    <w:rsid w:val="D33ADBA6"/>
    <w:rsid w:val="D377BB68"/>
    <w:rsid w:val="D37F0E6E"/>
    <w:rsid w:val="D5D149CE"/>
    <w:rsid w:val="D6D57272"/>
    <w:rsid w:val="D75CD31E"/>
    <w:rsid w:val="D7BF498D"/>
    <w:rsid w:val="D7FDF827"/>
    <w:rsid w:val="D7FF9A82"/>
    <w:rsid w:val="DA6BF3F5"/>
    <w:rsid w:val="DA7F8F06"/>
    <w:rsid w:val="DB36FEC6"/>
    <w:rsid w:val="DB5FA464"/>
    <w:rsid w:val="DBEE8B89"/>
    <w:rsid w:val="DBF5FD1E"/>
    <w:rsid w:val="DC2A5926"/>
    <w:rsid w:val="DCBBCB4A"/>
    <w:rsid w:val="DD58245F"/>
    <w:rsid w:val="DDDD383B"/>
    <w:rsid w:val="DDDE451A"/>
    <w:rsid w:val="DDDF13CC"/>
    <w:rsid w:val="DDEF14FF"/>
    <w:rsid w:val="DDFF17A7"/>
    <w:rsid w:val="DDFFE80D"/>
    <w:rsid w:val="DE2F629B"/>
    <w:rsid w:val="DE773AFC"/>
    <w:rsid w:val="DEEF2300"/>
    <w:rsid w:val="DF5C106A"/>
    <w:rsid w:val="DF5EF4EB"/>
    <w:rsid w:val="DF5F714E"/>
    <w:rsid w:val="DF65BF3B"/>
    <w:rsid w:val="DF6FEAC7"/>
    <w:rsid w:val="DF7F2354"/>
    <w:rsid w:val="DFABACDF"/>
    <w:rsid w:val="DFB51FDB"/>
    <w:rsid w:val="DFBF7F78"/>
    <w:rsid w:val="DFC2319B"/>
    <w:rsid w:val="DFD792DB"/>
    <w:rsid w:val="DFDB0EA2"/>
    <w:rsid w:val="DFED05E8"/>
    <w:rsid w:val="DFF15C8F"/>
    <w:rsid w:val="DFF30A84"/>
    <w:rsid w:val="DFFE993E"/>
    <w:rsid w:val="E2BFD760"/>
    <w:rsid w:val="E2FE63AC"/>
    <w:rsid w:val="E3652258"/>
    <w:rsid w:val="E37E5F8C"/>
    <w:rsid w:val="E597B633"/>
    <w:rsid w:val="E5FFCD45"/>
    <w:rsid w:val="E65F7D18"/>
    <w:rsid w:val="E7774CC2"/>
    <w:rsid w:val="E7D70480"/>
    <w:rsid w:val="E9BB075B"/>
    <w:rsid w:val="E9EA4AF4"/>
    <w:rsid w:val="EADFADE0"/>
    <w:rsid w:val="EAF32D54"/>
    <w:rsid w:val="EAFF9394"/>
    <w:rsid w:val="EBCF5FF3"/>
    <w:rsid w:val="EBE75B7E"/>
    <w:rsid w:val="EBFFEFF0"/>
    <w:rsid w:val="ECE7E5B0"/>
    <w:rsid w:val="EDEFA1D2"/>
    <w:rsid w:val="EEBEF64F"/>
    <w:rsid w:val="EEBFC941"/>
    <w:rsid w:val="EEEF835A"/>
    <w:rsid w:val="EEF7A0D3"/>
    <w:rsid w:val="EEFEE791"/>
    <w:rsid w:val="EF3D5AFC"/>
    <w:rsid w:val="EF3FA134"/>
    <w:rsid w:val="EF698D2E"/>
    <w:rsid w:val="EF76C5BC"/>
    <w:rsid w:val="EF7DB8B5"/>
    <w:rsid w:val="EF7ED1CD"/>
    <w:rsid w:val="EFAE8448"/>
    <w:rsid w:val="EFDF17F1"/>
    <w:rsid w:val="EFF1EBAC"/>
    <w:rsid w:val="EFF968D6"/>
    <w:rsid w:val="EFFF0485"/>
    <w:rsid w:val="EFFFF54E"/>
    <w:rsid w:val="F1F60C0B"/>
    <w:rsid w:val="F2DCC067"/>
    <w:rsid w:val="F2FF954F"/>
    <w:rsid w:val="F317E862"/>
    <w:rsid w:val="F3FA2DEF"/>
    <w:rsid w:val="F57F8F7B"/>
    <w:rsid w:val="F5B775B9"/>
    <w:rsid w:val="F5CD0A13"/>
    <w:rsid w:val="F5D7F2F1"/>
    <w:rsid w:val="F5EB99BA"/>
    <w:rsid w:val="F6DF4A6B"/>
    <w:rsid w:val="F6FF73CC"/>
    <w:rsid w:val="F7268406"/>
    <w:rsid w:val="F77E6C20"/>
    <w:rsid w:val="F79B1441"/>
    <w:rsid w:val="F79F81EB"/>
    <w:rsid w:val="F7AD3D27"/>
    <w:rsid w:val="F7B9BB88"/>
    <w:rsid w:val="F7BD15DA"/>
    <w:rsid w:val="F7BFE954"/>
    <w:rsid w:val="F7EF11FC"/>
    <w:rsid w:val="F7FA4CED"/>
    <w:rsid w:val="F7FDDA92"/>
    <w:rsid w:val="F7FF5882"/>
    <w:rsid w:val="F97E76A3"/>
    <w:rsid w:val="F9A774DE"/>
    <w:rsid w:val="F9BDE838"/>
    <w:rsid w:val="F9DF0FEE"/>
    <w:rsid w:val="F9EF4665"/>
    <w:rsid w:val="FA6B509E"/>
    <w:rsid w:val="FAEF8B59"/>
    <w:rsid w:val="FAEFEED5"/>
    <w:rsid w:val="FAF73F88"/>
    <w:rsid w:val="FAF9E2F6"/>
    <w:rsid w:val="FAFEA0A1"/>
    <w:rsid w:val="FB3EDBF6"/>
    <w:rsid w:val="FB7B666A"/>
    <w:rsid w:val="FBB79A47"/>
    <w:rsid w:val="FBB7C063"/>
    <w:rsid w:val="FBCF4F28"/>
    <w:rsid w:val="FBE746FA"/>
    <w:rsid w:val="FBFBCCBE"/>
    <w:rsid w:val="FC8E8301"/>
    <w:rsid w:val="FCBFF124"/>
    <w:rsid w:val="FD5858AD"/>
    <w:rsid w:val="FD7781B9"/>
    <w:rsid w:val="FD7A6E74"/>
    <w:rsid w:val="FD8E83D0"/>
    <w:rsid w:val="FDAF58E2"/>
    <w:rsid w:val="FDBAA9B5"/>
    <w:rsid w:val="FDDCD734"/>
    <w:rsid w:val="FDDF04B0"/>
    <w:rsid w:val="FDFD4371"/>
    <w:rsid w:val="FDFE3262"/>
    <w:rsid w:val="FDFE409C"/>
    <w:rsid w:val="FDFF9349"/>
    <w:rsid w:val="FDFFF8ED"/>
    <w:rsid w:val="FE2D00F3"/>
    <w:rsid w:val="FE4E49C7"/>
    <w:rsid w:val="FE4FA9C1"/>
    <w:rsid w:val="FE5D1777"/>
    <w:rsid w:val="FE767515"/>
    <w:rsid w:val="FE7F4FA1"/>
    <w:rsid w:val="FEA00510"/>
    <w:rsid w:val="FEBB4675"/>
    <w:rsid w:val="FEBFE634"/>
    <w:rsid w:val="FECA41CC"/>
    <w:rsid w:val="FEDD0F97"/>
    <w:rsid w:val="FEDDFAE0"/>
    <w:rsid w:val="FEDE8BDB"/>
    <w:rsid w:val="FEF56A34"/>
    <w:rsid w:val="FEFE2FC2"/>
    <w:rsid w:val="FEFFA60D"/>
    <w:rsid w:val="FF37D4D0"/>
    <w:rsid w:val="FF54EB4C"/>
    <w:rsid w:val="FF5F15BC"/>
    <w:rsid w:val="FF5F42F7"/>
    <w:rsid w:val="FF67A151"/>
    <w:rsid w:val="FF75F1DB"/>
    <w:rsid w:val="FF76D8CB"/>
    <w:rsid w:val="FF7FB831"/>
    <w:rsid w:val="FFBA62B9"/>
    <w:rsid w:val="FFBB89A0"/>
    <w:rsid w:val="FFBF1367"/>
    <w:rsid w:val="FFCB0509"/>
    <w:rsid w:val="FFCF66D4"/>
    <w:rsid w:val="FFD1C0B2"/>
    <w:rsid w:val="FFD7AD46"/>
    <w:rsid w:val="FFD94989"/>
    <w:rsid w:val="FFDB6084"/>
    <w:rsid w:val="FFDF665B"/>
    <w:rsid w:val="FFDFAED0"/>
    <w:rsid w:val="FFE7BBAB"/>
    <w:rsid w:val="FFE809A3"/>
    <w:rsid w:val="FFE90C59"/>
    <w:rsid w:val="FFED2A38"/>
    <w:rsid w:val="FFEDF48D"/>
    <w:rsid w:val="FFEEADD5"/>
    <w:rsid w:val="FFF31E46"/>
    <w:rsid w:val="FFF4B8E9"/>
    <w:rsid w:val="FFF5CBFE"/>
    <w:rsid w:val="FFF69FA0"/>
    <w:rsid w:val="FFF6EE7B"/>
    <w:rsid w:val="FFF73BA1"/>
    <w:rsid w:val="FFF74630"/>
    <w:rsid w:val="FFFB8578"/>
    <w:rsid w:val="FFFB8DCA"/>
    <w:rsid w:val="FFFF2637"/>
    <w:rsid w:val="FFFF5F65"/>
    <w:rsid w:val="FFFFD150"/>
    <w:rsid w:val="FFFFF0B8"/>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0" w:semiHidden="0" w:name="annotation text"/>
    <w:lsdException w:qFormat="1" w:unhideWhenUsed="0" w:uiPriority="0" w:semiHidden="0" w:name="header"/>
    <w:lsdException w:qFormat="1" w:unhideWhenUsed="0"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qFormat="1" w:unhideWhenUsed="0" w:uiPriority="0" w:semiHidden="0"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iPriority="99" w:semiHidden="0" w:name="Body Text First Indent"/>
    <w:lsdException w:qFormat="1" w:unhideWhenUsed="0" w:uiPriority="0" w:semiHidden="0" w:name="Body Text First Indent 2"/>
    <w:lsdException w:uiPriority="99" w:name="Note Heading"/>
    <w:lsdException w:uiPriority="99" w:name="Body Text 2"/>
    <w:lsdException w:qFormat="1" w:unhideWhenUsed="0" w:uiPriority="0" w:semiHidden="0" w:name="Body Text 3"/>
    <w:lsdException w:qFormat="1" w:unhideWhenUsed="0" w:uiPriority="0" w:semiHidden="0" w:name="Body Text Indent 2"/>
    <w:lsdException w:uiPriority="99" w:name="Body Text Indent 3"/>
    <w:lsdException w:qFormat="1" w:unhideWhenUsed="0" w:uiPriority="0" w:semiHidden="0" w:name="Block Text"/>
    <w:lsdException w:qFormat="1" w:unhideWhenUsed="0" w:uiPriority="99" w:semiHidden="0" w:name="Hyperlink"/>
    <w:lsdException w:uiPriority="99"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spacing w:line="360" w:lineRule="auto"/>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44"/>
    <w:qFormat/>
    <w:uiPriority w:val="0"/>
    <w:pPr>
      <w:numPr>
        <w:ilvl w:val="0"/>
        <w:numId w:val="1"/>
      </w:numPr>
      <w:spacing w:before="50" w:beforeLines="50" w:after="50" w:afterLines="50"/>
      <w:ind w:left="0"/>
      <w:outlineLvl w:val="0"/>
    </w:pPr>
    <w:rPr>
      <w:rFonts w:eastAsia="Songti SC"/>
      <w:b/>
      <w:bCs/>
      <w:kern w:val="44"/>
      <w:sz w:val="32"/>
      <w:szCs w:val="32"/>
    </w:rPr>
  </w:style>
  <w:style w:type="paragraph" w:styleId="4">
    <w:name w:val="heading 2"/>
    <w:basedOn w:val="1"/>
    <w:next w:val="1"/>
    <w:link w:val="47"/>
    <w:qFormat/>
    <w:uiPriority w:val="0"/>
    <w:pPr>
      <w:spacing w:before="50" w:beforeLines="50" w:after="50" w:afterLines="50" w:line="240" w:lineRule="auto"/>
      <w:outlineLvl w:val="1"/>
    </w:pPr>
    <w:rPr>
      <w:rFonts w:eastAsia="Songti SC"/>
      <w:b/>
      <w:bCs/>
      <w:kern w:val="0"/>
      <w:sz w:val="28"/>
      <w:szCs w:val="28"/>
    </w:rPr>
  </w:style>
  <w:style w:type="paragraph" w:styleId="5">
    <w:name w:val="heading 3"/>
    <w:basedOn w:val="1"/>
    <w:next w:val="6"/>
    <w:link w:val="49"/>
    <w:qFormat/>
    <w:uiPriority w:val="0"/>
    <w:pPr>
      <w:outlineLvl w:val="2"/>
    </w:pPr>
    <w:rPr>
      <w:b/>
      <w:bCs/>
      <w:sz w:val="28"/>
      <w:szCs w:val="28"/>
    </w:rPr>
  </w:style>
  <w:style w:type="paragraph" w:styleId="7">
    <w:name w:val="heading 4"/>
    <w:basedOn w:val="1"/>
    <w:next w:val="6"/>
    <w:link w:val="50"/>
    <w:qFormat/>
    <w:uiPriority w:val="0"/>
    <w:pPr>
      <w:numPr>
        <w:ilvl w:val="3"/>
        <w:numId w:val="1"/>
      </w:numPr>
      <w:outlineLvl w:val="3"/>
    </w:pPr>
    <w:rPr>
      <w:b/>
      <w:bCs/>
      <w:szCs w:val="28"/>
    </w:rPr>
  </w:style>
  <w:style w:type="character" w:default="1" w:styleId="38">
    <w:name w:val="Default Paragraph Font"/>
    <w:unhideWhenUsed/>
    <w:qFormat/>
    <w:uiPriority w:val="1"/>
  </w:style>
  <w:style w:type="table" w:default="1" w:styleId="36">
    <w:name w:val="Normal Table"/>
    <w:unhideWhenUsed/>
    <w:qFormat/>
    <w:uiPriority w:val="99"/>
    <w:tblPr>
      <w:tblCellMar>
        <w:top w:w="0" w:type="dxa"/>
        <w:left w:w="108" w:type="dxa"/>
        <w:bottom w:w="0" w:type="dxa"/>
        <w:right w:w="108" w:type="dxa"/>
      </w:tblCellMar>
    </w:tblPr>
  </w:style>
  <w:style w:type="paragraph" w:styleId="2">
    <w:name w:val="toc 1"/>
    <w:basedOn w:val="1"/>
    <w:next w:val="1"/>
    <w:unhideWhenUsed/>
    <w:qFormat/>
    <w:uiPriority w:val="39"/>
    <w:pPr>
      <w:spacing w:before="120"/>
      <w:jc w:val="left"/>
    </w:pPr>
    <w:rPr>
      <w:rFonts w:asciiTheme="minorHAnsi" w:hAnsiTheme="minorHAnsi" w:cstheme="minorHAnsi"/>
      <w:b/>
      <w:bCs/>
      <w:i/>
      <w:iCs/>
    </w:rPr>
  </w:style>
  <w:style w:type="paragraph" w:customStyle="1" w:styleId="6">
    <w:name w:val="段落"/>
    <w:basedOn w:val="1"/>
    <w:link w:val="48"/>
    <w:qFormat/>
    <w:uiPriority w:val="0"/>
    <w:pPr>
      <w:ind w:firstLine="200" w:firstLineChars="200"/>
    </w:pPr>
    <w:rPr>
      <w:rFonts w:asciiTheme="minorHAnsi" w:hAnsiTheme="minorHAnsi" w:eastAsiaTheme="minorEastAsia" w:cstheme="minorBidi"/>
      <w:color w:val="000000"/>
      <w:lang w:val="en-GB"/>
    </w:rPr>
  </w:style>
  <w:style w:type="paragraph" w:styleId="8">
    <w:name w:val="toc 7"/>
    <w:basedOn w:val="1"/>
    <w:next w:val="1"/>
    <w:unhideWhenUsed/>
    <w:qFormat/>
    <w:uiPriority w:val="39"/>
    <w:pPr>
      <w:ind w:left="1440"/>
      <w:jc w:val="left"/>
    </w:pPr>
    <w:rPr>
      <w:rFonts w:asciiTheme="minorHAnsi" w:hAnsiTheme="minorHAnsi" w:cstheme="minorHAnsi"/>
      <w:sz w:val="20"/>
      <w:szCs w:val="20"/>
    </w:rPr>
  </w:style>
  <w:style w:type="paragraph" w:styleId="9">
    <w:name w:val="List Bullet 4"/>
    <w:basedOn w:val="1"/>
    <w:qFormat/>
    <w:uiPriority w:val="0"/>
    <w:pPr>
      <w:spacing w:line="400" w:lineRule="atLeast"/>
      <w:ind w:firstLine="567"/>
    </w:pPr>
    <w:rPr>
      <w:rFonts w:ascii="宋体"/>
      <w:szCs w:val="20"/>
    </w:rPr>
  </w:style>
  <w:style w:type="paragraph" w:styleId="10">
    <w:name w:val="Normal Indent"/>
    <w:basedOn w:val="1"/>
    <w:link w:val="53"/>
    <w:qFormat/>
    <w:uiPriority w:val="0"/>
    <w:pPr>
      <w:numPr>
        <w:ilvl w:val="4"/>
        <w:numId w:val="2"/>
      </w:numPr>
    </w:pPr>
    <w:rPr>
      <w:rFonts w:asciiTheme="minorHAnsi" w:hAnsiTheme="minorHAnsi" w:cstheme="minorBidi"/>
      <w:lang w:val="en-GB"/>
    </w:rPr>
  </w:style>
  <w:style w:type="paragraph" w:styleId="11">
    <w:name w:val="caption"/>
    <w:basedOn w:val="1"/>
    <w:next w:val="1"/>
    <w:link w:val="101"/>
    <w:qFormat/>
    <w:uiPriority w:val="0"/>
    <w:pPr>
      <w:widowControl w:val="0"/>
      <w:spacing w:before="152" w:after="160" w:line="240" w:lineRule="auto"/>
    </w:pPr>
    <w:rPr>
      <w:rFonts w:ascii="Arial" w:hAnsi="Arial" w:eastAsia="黑体" w:cs="Arial"/>
      <w:sz w:val="20"/>
      <w:szCs w:val="20"/>
    </w:rPr>
  </w:style>
  <w:style w:type="paragraph" w:styleId="12">
    <w:name w:val="Document Map"/>
    <w:basedOn w:val="1"/>
    <w:link w:val="98"/>
    <w:semiHidden/>
    <w:qFormat/>
    <w:uiPriority w:val="0"/>
    <w:pPr>
      <w:shd w:val="clear" w:color="auto" w:fill="000080"/>
    </w:pPr>
  </w:style>
  <w:style w:type="paragraph" w:styleId="13">
    <w:name w:val="annotation text"/>
    <w:basedOn w:val="1"/>
    <w:link w:val="89"/>
    <w:unhideWhenUsed/>
    <w:qFormat/>
    <w:uiPriority w:val="0"/>
    <w:pPr>
      <w:spacing w:line="240" w:lineRule="auto"/>
    </w:pPr>
  </w:style>
  <w:style w:type="paragraph" w:styleId="14">
    <w:name w:val="Body Text 3"/>
    <w:basedOn w:val="1"/>
    <w:link w:val="76"/>
    <w:qFormat/>
    <w:uiPriority w:val="0"/>
    <w:pPr>
      <w:spacing w:after="120"/>
    </w:pPr>
    <w:rPr>
      <w:rFonts w:asciiTheme="minorHAnsi" w:hAnsiTheme="minorHAnsi" w:eastAsiaTheme="minorEastAsia" w:cstheme="minorBidi"/>
      <w:sz w:val="16"/>
      <w:szCs w:val="16"/>
      <w:lang w:val="en-GB"/>
    </w:rPr>
  </w:style>
  <w:style w:type="paragraph" w:styleId="15">
    <w:name w:val="Body Text"/>
    <w:basedOn w:val="1"/>
    <w:link w:val="51"/>
    <w:qFormat/>
    <w:uiPriority w:val="0"/>
    <w:pPr>
      <w:spacing w:after="120"/>
    </w:pPr>
    <w:rPr>
      <w:rFonts w:asciiTheme="minorHAnsi" w:hAnsiTheme="minorHAnsi" w:eastAsiaTheme="minorEastAsia" w:cstheme="minorBidi"/>
      <w:sz w:val="21"/>
      <w:lang w:val="en-GB"/>
    </w:rPr>
  </w:style>
  <w:style w:type="paragraph" w:styleId="16">
    <w:name w:val="Body Text Indent"/>
    <w:basedOn w:val="1"/>
    <w:link w:val="71"/>
    <w:unhideWhenUsed/>
    <w:qFormat/>
    <w:uiPriority w:val="0"/>
    <w:pPr>
      <w:spacing w:after="120"/>
      <w:ind w:left="283"/>
    </w:pPr>
  </w:style>
  <w:style w:type="paragraph" w:styleId="17">
    <w:name w:val="Block Text"/>
    <w:basedOn w:val="1"/>
    <w:qFormat/>
    <w:uiPriority w:val="0"/>
    <w:pPr>
      <w:spacing w:line="460" w:lineRule="exact"/>
      <w:ind w:left="-425" w:right="-113"/>
    </w:pPr>
    <w:rPr>
      <w:rFonts w:ascii="FangSong_GB2312"/>
      <w:sz w:val="28"/>
    </w:rPr>
  </w:style>
  <w:style w:type="paragraph" w:styleId="18">
    <w:name w:val="toc 5"/>
    <w:basedOn w:val="1"/>
    <w:next w:val="1"/>
    <w:unhideWhenUsed/>
    <w:qFormat/>
    <w:uiPriority w:val="39"/>
    <w:pPr>
      <w:ind w:left="960"/>
      <w:jc w:val="left"/>
    </w:pPr>
    <w:rPr>
      <w:rFonts w:asciiTheme="minorHAnsi" w:hAnsiTheme="minorHAnsi" w:cstheme="minorHAnsi"/>
      <w:sz w:val="20"/>
      <w:szCs w:val="20"/>
    </w:rPr>
  </w:style>
  <w:style w:type="paragraph" w:styleId="19">
    <w:name w:val="toc 3"/>
    <w:basedOn w:val="1"/>
    <w:next w:val="1"/>
    <w:unhideWhenUsed/>
    <w:qFormat/>
    <w:uiPriority w:val="39"/>
    <w:pPr>
      <w:ind w:left="480"/>
      <w:jc w:val="left"/>
    </w:pPr>
    <w:rPr>
      <w:rFonts w:asciiTheme="minorHAnsi" w:hAnsiTheme="minorHAnsi" w:cstheme="minorHAnsi"/>
      <w:sz w:val="20"/>
      <w:szCs w:val="20"/>
    </w:rPr>
  </w:style>
  <w:style w:type="paragraph" w:styleId="20">
    <w:name w:val="Plain Text"/>
    <w:basedOn w:val="1"/>
    <w:link w:val="72"/>
    <w:qFormat/>
    <w:uiPriority w:val="0"/>
    <w:rPr>
      <w:rFonts w:ascii="宋体" w:hAnsi="Courier New" w:eastAsia="FangSong_GB2312" w:cstheme="minorBidi"/>
    </w:rPr>
  </w:style>
  <w:style w:type="paragraph" w:styleId="21">
    <w:name w:val="toc 8"/>
    <w:basedOn w:val="1"/>
    <w:next w:val="1"/>
    <w:unhideWhenUsed/>
    <w:qFormat/>
    <w:uiPriority w:val="39"/>
    <w:pPr>
      <w:ind w:left="1680"/>
      <w:jc w:val="left"/>
    </w:pPr>
    <w:rPr>
      <w:rFonts w:asciiTheme="minorHAnsi" w:hAnsiTheme="minorHAnsi" w:cstheme="minorHAnsi"/>
      <w:sz w:val="20"/>
      <w:szCs w:val="20"/>
    </w:rPr>
  </w:style>
  <w:style w:type="paragraph" w:styleId="22">
    <w:name w:val="Date"/>
    <w:basedOn w:val="1"/>
    <w:next w:val="1"/>
    <w:link w:val="100"/>
    <w:qFormat/>
    <w:uiPriority w:val="0"/>
    <w:rPr>
      <w:rFonts w:ascii="FangSong_GB2312"/>
      <w:sz w:val="28"/>
      <w:szCs w:val="20"/>
    </w:rPr>
  </w:style>
  <w:style w:type="paragraph" w:styleId="23">
    <w:name w:val="Body Text Indent 2"/>
    <w:basedOn w:val="1"/>
    <w:link w:val="120"/>
    <w:qFormat/>
    <w:uiPriority w:val="0"/>
    <w:pPr>
      <w:spacing w:after="120" w:line="480" w:lineRule="auto"/>
      <w:ind w:left="420" w:leftChars="200"/>
    </w:pPr>
  </w:style>
  <w:style w:type="paragraph" w:styleId="24">
    <w:name w:val="Balloon Text"/>
    <w:basedOn w:val="1"/>
    <w:link w:val="102"/>
    <w:qFormat/>
    <w:uiPriority w:val="0"/>
    <w:rPr>
      <w:sz w:val="18"/>
      <w:szCs w:val="18"/>
    </w:rPr>
  </w:style>
  <w:style w:type="paragraph" w:styleId="25">
    <w:name w:val="footer"/>
    <w:basedOn w:val="1"/>
    <w:link w:val="52"/>
    <w:qFormat/>
    <w:uiPriority w:val="99"/>
    <w:pPr>
      <w:tabs>
        <w:tab w:val="center" w:pos="4153"/>
        <w:tab w:val="right" w:pos="8306"/>
      </w:tabs>
      <w:snapToGrid w:val="0"/>
      <w:jc w:val="left"/>
    </w:pPr>
    <w:rPr>
      <w:rFonts w:asciiTheme="minorHAnsi" w:hAnsiTheme="minorHAnsi" w:cstheme="minorBidi"/>
      <w:sz w:val="18"/>
      <w:szCs w:val="18"/>
    </w:rPr>
  </w:style>
  <w:style w:type="paragraph" w:styleId="26">
    <w:name w:val="header"/>
    <w:basedOn w:val="1"/>
    <w:link w:val="99"/>
    <w:qFormat/>
    <w:uiPriority w:val="0"/>
    <w:pPr>
      <w:pBdr>
        <w:bottom w:val="single" w:color="auto" w:sz="6" w:space="1"/>
      </w:pBdr>
      <w:tabs>
        <w:tab w:val="center" w:pos="4153"/>
        <w:tab w:val="right" w:pos="8306"/>
      </w:tabs>
      <w:snapToGrid w:val="0"/>
      <w:jc w:val="center"/>
    </w:pPr>
    <w:rPr>
      <w:sz w:val="18"/>
      <w:szCs w:val="18"/>
    </w:rPr>
  </w:style>
  <w:style w:type="paragraph" w:styleId="27">
    <w:name w:val="toc 4"/>
    <w:basedOn w:val="1"/>
    <w:next w:val="1"/>
    <w:unhideWhenUsed/>
    <w:qFormat/>
    <w:uiPriority w:val="39"/>
    <w:pPr>
      <w:ind w:left="720"/>
      <w:jc w:val="left"/>
    </w:pPr>
    <w:rPr>
      <w:rFonts w:asciiTheme="minorHAnsi" w:hAnsiTheme="minorHAnsi" w:cstheme="minorHAnsi"/>
      <w:sz w:val="20"/>
      <w:szCs w:val="20"/>
    </w:rPr>
  </w:style>
  <w:style w:type="paragraph" w:styleId="28">
    <w:name w:val="toc 6"/>
    <w:basedOn w:val="1"/>
    <w:next w:val="1"/>
    <w:unhideWhenUsed/>
    <w:qFormat/>
    <w:uiPriority w:val="39"/>
    <w:pPr>
      <w:ind w:left="1200"/>
      <w:jc w:val="left"/>
    </w:pPr>
    <w:rPr>
      <w:rFonts w:asciiTheme="minorHAnsi" w:hAnsiTheme="minorHAnsi" w:cstheme="minorHAnsi"/>
      <w:sz w:val="20"/>
      <w:szCs w:val="20"/>
    </w:rPr>
  </w:style>
  <w:style w:type="paragraph" w:styleId="29">
    <w:name w:val="toc 2"/>
    <w:basedOn w:val="1"/>
    <w:next w:val="1"/>
    <w:unhideWhenUsed/>
    <w:qFormat/>
    <w:uiPriority w:val="39"/>
    <w:pPr>
      <w:spacing w:before="120"/>
      <w:ind w:left="240"/>
      <w:jc w:val="left"/>
    </w:pPr>
    <w:rPr>
      <w:rFonts w:asciiTheme="minorHAnsi" w:hAnsiTheme="minorHAnsi" w:cstheme="minorHAnsi"/>
      <w:b/>
      <w:bCs/>
      <w:sz w:val="22"/>
      <w:szCs w:val="22"/>
    </w:rPr>
  </w:style>
  <w:style w:type="paragraph" w:styleId="30">
    <w:name w:val="toc 9"/>
    <w:basedOn w:val="1"/>
    <w:next w:val="1"/>
    <w:unhideWhenUsed/>
    <w:qFormat/>
    <w:uiPriority w:val="39"/>
    <w:pPr>
      <w:ind w:left="1920"/>
      <w:jc w:val="left"/>
    </w:pPr>
    <w:rPr>
      <w:rFonts w:asciiTheme="minorHAnsi" w:hAnsiTheme="minorHAnsi" w:cstheme="minorHAnsi"/>
      <w:sz w:val="20"/>
      <w:szCs w:val="20"/>
    </w:rPr>
  </w:style>
  <w:style w:type="paragraph" w:styleId="31">
    <w:name w:val="HTML Preformatted"/>
    <w:basedOn w:val="1"/>
    <w:link w:val="146"/>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eastAsia="Times New Roman" w:cs="Courier New"/>
      <w:kern w:val="0"/>
      <w:sz w:val="20"/>
      <w:szCs w:val="20"/>
      <w:lang w:val="en-MY"/>
    </w:rPr>
  </w:style>
  <w:style w:type="paragraph" w:styleId="32">
    <w:name w:val="Normal (Web)"/>
    <w:basedOn w:val="1"/>
    <w:qFormat/>
    <w:uiPriority w:val="0"/>
    <w:pPr>
      <w:spacing w:before="100" w:beforeAutospacing="1" w:after="100" w:afterAutospacing="1"/>
      <w:jc w:val="left"/>
    </w:pPr>
    <w:rPr>
      <w:rFonts w:ascii="宋体" w:hAnsi="宋体" w:cs="宋体"/>
      <w:kern w:val="0"/>
    </w:rPr>
  </w:style>
  <w:style w:type="paragraph" w:styleId="33">
    <w:name w:val="annotation subject"/>
    <w:basedOn w:val="13"/>
    <w:next w:val="13"/>
    <w:link w:val="90"/>
    <w:qFormat/>
    <w:uiPriority w:val="0"/>
    <w:pPr>
      <w:spacing w:line="360" w:lineRule="auto"/>
      <w:jc w:val="left"/>
    </w:pPr>
    <w:rPr>
      <w:b/>
      <w:bCs/>
    </w:rPr>
  </w:style>
  <w:style w:type="paragraph" w:styleId="34">
    <w:name w:val="Body Text First Indent"/>
    <w:basedOn w:val="15"/>
    <w:next w:val="1"/>
    <w:unhideWhenUsed/>
    <w:qFormat/>
    <w:uiPriority w:val="99"/>
    <w:pPr>
      <w:overflowPunct w:val="0"/>
      <w:autoSpaceDE w:val="0"/>
      <w:autoSpaceDN w:val="0"/>
      <w:adjustRightInd w:val="0"/>
      <w:ind w:firstLine="539"/>
      <w:textAlignment w:val="baseline"/>
    </w:pPr>
    <w:rPr>
      <w:kern w:val="0"/>
      <w:sz w:val="28"/>
      <w:szCs w:val="20"/>
    </w:rPr>
  </w:style>
  <w:style w:type="paragraph" w:styleId="35">
    <w:name w:val="Body Text First Indent 2"/>
    <w:basedOn w:val="1"/>
    <w:next w:val="34"/>
    <w:link w:val="70"/>
    <w:qFormat/>
    <w:uiPriority w:val="0"/>
    <w:pPr>
      <w:ind w:left="420" w:leftChars="200" w:firstLine="420" w:firstLineChars="200"/>
    </w:pPr>
    <w:rPr>
      <w:rFonts w:asciiTheme="minorHAnsi" w:hAnsiTheme="minorHAnsi" w:cstheme="minorBidi"/>
      <w:lang w:val="en-GB"/>
    </w:rPr>
  </w:style>
  <w:style w:type="table" w:styleId="37">
    <w:name w:val="Table Grid"/>
    <w:basedOn w:val="36"/>
    <w:unhideWhenUse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Strong"/>
    <w:qFormat/>
    <w:uiPriority w:val="0"/>
    <w:rPr>
      <w:b/>
      <w:bCs/>
    </w:rPr>
  </w:style>
  <w:style w:type="character" w:styleId="40">
    <w:name w:val="page number"/>
    <w:basedOn w:val="38"/>
    <w:qFormat/>
    <w:uiPriority w:val="0"/>
  </w:style>
  <w:style w:type="character" w:styleId="41">
    <w:name w:val="Emphasis"/>
    <w:qFormat/>
    <w:uiPriority w:val="0"/>
    <w:rPr>
      <w:color w:val="CC0000"/>
    </w:rPr>
  </w:style>
  <w:style w:type="character" w:styleId="42">
    <w:name w:val="Hyperlink"/>
    <w:qFormat/>
    <w:uiPriority w:val="99"/>
    <w:rPr>
      <w:color w:val="0000FF"/>
      <w:u w:val="single"/>
    </w:rPr>
  </w:style>
  <w:style w:type="character" w:styleId="43">
    <w:name w:val="annotation reference"/>
    <w:qFormat/>
    <w:uiPriority w:val="99"/>
    <w:rPr>
      <w:sz w:val="21"/>
      <w:szCs w:val="21"/>
    </w:rPr>
  </w:style>
  <w:style w:type="character" w:customStyle="1" w:styleId="44">
    <w:name w:val="Heading 1 Char"/>
    <w:basedOn w:val="38"/>
    <w:link w:val="3"/>
    <w:qFormat/>
    <w:uiPriority w:val="0"/>
    <w:rPr>
      <w:rFonts w:ascii="Times New Roman" w:hAnsi="Times New Roman" w:eastAsia="Songti SC" w:cs="Times New Roman"/>
      <w:b/>
      <w:bCs/>
      <w:kern w:val="44"/>
      <w:sz w:val="32"/>
      <w:szCs w:val="32"/>
      <w:lang w:val="en-US"/>
    </w:rPr>
  </w:style>
  <w:style w:type="paragraph" w:customStyle="1" w:styleId="45">
    <w:name w:val="表格名称"/>
    <w:basedOn w:val="1"/>
    <w:next w:val="6"/>
    <w:link w:val="81"/>
    <w:qFormat/>
    <w:uiPriority w:val="0"/>
    <w:pPr>
      <w:numPr>
        <w:ilvl w:val="4"/>
        <w:numId w:val="1"/>
      </w:numPr>
      <w:ind w:left="0"/>
      <w:jc w:val="center"/>
    </w:pPr>
    <w:rPr>
      <w:rFonts w:asciiTheme="minorHAnsi" w:hAnsiTheme="minorHAnsi" w:eastAsiaTheme="minorEastAsia" w:cstheme="minorBidi"/>
      <w:b/>
      <w:kern w:val="0"/>
      <w:lang w:val="en-GB"/>
    </w:rPr>
  </w:style>
  <w:style w:type="paragraph" w:customStyle="1" w:styleId="46">
    <w:name w:val="图名"/>
    <w:basedOn w:val="1"/>
    <w:qFormat/>
    <w:uiPriority w:val="0"/>
    <w:pPr>
      <w:numPr>
        <w:ilvl w:val="5"/>
        <w:numId w:val="1"/>
      </w:numPr>
      <w:jc w:val="center"/>
    </w:pPr>
    <w:rPr>
      <w:b/>
    </w:rPr>
  </w:style>
  <w:style w:type="character" w:customStyle="1" w:styleId="47">
    <w:name w:val="Heading 2 Char"/>
    <w:basedOn w:val="38"/>
    <w:link w:val="4"/>
    <w:qFormat/>
    <w:uiPriority w:val="0"/>
    <w:rPr>
      <w:rFonts w:ascii="Times New Roman" w:hAnsi="Times New Roman" w:eastAsia="Songti SC" w:cs="Times New Roman"/>
      <w:b/>
      <w:bCs/>
      <w:sz w:val="28"/>
      <w:szCs w:val="28"/>
      <w:lang w:val="en-US"/>
    </w:rPr>
  </w:style>
  <w:style w:type="character" w:customStyle="1" w:styleId="48">
    <w:name w:val="段落 Char"/>
    <w:link w:val="6"/>
    <w:qFormat/>
    <w:uiPriority w:val="0"/>
    <w:rPr>
      <w:color w:val="000000"/>
      <w:kern w:val="2"/>
    </w:rPr>
  </w:style>
  <w:style w:type="character" w:customStyle="1" w:styleId="49">
    <w:name w:val="Heading 3 Char"/>
    <w:basedOn w:val="38"/>
    <w:link w:val="5"/>
    <w:qFormat/>
    <w:uiPriority w:val="0"/>
    <w:rPr>
      <w:rFonts w:ascii="Times New Roman" w:hAnsi="Times New Roman" w:eastAsia="宋体" w:cs="Times New Roman"/>
      <w:b/>
      <w:bCs/>
      <w:kern w:val="2"/>
      <w:sz w:val="28"/>
      <w:szCs w:val="28"/>
      <w:lang w:val="en-US"/>
    </w:rPr>
  </w:style>
  <w:style w:type="character" w:customStyle="1" w:styleId="50">
    <w:name w:val="Heading 4 Char"/>
    <w:basedOn w:val="38"/>
    <w:link w:val="7"/>
    <w:qFormat/>
    <w:uiPriority w:val="0"/>
    <w:rPr>
      <w:rFonts w:ascii="Times New Roman" w:hAnsi="Times New Roman" w:eastAsia="宋体" w:cs="Times New Roman"/>
      <w:b/>
      <w:bCs/>
      <w:kern w:val="2"/>
      <w:szCs w:val="28"/>
      <w:lang w:val="en-US"/>
    </w:rPr>
  </w:style>
  <w:style w:type="character" w:customStyle="1" w:styleId="51">
    <w:name w:val="Body Text Char"/>
    <w:link w:val="15"/>
    <w:qFormat/>
    <w:uiPriority w:val="0"/>
    <w:rPr>
      <w:kern w:val="2"/>
      <w:sz w:val="21"/>
    </w:rPr>
  </w:style>
  <w:style w:type="character" w:customStyle="1" w:styleId="52">
    <w:name w:val="Footer Char"/>
    <w:link w:val="25"/>
    <w:qFormat/>
    <w:uiPriority w:val="99"/>
    <w:rPr>
      <w:rFonts w:eastAsia="宋体"/>
      <w:kern w:val="2"/>
      <w:sz w:val="18"/>
      <w:szCs w:val="18"/>
      <w:lang w:val="en-US"/>
    </w:rPr>
  </w:style>
  <w:style w:type="character" w:customStyle="1" w:styleId="53">
    <w:name w:val="Normal Indent Char"/>
    <w:link w:val="10"/>
    <w:qFormat/>
    <w:uiPriority w:val="0"/>
    <w:rPr>
      <w:rFonts w:eastAsia="宋体"/>
      <w:kern w:val="2"/>
    </w:rPr>
  </w:style>
  <w:style w:type="character" w:customStyle="1" w:styleId="54">
    <w:name w:val="表格 Char"/>
    <w:qFormat/>
    <w:uiPriority w:val="0"/>
    <w:rPr>
      <w:rFonts w:ascii="宋体" w:hAnsi="宋体" w:eastAsia="宋体"/>
      <w:sz w:val="18"/>
      <w:szCs w:val="18"/>
      <w:lang w:val="en-US" w:eastAsia="zh-CN" w:bidi="ar-SA"/>
    </w:rPr>
  </w:style>
  <w:style w:type="character" w:customStyle="1" w:styleId="55">
    <w:name w:val="1文章 Char"/>
    <w:link w:val="56"/>
    <w:qFormat/>
    <w:uiPriority w:val="0"/>
    <w:rPr>
      <w:rFonts w:eastAsia="FangSong_GB2312"/>
      <w:kern w:val="2"/>
      <w:sz w:val="28"/>
    </w:rPr>
  </w:style>
  <w:style w:type="paragraph" w:customStyle="1" w:styleId="56">
    <w:name w:val="1文章"/>
    <w:basedOn w:val="1"/>
    <w:link w:val="55"/>
    <w:qFormat/>
    <w:uiPriority w:val="0"/>
    <w:pPr>
      <w:snapToGrid w:val="0"/>
      <w:ind w:firstLine="573"/>
    </w:pPr>
    <w:rPr>
      <w:rFonts w:eastAsia="FangSong_GB2312" w:asciiTheme="minorHAnsi" w:hAnsiTheme="minorHAnsi" w:cstheme="minorBidi"/>
      <w:sz w:val="28"/>
      <w:lang w:val="en-GB"/>
    </w:rPr>
  </w:style>
  <w:style w:type="character" w:customStyle="1" w:styleId="57">
    <w:name w:val="Comment Text Char"/>
    <w:qFormat/>
    <w:uiPriority w:val="0"/>
    <w:rPr>
      <w:rFonts w:eastAsia="宋体"/>
      <w:kern w:val="2"/>
      <w:sz w:val="24"/>
      <w:szCs w:val="24"/>
    </w:rPr>
  </w:style>
  <w:style w:type="character" w:customStyle="1" w:styleId="58">
    <w:name w:val="表头文字 Char"/>
    <w:link w:val="59"/>
    <w:qFormat/>
    <w:uiPriority w:val="0"/>
    <w:rPr>
      <w:rFonts w:ascii="黑体" w:hAnsi="宋体" w:eastAsia="黑体"/>
      <w:kern w:val="2"/>
      <w:lang w:val="en-US"/>
    </w:rPr>
  </w:style>
  <w:style w:type="paragraph" w:customStyle="1" w:styleId="59">
    <w:name w:val="表头文字"/>
    <w:basedOn w:val="1"/>
    <w:link w:val="58"/>
    <w:qFormat/>
    <w:uiPriority w:val="0"/>
    <w:pPr>
      <w:spacing w:before="312" w:beforeLines="100" w:line="400" w:lineRule="exact"/>
      <w:jc w:val="center"/>
    </w:pPr>
    <w:rPr>
      <w:rFonts w:ascii="黑体" w:hAnsi="宋体" w:eastAsia="黑体" w:cstheme="minorBidi"/>
    </w:rPr>
  </w:style>
  <w:style w:type="character" w:customStyle="1" w:styleId="60">
    <w:name w:val="表格内容 Char Char"/>
    <w:link w:val="61"/>
    <w:qFormat/>
    <w:uiPriority w:val="0"/>
    <w:rPr>
      <w:kern w:val="2"/>
      <w:sz w:val="21"/>
      <w:szCs w:val="28"/>
    </w:rPr>
  </w:style>
  <w:style w:type="paragraph" w:customStyle="1" w:styleId="61">
    <w:name w:val="表格内容"/>
    <w:link w:val="60"/>
    <w:qFormat/>
    <w:uiPriority w:val="0"/>
    <w:pPr>
      <w:adjustRightInd w:val="0"/>
      <w:snapToGrid w:val="0"/>
      <w:spacing w:line="360" w:lineRule="auto"/>
      <w:jc w:val="center"/>
    </w:pPr>
    <w:rPr>
      <w:rFonts w:asciiTheme="minorHAnsi" w:hAnsiTheme="minorHAnsi" w:eastAsiaTheme="minorEastAsia" w:cstheme="minorBidi"/>
      <w:kern w:val="2"/>
      <w:sz w:val="21"/>
      <w:szCs w:val="28"/>
      <w:lang w:val="en-GB" w:eastAsia="zh-CN" w:bidi="ar-SA"/>
    </w:rPr>
  </w:style>
  <w:style w:type="character" w:customStyle="1" w:styleId="62">
    <w:name w:val="样式 样式 样式 首行缩进:  2 字符 + 居中 + 行距: 固定值 17 磅 Char"/>
    <w:link w:val="63"/>
    <w:qFormat/>
    <w:uiPriority w:val="0"/>
    <w:rPr>
      <w:rFonts w:cs="宋体"/>
      <w:color w:val="000000"/>
      <w:kern w:val="2"/>
      <w:sz w:val="21"/>
    </w:rPr>
  </w:style>
  <w:style w:type="paragraph" w:customStyle="1" w:styleId="63">
    <w:name w:val="样式 样式 样式 首行缩进:  2 字符 + 居中 + 行距: 固定值 17 磅"/>
    <w:basedOn w:val="1"/>
    <w:link w:val="62"/>
    <w:qFormat/>
    <w:uiPriority w:val="0"/>
    <w:pPr>
      <w:widowControl w:val="0"/>
      <w:adjustRightInd w:val="0"/>
      <w:snapToGrid w:val="0"/>
      <w:spacing w:line="340" w:lineRule="exact"/>
      <w:jc w:val="center"/>
    </w:pPr>
    <w:rPr>
      <w:rFonts w:cs="宋体" w:asciiTheme="minorHAnsi" w:hAnsiTheme="minorHAnsi" w:eastAsiaTheme="minorEastAsia"/>
      <w:color w:val="000000"/>
      <w:sz w:val="21"/>
      <w:lang w:val="en-GB"/>
    </w:rPr>
  </w:style>
  <w:style w:type="character" w:customStyle="1" w:styleId="64">
    <w:name w:val="表格文字 Char"/>
    <w:link w:val="65"/>
    <w:qFormat/>
    <w:uiPriority w:val="0"/>
    <w:rPr>
      <w:rFonts w:eastAsia="宋体"/>
      <w:kern w:val="2"/>
      <w:sz w:val="21"/>
      <w:lang w:val="en-US"/>
    </w:rPr>
  </w:style>
  <w:style w:type="paragraph" w:customStyle="1" w:styleId="65">
    <w:name w:val="表格文字"/>
    <w:basedOn w:val="1"/>
    <w:link w:val="64"/>
    <w:qFormat/>
    <w:uiPriority w:val="0"/>
    <w:pPr>
      <w:spacing w:line="360" w:lineRule="exact"/>
      <w:jc w:val="center"/>
    </w:pPr>
    <w:rPr>
      <w:rFonts w:asciiTheme="minorHAnsi" w:hAnsiTheme="minorHAnsi" w:cstheme="minorBidi"/>
      <w:sz w:val="21"/>
    </w:rPr>
  </w:style>
  <w:style w:type="character" w:customStyle="1" w:styleId="66">
    <w:name w:val="常用 Char Char"/>
    <w:link w:val="67"/>
    <w:qFormat/>
    <w:uiPriority w:val="0"/>
    <w:rPr>
      <w:kern w:val="2"/>
      <w:sz w:val="28"/>
      <w:lang w:val="en-US"/>
    </w:rPr>
  </w:style>
  <w:style w:type="paragraph" w:customStyle="1" w:styleId="67">
    <w:name w:val="常用"/>
    <w:basedOn w:val="1"/>
    <w:link w:val="66"/>
    <w:qFormat/>
    <w:uiPriority w:val="0"/>
    <w:pPr>
      <w:adjustRightInd w:val="0"/>
      <w:snapToGrid w:val="0"/>
      <w:ind w:firstLine="200" w:firstLineChars="200"/>
    </w:pPr>
    <w:rPr>
      <w:rFonts w:asciiTheme="minorHAnsi" w:hAnsiTheme="minorHAnsi" w:eastAsiaTheme="minorEastAsia" w:cstheme="minorBidi"/>
      <w:sz w:val="28"/>
    </w:rPr>
  </w:style>
  <w:style w:type="character" w:customStyle="1" w:styleId="68">
    <w:name w:val="Body Text Indent Char"/>
    <w:qFormat/>
    <w:uiPriority w:val="0"/>
    <w:rPr>
      <w:rFonts w:eastAsia="宋体"/>
      <w:kern w:val="2"/>
      <w:sz w:val="24"/>
      <w:szCs w:val="24"/>
    </w:rPr>
  </w:style>
  <w:style w:type="character" w:customStyle="1" w:styleId="69">
    <w:name w:val="表格文字 Char Char"/>
    <w:qFormat/>
    <w:uiPriority w:val="0"/>
    <w:rPr>
      <w:rFonts w:eastAsia="宋体"/>
      <w:kern w:val="2"/>
      <w:sz w:val="21"/>
      <w:lang w:val="en-US" w:eastAsia="zh-CN" w:bidi="ar-SA"/>
    </w:rPr>
  </w:style>
  <w:style w:type="character" w:customStyle="1" w:styleId="70">
    <w:name w:val="Body Text First Indent 2 Char"/>
    <w:basedOn w:val="68"/>
    <w:link w:val="35"/>
    <w:qFormat/>
    <w:uiPriority w:val="0"/>
    <w:rPr>
      <w:rFonts w:eastAsia="宋体"/>
      <w:kern w:val="2"/>
      <w:sz w:val="24"/>
      <w:szCs w:val="24"/>
    </w:rPr>
  </w:style>
  <w:style w:type="character" w:customStyle="1" w:styleId="71">
    <w:name w:val="Body Text Indent Char1"/>
    <w:basedOn w:val="38"/>
    <w:link w:val="16"/>
    <w:semiHidden/>
    <w:qFormat/>
    <w:uiPriority w:val="99"/>
    <w:rPr>
      <w:rFonts w:ascii="Times New Roman" w:hAnsi="Times New Roman" w:eastAsia="宋体" w:cs="Times New Roman"/>
      <w:kern w:val="2"/>
      <w:lang w:val="en-US"/>
    </w:rPr>
  </w:style>
  <w:style w:type="character" w:customStyle="1" w:styleId="72">
    <w:name w:val="Plain Text Char"/>
    <w:link w:val="20"/>
    <w:qFormat/>
    <w:uiPriority w:val="0"/>
    <w:rPr>
      <w:rFonts w:ascii="宋体" w:hAnsi="Courier New" w:eastAsia="FangSong_GB2312"/>
      <w:kern w:val="2"/>
      <w:lang w:val="en-US"/>
    </w:rPr>
  </w:style>
  <w:style w:type="character" w:customStyle="1" w:styleId="73">
    <w:name w:val="X12       表格文字 Char Char"/>
    <w:link w:val="74"/>
    <w:qFormat/>
    <w:uiPriority w:val="0"/>
    <w:rPr>
      <w:rFonts w:eastAsia="宋体"/>
      <w:kern w:val="2"/>
      <w:sz w:val="21"/>
      <w:lang w:val="en-US"/>
    </w:rPr>
  </w:style>
  <w:style w:type="paragraph" w:customStyle="1" w:styleId="74">
    <w:name w:val="X12       表格文字"/>
    <w:basedOn w:val="1"/>
    <w:link w:val="73"/>
    <w:qFormat/>
    <w:uiPriority w:val="0"/>
    <w:pPr>
      <w:snapToGrid w:val="0"/>
      <w:jc w:val="center"/>
    </w:pPr>
    <w:rPr>
      <w:rFonts w:asciiTheme="minorHAnsi" w:hAnsiTheme="minorHAnsi" w:cstheme="minorBidi"/>
      <w:sz w:val="21"/>
    </w:rPr>
  </w:style>
  <w:style w:type="character" w:customStyle="1" w:styleId="75">
    <w:name w:val="style691"/>
    <w:qFormat/>
    <w:uiPriority w:val="0"/>
    <w:rPr>
      <w:color w:val="FF0000"/>
    </w:rPr>
  </w:style>
  <w:style w:type="character" w:customStyle="1" w:styleId="76">
    <w:name w:val="Body Text 3 Char"/>
    <w:link w:val="14"/>
    <w:qFormat/>
    <w:uiPriority w:val="0"/>
    <w:rPr>
      <w:kern w:val="2"/>
      <w:sz w:val="16"/>
      <w:szCs w:val="16"/>
    </w:rPr>
  </w:style>
  <w:style w:type="character" w:customStyle="1" w:styleId="77">
    <w:name w:val="表内文字 Char"/>
    <w:link w:val="78"/>
    <w:qFormat/>
    <w:uiPriority w:val="0"/>
    <w:rPr>
      <w:color w:val="000000"/>
      <w:kern w:val="2"/>
      <w:sz w:val="21"/>
      <w:szCs w:val="21"/>
    </w:rPr>
  </w:style>
  <w:style w:type="paragraph" w:customStyle="1" w:styleId="78">
    <w:name w:val="表内文字"/>
    <w:basedOn w:val="6"/>
    <w:link w:val="77"/>
    <w:qFormat/>
    <w:uiPriority w:val="0"/>
    <w:pPr>
      <w:spacing w:line="240" w:lineRule="auto"/>
      <w:ind w:firstLine="0" w:firstLineChars="0"/>
      <w:jc w:val="center"/>
    </w:pPr>
    <w:rPr>
      <w:sz w:val="21"/>
      <w:szCs w:val="21"/>
    </w:rPr>
  </w:style>
  <w:style w:type="character" w:customStyle="1" w:styleId="79">
    <w:name w:val="表格后段落 Char"/>
    <w:link w:val="80"/>
    <w:qFormat/>
    <w:uiPriority w:val="0"/>
    <w:rPr>
      <w:color w:val="000000"/>
      <w:kern w:val="2"/>
    </w:rPr>
  </w:style>
  <w:style w:type="paragraph" w:customStyle="1" w:styleId="80">
    <w:name w:val="表格后段落"/>
    <w:basedOn w:val="6"/>
    <w:link w:val="79"/>
    <w:qFormat/>
    <w:uiPriority w:val="0"/>
    <w:pPr>
      <w:spacing w:before="156" w:beforeLines="50"/>
      <w:ind w:firstLine="480"/>
    </w:pPr>
  </w:style>
  <w:style w:type="character" w:customStyle="1" w:styleId="81">
    <w:name w:val="表格名称 Char"/>
    <w:link w:val="45"/>
    <w:qFormat/>
    <w:uiPriority w:val="0"/>
    <w:rPr>
      <w:b/>
    </w:rPr>
  </w:style>
  <w:style w:type="character" w:customStyle="1" w:styleId="82">
    <w:name w:val="A报告宋体小四 Char Char"/>
    <w:link w:val="83"/>
    <w:qFormat/>
    <w:uiPriority w:val="0"/>
    <w:rPr>
      <w:color w:val="000000"/>
      <w:kern w:val="2"/>
    </w:rPr>
  </w:style>
  <w:style w:type="paragraph" w:customStyle="1" w:styleId="83">
    <w:name w:val="A报告宋体小四"/>
    <w:next w:val="1"/>
    <w:link w:val="82"/>
    <w:qFormat/>
    <w:uiPriority w:val="0"/>
    <w:pPr>
      <w:widowControl w:val="0"/>
      <w:ind w:left="11" w:firstLine="523" w:firstLineChars="200"/>
      <w:jc w:val="both"/>
    </w:pPr>
    <w:rPr>
      <w:rFonts w:asciiTheme="minorHAnsi" w:hAnsiTheme="minorHAnsi" w:eastAsiaTheme="minorEastAsia" w:cstheme="minorBidi"/>
      <w:color w:val="000000"/>
      <w:kern w:val="2"/>
      <w:sz w:val="24"/>
      <w:szCs w:val="24"/>
      <w:lang w:val="en-GB" w:eastAsia="zh-CN" w:bidi="ar-SA"/>
    </w:rPr>
  </w:style>
  <w:style w:type="paragraph" w:customStyle="1" w:styleId="84">
    <w:name w:val="样式 标题 2 + Times New Roman"/>
    <w:basedOn w:val="4"/>
    <w:qFormat/>
    <w:uiPriority w:val="0"/>
    <w:pPr>
      <w:adjustRightInd w:val="0"/>
      <w:snapToGrid w:val="0"/>
      <w:spacing w:afterLines="50"/>
    </w:pPr>
    <w:rPr>
      <w:rFonts w:eastAsia="STKaiti"/>
    </w:rPr>
  </w:style>
  <w:style w:type="paragraph" w:customStyle="1" w:styleId="85">
    <w:name w:val="Char"/>
    <w:basedOn w:val="1"/>
    <w:qFormat/>
    <w:uiPriority w:val="0"/>
  </w:style>
  <w:style w:type="paragraph" w:customStyle="1" w:styleId="86">
    <w:name w:val="Char1"/>
    <w:basedOn w:val="1"/>
    <w:qFormat/>
    <w:uiPriority w:val="0"/>
  </w:style>
  <w:style w:type="paragraph" w:customStyle="1" w:styleId="87">
    <w:name w:val="5文章(治)"/>
    <w:qFormat/>
    <w:uiPriority w:val="0"/>
    <w:pPr>
      <w:spacing w:line="360" w:lineRule="auto"/>
      <w:ind w:firstLine="560" w:firstLineChars="200"/>
      <w:jc w:val="both"/>
    </w:pPr>
    <w:rPr>
      <w:rFonts w:ascii="Times New Roman" w:hAnsi="Times New Roman" w:eastAsia="KaiTi_GB2312" w:cs="Times New Roman"/>
      <w:color w:val="000000"/>
      <w:kern w:val="2"/>
      <w:sz w:val="28"/>
      <w:lang w:val="en-US" w:eastAsia="zh-CN" w:bidi="ar-SA"/>
    </w:rPr>
  </w:style>
  <w:style w:type="paragraph" w:customStyle="1" w:styleId="88">
    <w:name w:val="正文顶格"/>
    <w:basedOn w:val="1"/>
    <w:qFormat/>
    <w:uiPriority w:val="0"/>
    <w:pPr>
      <w:jc w:val="center"/>
    </w:pPr>
    <w:rPr>
      <w:rFonts w:eastAsia="FangSong_GB2312"/>
      <w:szCs w:val="22"/>
    </w:rPr>
  </w:style>
  <w:style w:type="character" w:customStyle="1" w:styleId="89">
    <w:name w:val="Comment Text Char1"/>
    <w:basedOn w:val="38"/>
    <w:link w:val="13"/>
    <w:semiHidden/>
    <w:qFormat/>
    <w:uiPriority w:val="99"/>
    <w:rPr>
      <w:rFonts w:ascii="Times New Roman" w:hAnsi="Times New Roman" w:eastAsia="宋体" w:cs="Times New Roman"/>
      <w:kern w:val="2"/>
      <w:lang w:val="en-US"/>
    </w:rPr>
  </w:style>
  <w:style w:type="character" w:customStyle="1" w:styleId="90">
    <w:name w:val="Comment Subject Char"/>
    <w:basedOn w:val="89"/>
    <w:link w:val="33"/>
    <w:qFormat/>
    <w:uiPriority w:val="0"/>
    <w:rPr>
      <w:rFonts w:ascii="Times New Roman" w:hAnsi="Times New Roman" w:eastAsia="宋体" w:cs="Times New Roman"/>
      <w:b/>
      <w:bCs/>
      <w:kern w:val="2"/>
      <w:lang w:val="en-US"/>
    </w:rPr>
  </w:style>
  <w:style w:type="paragraph" w:customStyle="1" w:styleId="91">
    <w:name w:val="7表格(治)"/>
    <w:qFormat/>
    <w:uiPriority w:val="0"/>
    <w:pPr>
      <w:widowControl w:val="0"/>
      <w:adjustRightInd w:val="0"/>
      <w:snapToGrid w:val="0"/>
      <w:spacing w:line="240" w:lineRule="exact"/>
      <w:jc w:val="center"/>
    </w:pPr>
    <w:rPr>
      <w:rFonts w:ascii="宋体" w:hAnsi="宋体" w:eastAsia="宋体" w:cs="Times New Roman"/>
      <w:kern w:val="2"/>
      <w:sz w:val="21"/>
      <w:szCs w:val="21"/>
      <w:lang w:val="en-US" w:eastAsia="zh-CN" w:bidi="ar-SA"/>
    </w:rPr>
  </w:style>
  <w:style w:type="paragraph" w:customStyle="1" w:styleId="92">
    <w:name w:val="样式1"/>
    <w:basedOn w:val="1"/>
    <w:qFormat/>
    <w:uiPriority w:val="0"/>
    <w:pPr>
      <w:tabs>
        <w:tab w:val="left" w:pos="1440"/>
      </w:tabs>
      <w:ind w:firstLine="560" w:firstLineChars="200"/>
    </w:pPr>
    <w:rPr>
      <w:rFonts w:ascii="FangSong_GB2312" w:hAnsi="宋体" w:eastAsia="FangSong_GB2312"/>
      <w:sz w:val="28"/>
    </w:rPr>
  </w:style>
  <w:style w:type="paragraph" w:customStyle="1" w:styleId="93">
    <w:name w:val="Char Char Char"/>
    <w:basedOn w:val="1"/>
    <w:qFormat/>
    <w:uiPriority w:val="0"/>
  </w:style>
  <w:style w:type="paragraph" w:customStyle="1" w:styleId="94">
    <w:name w:val="Default"/>
    <w:qFormat/>
    <w:uiPriority w:val="0"/>
    <w:pPr>
      <w:widowControl w:val="0"/>
      <w:autoSpaceDE w:val="0"/>
      <w:autoSpaceDN w:val="0"/>
      <w:spacing w:line="360" w:lineRule="auto"/>
      <w:jc w:val="both"/>
    </w:pPr>
    <w:rPr>
      <w:rFonts w:hint="eastAsia" w:ascii="KaiTi_GB2312" w:hAnsi="KaiTi_GB2312" w:eastAsia="KaiTi_GB2312" w:cs="Times New Roman"/>
      <w:color w:val="000000"/>
      <w:sz w:val="24"/>
      <w:lang w:val="en-US" w:eastAsia="zh-CN" w:bidi="ar-SA"/>
    </w:rPr>
  </w:style>
  <w:style w:type="paragraph" w:customStyle="1" w:styleId="95">
    <w:name w:val="海洋正文表格"/>
    <w:qFormat/>
    <w:uiPriority w:val="0"/>
    <w:pPr>
      <w:jc w:val="center"/>
    </w:pPr>
    <w:rPr>
      <w:rFonts w:ascii="Times New Roman" w:hAnsi="Times New Roman" w:eastAsia="宋体" w:cs="Times New Roman"/>
      <w:kern w:val="2"/>
      <w:sz w:val="24"/>
      <w:szCs w:val="24"/>
      <w:lang w:val="en-US" w:eastAsia="zh-CN" w:bidi="ar-SA"/>
    </w:rPr>
  </w:style>
  <w:style w:type="paragraph" w:customStyle="1" w:styleId="96">
    <w:name w:val="表格"/>
    <w:basedOn w:val="1"/>
    <w:link w:val="149"/>
    <w:qFormat/>
    <w:uiPriority w:val="0"/>
    <w:pPr>
      <w:spacing w:line="240" w:lineRule="exact"/>
      <w:jc w:val="center"/>
    </w:pPr>
    <w:rPr>
      <w:sz w:val="18"/>
      <w:szCs w:val="18"/>
    </w:rPr>
  </w:style>
  <w:style w:type="paragraph" w:customStyle="1" w:styleId="97">
    <w:name w:val="Char11"/>
    <w:basedOn w:val="1"/>
    <w:qFormat/>
    <w:uiPriority w:val="0"/>
  </w:style>
  <w:style w:type="character" w:customStyle="1" w:styleId="98">
    <w:name w:val="Document Map Char"/>
    <w:basedOn w:val="38"/>
    <w:link w:val="12"/>
    <w:semiHidden/>
    <w:qFormat/>
    <w:uiPriority w:val="0"/>
    <w:rPr>
      <w:rFonts w:ascii="Times New Roman" w:hAnsi="Times New Roman" w:eastAsia="宋体" w:cs="Times New Roman"/>
      <w:kern w:val="2"/>
      <w:shd w:val="clear" w:color="auto" w:fill="000080"/>
      <w:lang w:val="en-US"/>
    </w:rPr>
  </w:style>
  <w:style w:type="character" w:customStyle="1" w:styleId="99">
    <w:name w:val="Header Char"/>
    <w:basedOn w:val="38"/>
    <w:link w:val="26"/>
    <w:qFormat/>
    <w:uiPriority w:val="0"/>
    <w:rPr>
      <w:rFonts w:ascii="Times New Roman" w:hAnsi="Times New Roman" w:eastAsia="宋体" w:cs="Times New Roman"/>
      <w:kern w:val="2"/>
      <w:sz w:val="18"/>
      <w:szCs w:val="18"/>
      <w:lang w:val="en-US"/>
    </w:rPr>
  </w:style>
  <w:style w:type="character" w:customStyle="1" w:styleId="100">
    <w:name w:val="Date Char"/>
    <w:basedOn w:val="38"/>
    <w:link w:val="22"/>
    <w:qFormat/>
    <w:uiPriority w:val="0"/>
    <w:rPr>
      <w:rFonts w:ascii="FangSong_GB2312" w:hAnsi="Times New Roman" w:eastAsia="宋体" w:cs="Times New Roman"/>
      <w:kern w:val="2"/>
      <w:sz w:val="28"/>
      <w:szCs w:val="20"/>
      <w:lang w:val="en-US"/>
    </w:rPr>
  </w:style>
  <w:style w:type="character" w:customStyle="1" w:styleId="101">
    <w:name w:val="Caption Char"/>
    <w:basedOn w:val="38"/>
    <w:link w:val="11"/>
    <w:qFormat/>
    <w:uiPriority w:val="0"/>
    <w:rPr>
      <w:rFonts w:ascii="Arial" w:hAnsi="Arial" w:eastAsia="黑体" w:cs="Arial"/>
      <w:kern w:val="2"/>
      <w:sz w:val="20"/>
      <w:szCs w:val="20"/>
      <w:lang w:val="en-US"/>
    </w:rPr>
  </w:style>
  <w:style w:type="character" w:customStyle="1" w:styleId="102">
    <w:name w:val="Balloon Text Char"/>
    <w:basedOn w:val="38"/>
    <w:link w:val="24"/>
    <w:qFormat/>
    <w:uiPriority w:val="0"/>
    <w:rPr>
      <w:rFonts w:ascii="Times New Roman" w:hAnsi="Times New Roman" w:eastAsia="宋体" w:cs="Times New Roman"/>
      <w:kern w:val="2"/>
      <w:sz w:val="18"/>
      <w:szCs w:val="18"/>
      <w:lang w:val="en-US"/>
    </w:rPr>
  </w:style>
  <w:style w:type="character" w:customStyle="1" w:styleId="103">
    <w:name w:val="Body Text Char1"/>
    <w:basedOn w:val="38"/>
    <w:semiHidden/>
    <w:qFormat/>
    <w:uiPriority w:val="99"/>
    <w:rPr>
      <w:rFonts w:ascii="Times New Roman" w:hAnsi="Times New Roman" w:eastAsia="宋体" w:cs="Times New Roman"/>
      <w:kern w:val="2"/>
      <w:lang w:val="en-US"/>
    </w:rPr>
  </w:style>
  <w:style w:type="paragraph" w:customStyle="1" w:styleId="104">
    <w:name w:val="Char Char Char Char Char Char1 Char Char Char Char Char Char Char Char Char Char Char Char Char"/>
    <w:basedOn w:val="1"/>
    <w:qFormat/>
    <w:uiPriority w:val="0"/>
  </w:style>
  <w:style w:type="paragraph" w:customStyle="1" w:styleId="105">
    <w:name w:val="Char2"/>
    <w:basedOn w:val="1"/>
    <w:qFormat/>
    <w:uiPriority w:val="0"/>
    <w:pPr>
      <w:widowControl w:val="0"/>
      <w:snapToGrid w:val="0"/>
      <w:spacing w:line="440" w:lineRule="atLeast"/>
      <w:ind w:firstLine="200" w:firstLineChars="200"/>
    </w:pPr>
    <w:rPr>
      <w:sz w:val="21"/>
      <w:szCs w:val="20"/>
    </w:rPr>
  </w:style>
  <w:style w:type="character" w:customStyle="1" w:styleId="106">
    <w:name w:val="Plain Text Char1"/>
    <w:basedOn w:val="38"/>
    <w:semiHidden/>
    <w:qFormat/>
    <w:uiPriority w:val="99"/>
    <w:rPr>
      <w:rFonts w:ascii="Courier" w:hAnsi="Courier" w:eastAsia="宋体" w:cs="Times New Roman"/>
      <w:kern w:val="2"/>
      <w:sz w:val="21"/>
      <w:szCs w:val="21"/>
      <w:lang w:val="en-US"/>
    </w:rPr>
  </w:style>
  <w:style w:type="paragraph" w:customStyle="1" w:styleId="107">
    <w:name w:val="Char Char Char1"/>
    <w:basedOn w:val="1"/>
    <w:qFormat/>
    <w:uiPriority w:val="0"/>
  </w:style>
  <w:style w:type="paragraph" w:customStyle="1" w:styleId="108">
    <w:name w:val="Char3"/>
    <w:basedOn w:val="1"/>
    <w:qFormat/>
    <w:uiPriority w:val="0"/>
  </w:style>
  <w:style w:type="paragraph" w:customStyle="1" w:styleId="109">
    <w:name w:val="T表格"/>
    <w:qFormat/>
    <w:uiPriority w:val="0"/>
    <w:pPr>
      <w:spacing w:line="360" w:lineRule="auto"/>
      <w:jc w:val="center"/>
    </w:pPr>
    <w:rPr>
      <w:rFonts w:ascii="Times New Roman" w:hAnsi="Times New Roman" w:eastAsia="宋体" w:cs="CG Times (W1)"/>
      <w:sz w:val="21"/>
      <w:lang w:val="en-US" w:eastAsia="zh-CN" w:bidi="ar-SA"/>
    </w:rPr>
  </w:style>
  <w:style w:type="paragraph" w:customStyle="1" w:styleId="110">
    <w:name w:val="zhang正文"/>
    <w:basedOn w:val="16"/>
    <w:link w:val="111"/>
    <w:qFormat/>
    <w:uiPriority w:val="0"/>
    <w:pPr>
      <w:autoSpaceDE w:val="0"/>
      <w:autoSpaceDN w:val="0"/>
      <w:adjustRightInd w:val="0"/>
      <w:snapToGrid w:val="0"/>
      <w:spacing w:after="0" w:line="500" w:lineRule="exact"/>
      <w:ind w:left="0" w:firstLine="539"/>
      <w:textAlignment w:val="baseline"/>
    </w:pPr>
    <w:rPr>
      <w:rFonts w:eastAsia="KaiTi_GB2312"/>
      <w:kern w:val="0"/>
      <w:sz w:val="28"/>
      <w:szCs w:val="20"/>
    </w:rPr>
  </w:style>
  <w:style w:type="character" w:customStyle="1" w:styleId="111">
    <w:name w:val="zhang正文 Char1"/>
    <w:link w:val="110"/>
    <w:qFormat/>
    <w:uiPriority w:val="0"/>
    <w:rPr>
      <w:rFonts w:ascii="Times New Roman" w:hAnsi="Times New Roman" w:eastAsia="KaiTi_GB2312" w:cs="Times New Roman"/>
      <w:sz w:val="28"/>
      <w:szCs w:val="20"/>
      <w:lang w:val="en-US"/>
    </w:rPr>
  </w:style>
  <w:style w:type="character" w:customStyle="1" w:styleId="112">
    <w:name w:val="Body Text First Indent 2 Char1"/>
    <w:basedOn w:val="71"/>
    <w:semiHidden/>
    <w:qFormat/>
    <w:uiPriority w:val="99"/>
    <w:rPr>
      <w:rFonts w:ascii="Times New Roman" w:hAnsi="Times New Roman" w:eastAsia="宋体" w:cs="Times New Roman"/>
      <w:kern w:val="2"/>
      <w:lang w:val="en-US"/>
    </w:rPr>
  </w:style>
  <w:style w:type="paragraph" w:customStyle="1" w:styleId="113">
    <w:name w:val="无间隔"/>
    <w:qFormat/>
    <w:uiPriority w:val="0"/>
    <w:pPr>
      <w:spacing w:line="360" w:lineRule="auto"/>
      <w:ind w:firstLine="200" w:firstLineChars="200"/>
      <w:jc w:val="both"/>
    </w:pPr>
    <w:rPr>
      <w:rFonts w:ascii="Times New Roman" w:hAnsi="Times New Roman" w:eastAsia="FangSong_GB2312" w:cs="Times New Roman"/>
      <w:lang w:val="en-US" w:eastAsia="zh-CN" w:bidi="ar-SA"/>
    </w:rPr>
  </w:style>
  <w:style w:type="paragraph" w:customStyle="1" w:styleId="114">
    <w:name w:val="Char Char Char Char Char Char1 Char Char Char Char Char Char Char Char Char Char Char Char Char1"/>
    <w:basedOn w:val="1"/>
    <w:qFormat/>
    <w:uiPriority w:val="0"/>
  </w:style>
  <w:style w:type="paragraph" w:customStyle="1" w:styleId="115">
    <w:name w:val="表内容"/>
    <w:qFormat/>
    <w:uiPriority w:val="0"/>
    <w:pPr>
      <w:widowControl w:val="0"/>
      <w:spacing w:line="360" w:lineRule="auto"/>
      <w:ind w:left="-30" w:leftChars="-30" w:right="-30" w:rightChars="-30"/>
      <w:jc w:val="center"/>
    </w:pPr>
    <w:rPr>
      <w:rFonts w:ascii="Times New Roman" w:hAnsi="Times New Roman" w:eastAsia="宋体" w:cs="Times New Roman"/>
      <w:kern w:val="2"/>
      <w:sz w:val="21"/>
      <w:szCs w:val="21"/>
      <w:lang w:val="en-US" w:eastAsia="zh-CN" w:bidi="ar-SA"/>
    </w:rPr>
  </w:style>
  <w:style w:type="character" w:customStyle="1" w:styleId="116">
    <w:name w:val="Body Text 3 Char1"/>
    <w:basedOn w:val="38"/>
    <w:semiHidden/>
    <w:qFormat/>
    <w:uiPriority w:val="99"/>
    <w:rPr>
      <w:rFonts w:ascii="Times New Roman" w:hAnsi="Times New Roman" w:eastAsia="宋体" w:cs="Times New Roman"/>
      <w:kern w:val="2"/>
      <w:sz w:val="16"/>
      <w:szCs w:val="16"/>
      <w:lang w:val="en-US"/>
    </w:rPr>
  </w:style>
  <w:style w:type="paragraph" w:customStyle="1" w:styleId="117">
    <w:name w:val="1表格"/>
    <w:basedOn w:val="1"/>
    <w:qFormat/>
    <w:uiPriority w:val="0"/>
    <w:pPr>
      <w:snapToGrid w:val="0"/>
      <w:jc w:val="center"/>
    </w:pPr>
    <w:rPr>
      <w:rFonts w:eastAsia="KaiTi_GB2312"/>
      <w:szCs w:val="20"/>
    </w:rPr>
  </w:style>
  <w:style w:type="character" w:customStyle="1" w:styleId="118">
    <w:name w:val="Footer Char1"/>
    <w:basedOn w:val="38"/>
    <w:semiHidden/>
    <w:qFormat/>
    <w:uiPriority w:val="99"/>
    <w:rPr>
      <w:rFonts w:ascii="Times New Roman" w:hAnsi="Times New Roman" w:eastAsia="宋体" w:cs="Times New Roman"/>
      <w:kern w:val="2"/>
      <w:lang w:val="en-US"/>
    </w:rPr>
  </w:style>
  <w:style w:type="paragraph" w:customStyle="1" w:styleId="119">
    <w:name w:val=".."/>
    <w:basedOn w:val="94"/>
    <w:next w:val="94"/>
    <w:qFormat/>
    <w:uiPriority w:val="0"/>
    <w:rPr>
      <w:rFonts w:hint="default"/>
    </w:rPr>
  </w:style>
  <w:style w:type="character" w:customStyle="1" w:styleId="120">
    <w:name w:val="Body Text Indent 2 Char"/>
    <w:basedOn w:val="38"/>
    <w:link w:val="23"/>
    <w:qFormat/>
    <w:uiPriority w:val="0"/>
    <w:rPr>
      <w:rFonts w:ascii="Times New Roman" w:hAnsi="Times New Roman" w:eastAsia="宋体" w:cs="Times New Roman"/>
      <w:kern w:val="2"/>
      <w:lang w:val="en-US"/>
    </w:rPr>
  </w:style>
  <w:style w:type="paragraph" w:customStyle="1" w:styleId="121">
    <w:name w:val="三级标题"/>
    <w:basedOn w:val="1"/>
    <w:next w:val="35"/>
    <w:qFormat/>
    <w:uiPriority w:val="0"/>
    <w:pPr>
      <w:widowControl w:val="0"/>
      <w:spacing w:line="240" w:lineRule="auto"/>
      <w:jc w:val="center"/>
    </w:pPr>
    <w:rPr>
      <w:rFonts w:hAnsi="宋体"/>
      <w:color w:val="000000"/>
      <w:spacing w:val="-6"/>
    </w:rPr>
  </w:style>
  <w:style w:type="paragraph" w:customStyle="1" w:styleId="122">
    <w:name w:val="书正文"/>
    <w:basedOn w:val="1"/>
    <w:qFormat/>
    <w:uiPriority w:val="0"/>
    <w:pPr>
      <w:spacing w:line="420" w:lineRule="exact"/>
      <w:ind w:firstLine="560" w:firstLineChars="200"/>
    </w:pPr>
    <w:rPr>
      <w:sz w:val="28"/>
    </w:rPr>
  </w:style>
  <w:style w:type="paragraph" w:customStyle="1" w:styleId="123">
    <w:name w:val="表头"/>
    <w:basedOn w:val="1"/>
    <w:qFormat/>
    <w:uiPriority w:val="0"/>
    <w:pPr>
      <w:snapToGrid w:val="0"/>
      <w:spacing w:line="240" w:lineRule="auto"/>
      <w:ind w:firstLine="482"/>
      <w:jc w:val="center"/>
    </w:pPr>
    <w:rPr>
      <w:b/>
      <w:bCs/>
      <w:color w:val="000000"/>
      <w:szCs w:val="20"/>
    </w:rPr>
  </w:style>
  <w:style w:type="paragraph" w:customStyle="1" w:styleId="124">
    <w:name w:val="样式6"/>
    <w:basedOn w:val="1"/>
    <w:qFormat/>
    <w:uiPriority w:val="0"/>
    <w:pPr>
      <w:autoSpaceDE w:val="0"/>
      <w:autoSpaceDN w:val="0"/>
      <w:adjustRightInd w:val="0"/>
      <w:spacing w:line="500" w:lineRule="exact"/>
      <w:jc w:val="left"/>
      <w:outlineLvl w:val="2"/>
    </w:pPr>
    <w:rPr>
      <w:rFonts w:eastAsia="FangSong_GB2312"/>
      <w:color w:val="000000"/>
      <w:kern w:val="0"/>
      <w:sz w:val="28"/>
      <w:szCs w:val="20"/>
    </w:rPr>
  </w:style>
  <w:style w:type="paragraph" w:customStyle="1" w:styleId="125">
    <w:name w:val="样式 标题 3 + Times New Roman 段后: 7.8 磅"/>
    <w:basedOn w:val="5"/>
    <w:qFormat/>
    <w:uiPriority w:val="0"/>
    <w:pPr>
      <w:adjustRightInd w:val="0"/>
      <w:snapToGrid w:val="0"/>
      <w:spacing w:after="50" w:afterLines="50"/>
    </w:pPr>
    <w:rPr>
      <w:rFonts w:eastAsia="STKaiti" w:cs="宋体"/>
      <w:b w:val="0"/>
      <w:bCs w:val="0"/>
      <w:iCs/>
      <w:szCs w:val="20"/>
    </w:rPr>
  </w:style>
  <w:style w:type="paragraph" w:customStyle="1" w:styleId="126">
    <w:name w:val="图件标题"/>
    <w:qFormat/>
    <w:uiPriority w:val="0"/>
    <w:pPr>
      <w:numPr>
        <w:ilvl w:val="5"/>
        <w:numId w:val="2"/>
      </w:numPr>
      <w:adjustRightInd w:val="0"/>
      <w:snapToGrid w:val="0"/>
      <w:spacing w:before="40" w:after="100" w:line="360" w:lineRule="auto"/>
      <w:jc w:val="center"/>
    </w:pPr>
    <w:rPr>
      <w:rFonts w:ascii="Times New Roman" w:hAnsi="Times New Roman" w:eastAsia="宋体" w:cs="Times New Roman"/>
      <w:b/>
      <w:kern w:val="2"/>
      <w:sz w:val="24"/>
      <w:szCs w:val="28"/>
      <w:lang w:val="en-US" w:eastAsia="zh-CN" w:bidi="ar-SA"/>
    </w:rPr>
  </w:style>
  <w:style w:type="paragraph" w:customStyle="1" w:styleId="127">
    <w:name w:val="zhang正文 Char Char"/>
    <w:basedOn w:val="16"/>
    <w:qFormat/>
    <w:uiPriority w:val="0"/>
    <w:pPr>
      <w:widowControl w:val="0"/>
      <w:autoSpaceDE w:val="0"/>
      <w:autoSpaceDN w:val="0"/>
      <w:adjustRightInd w:val="0"/>
      <w:snapToGrid w:val="0"/>
      <w:spacing w:after="0" w:line="500" w:lineRule="exact"/>
      <w:ind w:left="0" w:firstLine="539"/>
      <w:textAlignment w:val="baseline"/>
    </w:pPr>
    <w:rPr>
      <w:rFonts w:eastAsia="KaiTi_GB2312"/>
      <w:kern w:val="0"/>
      <w:sz w:val="28"/>
      <w:szCs w:val="20"/>
    </w:rPr>
  </w:style>
  <w:style w:type="paragraph" w:customStyle="1" w:styleId="128">
    <w:name w:val="3级标题"/>
    <w:basedOn w:val="1"/>
    <w:link w:val="129"/>
    <w:qFormat/>
    <w:uiPriority w:val="0"/>
    <w:pPr>
      <w:widowControl w:val="0"/>
      <w:adjustRightInd w:val="0"/>
      <w:snapToGrid w:val="0"/>
      <w:outlineLvl w:val="2"/>
    </w:pPr>
    <w:rPr>
      <w:rFonts w:ascii="Calibri" w:hAnsi="Calibri" w:cs="宋体"/>
      <w:b/>
    </w:rPr>
  </w:style>
  <w:style w:type="character" w:customStyle="1" w:styleId="129">
    <w:name w:val="3级标题 Char"/>
    <w:link w:val="128"/>
    <w:qFormat/>
    <w:uiPriority w:val="0"/>
    <w:rPr>
      <w:rFonts w:ascii="Calibri" w:hAnsi="Calibri" w:eastAsia="宋体" w:cs="宋体"/>
      <w:b/>
      <w:kern w:val="2"/>
      <w:lang w:val="en-US"/>
    </w:rPr>
  </w:style>
  <w:style w:type="paragraph" w:customStyle="1" w:styleId="130">
    <w:name w:val="List Paragraph1"/>
    <w:basedOn w:val="1"/>
    <w:qFormat/>
    <w:uiPriority w:val="34"/>
    <w:pPr>
      <w:ind w:left="720"/>
      <w:contextualSpacing/>
    </w:pPr>
  </w:style>
  <w:style w:type="paragraph" w:customStyle="1" w:styleId="131">
    <w:name w:val="正文C1"/>
    <w:basedOn w:val="35"/>
    <w:qFormat/>
    <w:uiPriority w:val="0"/>
    <w:pPr>
      <w:widowControl w:val="0"/>
      <w:tabs>
        <w:tab w:val="left" w:pos="420"/>
        <w:tab w:val="left" w:pos="870"/>
        <w:tab w:val="left" w:pos="3150"/>
      </w:tabs>
      <w:autoSpaceDE w:val="0"/>
      <w:autoSpaceDN w:val="0"/>
      <w:adjustRightInd w:val="0"/>
      <w:snapToGrid w:val="0"/>
      <w:spacing w:line="336" w:lineRule="auto"/>
      <w:ind w:left="0" w:leftChars="0" w:firstLine="200" w:firstLineChars="0"/>
      <w:textAlignment w:val="baseline"/>
    </w:pPr>
    <w:rPr>
      <w:rFonts w:ascii="宋体" w:hAnsi="Times New Roman" w:cs="Times New Roman"/>
      <w:kern w:val="0"/>
      <w:szCs w:val="28"/>
      <w:lang w:val="en-US"/>
    </w:rPr>
  </w:style>
  <w:style w:type="paragraph" w:customStyle="1" w:styleId="132">
    <w:name w:val="My正文"/>
    <w:basedOn w:val="1"/>
    <w:qFormat/>
    <w:uiPriority w:val="0"/>
    <w:pPr>
      <w:widowControl w:val="0"/>
      <w:adjustRightInd w:val="0"/>
      <w:snapToGrid w:val="0"/>
      <w:ind w:firstLine="480" w:firstLineChars="200"/>
    </w:pPr>
    <w:rPr>
      <w:rFonts w:ascii="宋体" w:hAnsi="宋体"/>
      <w:color w:val="000000"/>
      <w:sz w:val="21"/>
      <w:szCs w:val="20"/>
    </w:rPr>
  </w:style>
  <w:style w:type="paragraph" w:customStyle="1" w:styleId="133">
    <w:name w:val="样式29"/>
    <w:basedOn w:val="10"/>
    <w:qFormat/>
    <w:uiPriority w:val="0"/>
    <w:pPr>
      <w:widowControl w:val="0"/>
      <w:numPr>
        <w:ilvl w:val="0"/>
        <w:numId w:val="0"/>
      </w:numPr>
      <w:spacing w:line="240" w:lineRule="auto"/>
      <w:ind w:firstLine="420"/>
    </w:pPr>
    <w:rPr>
      <w:rFonts w:ascii="宋体" w:hAnsi="Times New Roman" w:cs="Times New Roman"/>
      <w:sz w:val="28"/>
      <w:lang w:val="en-US"/>
    </w:rPr>
  </w:style>
  <w:style w:type="character" w:customStyle="1" w:styleId="134">
    <w:name w:val="表格居中 Char"/>
    <w:basedOn w:val="38"/>
    <w:link w:val="135"/>
    <w:qFormat/>
    <w:uiPriority w:val="0"/>
    <w:rPr>
      <w:rFonts w:ascii="宋体" w:eastAsia="宋体" w:cs="Arial"/>
      <w:sz w:val="21"/>
      <w:szCs w:val="21"/>
      <w:lang w:val="en-US"/>
    </w:rPr>
  </w:style>
  <w:style w:type="paragraph" w:customStyle="1" w:styleId="135">
    <w:name w:val="表格居中"/>
    <w:basedOn w:val="1"/>
    <w:next w:val="1"/>
    <w:link w:val="134"/>
    <w:qFormat/>
    <w:uiPriority w:val="0"/>
    <w:pPr>
      <w:widowControl w:val="0"/>
      <w:spacing w:line="0" w:lineRule="atLeast"/>
      <w:jc w:val="center"/>
    </w:pPr>
    <w:rPr>
      <w:rFonts w:ascii="宋体" w:cs="Arial" w:hAnsiTheme="minorHAnsi"/>
      <w:kern w:val="0"/>
      <w:sz w:val="21"/>
      <w:szCs w:val="21"/>
    </w:rPr>
  </w:style>
  <w:style w:type="paragraph" w:customStyle="1" w:styleId="136">
    <w:name w:val="表中文字"/>
    <w:basedOn w:val="1"/>
    <w:qFormat/>
    <w:uiPriority w:val="0"/>
    <w:pPr>
      <w:widowControl w:val="0"/>
      <w:spacing w:line="240" w:lineRule="atLeast"/>
      <w:jc w:val="center"/>
    </w:pPr>
    <w:rPr>
      <w:sz w:val="21"/>
    </w:rPr>
  </w:style>
  <w:style w:type="paragraph" w:customStyle="1" w:styleId="137">
    <w:name w:val="二级无标题条"/>
    <w:basedOn w:val="1"/>
    <w:qFormat/>
    <w:uiPriority w:val="0"/>
    <w:pPr>
      <w:widowControl w:val="0"/>
      <w:spacing w:line="240" w:lineRule="auto"/>
    </w:pPr>
    <w:rPr>
      <w:sz w:val="21"/>
      <w:szCs w:val="20"/>
    </w:rPr>
  </w:style>
  <w:style w:type="paragraph" w:customStyle="1" w:styleId="138">
    <w:name w:val="样式 报告书正文 + 黑体 居中"/>
    <w:basedOn w:val="1"/>
    <w:qFormat/>
    <w:uiPriority w:val="0"/>
    <w:pPr>
      <w:widowControl w:val="0"/>
      <w:spacing w:line="240" w:lineRule="auto"/>
      <w:jc w:val="center"/>
    </w:pPr>
    <w:rPr>
      <w:rFonts w:ascii="宋体" w:cs="宋体"/>
      <w:b/>
      <w:kern w:val="0"/>
      <w:szCs w:val="20"/>
    </w:rPr>
  </w:style>
  <w:style w:type="paragraph" w:customStyle="1" w:styleId="139">
    <w:name w:val="样式 样式 样式 首行缩进:  2 字符 + 居中 + 两端对齐 首行缩进:  2 字符 行距: 固定值 12 磅"/>
    <w:basedOn w:val="1"/>
    <w:qFormat/>
    <w:uiPriority w:val="0"/>
    <w:pPr>
      <w:widowControl w:val="0"/>
      <w:adjustRightInd w:val="0"/>
      <w:snapToGrid w:val="0"/>
      <w:spacing w:line="240" w:lineRule="exact"/>
    </w:pPr>
    <w:rPr>
      <w:rFonts w:cs="宋体"/>
      <w:sz w:val="21"/>
      <w:szCs w:val="20"/>
    </w:rPr>
  </w:style>
  <w:style w:type="character" w:customStyle="1" w:styleId="140">
    <w:name w:val="a表格 Char"/>
    <w:link w:val="141"/>
    <w:qFormat/>
    <w:uiPriority w:val="0"/>
    <w:rPr>
      <w:rFonts w:eastAsia="宋体"/>
      <w:kern w:val="2"/>
      <w:sz w:val="21"/>
      <w:lang w:val="en-US"/>
    </w:rPr>
  </w:style>
  <w:style w:type="paragraph" w:customStyle="1" w:styleId="141">
    <w:name w:val="a表格"/>
    <w:basedOn w:val="1"/>
    <w:link w:val="140"/>
    <w:qFormat/>
    <w:uiPriority w:val="0"/>
    <w:pPr>
      <w:widowControl w:val="0"/>
      <w:snapToGrid w:val="0"/>
      <w:spacing w:line="240" w:lineRule="auto"/>
      <w:jc w:val="center"/>
    </w:pPr>
    <w:rPr>
      <w:rFonts w:asciiTheme="minorHAnsi" w:hAnsiTheme="minorHAnsi" w:cstheme="minorBidi"/>
      <w:sz w:val="21"/>
    </w:rPr>
  </w:style>
  <w:style w:type="character" w:customStyle="1" w:styleId="142">
    <w:name w:val="常用 Char"/>
    <w:qFormat/>
    <w:uiPriority w:val="0"/>
    <w:rPr>
      <w:rFonts w:ascii="宋体" w:hAnsi="宋体" w:eastAsia="宋体" w:cs="Courier New"/>
      <w:sz w:val="28"/>
      <w:szCs w:val="28"/>
      <w:lang w:val="en-US"/>
    </w:rPr>
  </w:style>
  <w:style w:type="paragraph" w:customStyle="1" w:styleId="143">
    <w:name w:val="样式4"/>
    <w:basedOn w:val="1"/>
    <w:qFormat/>
    <w:uiPriority w:val="0"/>
    <w:pPr>
      <w:widowControl w:val="0"/>
      <w:tabs>
        <w:tab w:val="left" w:pos="896"/>
      </w:tabs>
      <w:spacing w:line="240" w:lineRule="auto"/>
      <w:ind w:left="4537"/>
    </w:pPr>
    <w:rPr>
      <w:sz w:val="21"/>
      <w:szCs w:val="20"/>
    </w:rPr>
  </w:style>
  <w:style w:type="paragraph" w:customStyle="1" w:styleId="144">
    <w:name w:val="Revision1"/>
    <w:hidden/>
    <w:semiHidden/>
    <w:qFormat/>
    <w:uiPriority w:val="99"/>
    <w:rPr>
      <w:rFonts w:ascii="Times New Roman" w:hAnsi="Times New Roman" w:eastAsia="宋体" w:cs="Times New Roman"/>
      <w:kern w:val="2"/>
      <w:sz w:val="24"/>
      <w:szCs w:val="24"/>
      <w:lang w:val="en-US" w:eastAsia="zh-CN" w:bidi="ar-SA"/>
    </w:rPr>
  </w:style>
  <w:style w:type="paragraph" w:customStyle="1" w:styleId="145">
    <w:name w:val="TOC Heading1"/>
    <w:basedOn w:val="3"/>
    <w:next w:val="1"/>
    <w:unhideWhenUsed/>
    <w:qFormat/>
    <w:uiPriority w:val="39"/>
    <w:pPr>
      <w:keepNext/>
      <w:keepLines/>
      <w:numPr>
        <w:numId w:val="0"/>
      </w:numPr>
      <w:spacing w:before="480" w:line="276" w:lineRule="auto"/>
      <w:jc w:val="left"/>
      <w:outlineLvl w:val="9"/>
    </w:pPr>
    <w:rPr>
      <w:rFonts w:asciiTheme="majorHAnsi" w:hAnsiTheme="majorHAnsi" w:eastAsiaTheme="majorEastAsia" w:cstheme="majorBidi"/>
      <w:color w:val="2E75B6" w:themeColor="accent1" w:themeShade="BF"/>
      <w:kern w:val="0"/>
      <w:sz w:val="28"/>
      <w:szCs w:val="28"/>
      <w:lang w:eastAsia="en-US"/>
    </w:rPr>
  </w:style>
  <w:style w:type="character" w:customStyle="1" w:styleId="146">
    <w:name w:val="HTML Preformatted Char"/>
    <w:basedOn w:val="38"/>
    <w:link w:val="31"/>
    <w:semiHidden/>
    <w:qFormat/>
    <w:uiPriority w:val="99"/>
    <w:rPr>
      <w:rFonts w:ascii="Courier New" w:hAnsi="Courier New" w:eastAsia="Times New Roman" w:cs="Courier New"/>
      <w:sz w:val="20"/>
      <w:szCs w:val="20"/>
      <w:lang w:val="en-MY"/>
    </w:rPr>
  </w:style>
  <w:style w:type="character" w:customStyle="1" w:styleId="147">
    <w:name w:val="Unresolved Mention1"/>
    <w:basedOn w:val="38"/>
    <w:unhideWhenUsed/>
    <w:qFormat/>
    <w:uiPriority w:val="99"/>
    <w:rPr>
      <w:color w:val="605E5C"/>
      <w:shd w:val="clear" w:color="auto" w:fill="E1DFDD"/>
    </w:rPr>
  </w:style>
  <w:style w:type="paragraph" w:customStyle="1" w:styleId="148">
    <w:name w:val="Char Char Char Char Char Char Char Char Char1 Char"/>
    <w:basedOn w:val="1"/>
    <w:qFormat/>
    <w:uiPriority w:val="0"/>
    <w:pPr>
      <w:widowControl w:val="0"/>
      <w:spacing w:line="240" w:lineRule="auto"/>
    </w:pPr>
    <w:rPr>
      <w:rFonts w:ascii="宋体" w:hAnsi="宋体" w:cs="Courier New"/>
      <w:sz w:val="32"/>
      <w:szCs w:val="32"/>
    </w:rPr>
  </w:style>
  <w:style w:type="character" w:customStyle="1" w:styleId="149">
    <w:name w:val="表格 Char Char"/>
    <w:link w:val="96"/>
    <w:qFormat/>
    <w:uiPriority w:val="0"/>
    <w:rPr>
      <w:rFonts w:ascii="Times New Roman" w:hAnsi="Times New Roman" w:eastAsia="宋体" w:cs="Times New Roman"/>
      <w:kern w:val="2"/>
      <w:sz w:val="18"/>
      <w:szCs w:val="18"/>
      <w:lang w:val="en-US"/>
    </w:rPr>
  </w:style>
  <w:style w:type="paragraph" w:customStyle="1" w:styleId="150">
    <w:name w:val="Char Char Char Char Char Char1 Char"/>
    <w:basedOn w:val="1"/>
    <w:semiHidden/>
    <w:qFormat/>
    <w:uiPriority w:val="0"/>
    <w:pPr>
      <w:widowControl w:val="0"/>
      <w:spacing w:line="240" w:lineRule="auto"/>
    </w:pPr>
    <w:rPr>
      <w:sz w:val="21"/>
      <w:szCs w:val="22"/>
    </w:rPr>
  </w:style>
  <w:style w:type="paragraph" w:customStyle="1" w:styleId="151">
    <w:name w:val="Char Char Char Char Char Char Char Char Char1 Char1"/>
    <w:basedOn w:val="1"/>
    <w:qFormat/>
    <w:uiPriority w:val="0"/>
    <w:pPr>
      <w:widowControl w:val="0"/>
      <w:spacing w:line="240" w:lineRule="auto"/>
    </w:pPr>
    <w:rPr>
      <w:rFonts w:ascii="宋体" w:hAnsi="宋体" w:cs="Courier New"/>
      <w:sz w:val="32"/>
      <w:szCs w:val="32"/>
    </w:rPr>
  </w:style>
  <w:style w:type="character" w:customStyle="1" w:styleId="152">
    <w:name w:val="issued1"/>
    <w:basedOn w:val="38"/>
    <w:qFormat/>
    <w:uiPriority w:val="0"/>
    <w:rPr>
      <w:rFonts w:ascii="宋体" w:hAnsi="宋体" w:eastAsia="宋体" w:cs="Courier New"/>
      <w:sz w:val="32"/>
      <w:szCs w:val="32"/>
    </w:rPr>
  </w:style>
  <w:style w:type="paragraph" w:customStyle="1" w:styleId="153">
    <w:name w:val="表格内文字"/>
    <w:basedOn w:val="1"/>
    <w:qFormat/>
    <w:uiPriority w:val="0"/>
    <w:pPr>
      <w:adjustRightInd w:val="0"/>
      <w:snapToGrid w:val="0"/>
      <w:spacing w:line="240" w:lineRule="auto"/>
      <w:jc w:val="center"/>
    </w:pPr>
    <w:rPr>
      <w:snapToGrid w:val="0"/>
      <w:color w:val="000000"/>
      <w:sz w:val="21"/>
      <w:lang w:val="zh-CN"/>
    </w:rPr>
  </w:style>
  <w:style w:type="paragraph" w:customStyle="1" w:styleId="154">
    <w:name w:val="环评正文"/>
    <w:basedOn w:val="1"/>
    <w:qFormat/>
    <w:uiPriority w:val="99"/>
    <w:pPr>
      <w:widowControl w:val="0"/>
      <w:ind w:firstLine="600" w:firstLineChars="200"/>
      <w:jc w:val="left"/>
    </w:pPr>
  </w:style>
  <w:style w:type="paragraph" w:customStyle="1" w:styleId="155">
    <w:name w:val="谢—正文"/>
    <w:basedOn w:val="1"/>
    <w:qFormat/>
    <w:uiPriority w:val="0"/>
    <w:pPr>
      <w:spacing w:line="500" w:lineRule="exact"/>
      <w:ind w:firstLine="200"/>
    </w:pPr>
    <w:rPr>
      <w:rFonts w:eastAsia="KaiTi_GB2312"/>
      <w:sz w:val="28"/>
    </w:rPr>
  </w:style>
  <w:style w:type="paragraph" w:customStyle="1" w:styleId="156">
    <w:name w:val="4正文"/>
    <w:basedOn w:val="1"/>
    <w:qFormat/>
    <w:uiPriority w:val="0"/>
    <w:pPr>
      <w:ind w:firstLine="480"/>
    </w:pPr>
  </w:style>
  <w:style w:type="paragraph" w:customStyle="1" w:styleId="157">
    <w:name w:val="WPSOffice手动目录 1"/>
    <w:qFormat/>
    <w:uiPriority w:val="0"/>
    <w:pPr>
      <w:ind w:leftChars="0"/>
    </w:pPr>
    <w:rPr>
      <w:rFonts w:ascii="Times New Roman" w:hAnsi="Times New Roman" w:eastAsia="宋体" w:cs="Times New Roman"/>
      <w:sz w:val="20"/>
      <w:szCs w:val="20"/>
    </w:rPr>
  </w:style>
  <w:style w:type="paragraph" w:customStyle="1" w:styleId="158">
    <w:name w:val="WPSOffice手动目录 2"/>
    <w:qFormat/>
    <w:uiPriority w:val="0"/>
    <w:pPr>
      <w:ind w:leftChars="200"/>
    </w:pPr>
    <w:rPr>
      <w:rFonts w:ascii="Times New Roman" w:hAnsi="Times New Roman" w:eastAsia="宋体" w:cs="Times New Roman"/>
      <w:sz w:val="20"/>
      <w:szCs w:val="20"/>
    </w:rPr>
  </w:style>
  <w:style w:type="table" w:customStyle="1" w:styleId="159">
    <w:name w:val="Table Normal"/>
    <w:basedOn w:val="36"/>
    <w:semiHidden/>
    <w:qFormat/>
    <w:uiPriority w:val="0"/>
    <w:pPr>
      <w:keepNext w:val="0"/>
      <w:keepLines w:val="0"/>
      <w:widowControl/>
      <w:suppressLineNumbers w:val="0"/>
      <w:spacing w:before="0" w:beforeAutospacing="0" w:after="0" w:afterAutospacing="0"/>
      <w:ind w:left="0" w:right="0"/>
    </w:pPr>
    <w:rPr>
      <w:rFonts w:hint="default" w:ascii="Calibri" w:hAnsi="Calibri" w:cs="Times New Roman"/>
      <w:sz w:val="20"/>
      <w:szCs w:val="20"/>
    </w:rPr>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4" Type="http://schemas.openxmlformats.org/officeDocument/2006/relationships/fontTable" Target="fontTable.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42.png"/><Relationship Id="rId50" Type="http://schemas.openxmlformats.org/officeDocument/2006/relationships/image" Target="media/image41.jpeg"/><Relationship Id="rId5" Type="http://schemas.openxmlformats.org/officeDocument/2006/relationships/footer" Target="footer2.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https://ss2.bdstatic.com/70cFvnSh_Q1YnxGkpoWK1HF6hhy/it/u=3560010167,443420151%26fm=116%26gp=0.jpg" TargetMode="External"/><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wmf"/><Relationship Id="rId18" Type="http://schemas.openxmlformats.org/officeDocument/2006/relationships/oleObject" Target="embeddings/oleObject1.bin"/><Relationship Id="rId17" Type="http://schemas.openxmlformats.org/officeDocument/2006/relationships/image" Target="media/image10.jpeg"/><Relationship Id="rId16" Type="http://schemas.openxmlformats.org/officeDocument/2006/relationships/image" Target="media/image1.tiff"/><Relationship Id="rId15" Type="http://schemas.openxmlformats.org/officeDocument/2006/relationships/image" Target="media/image9.pn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89</Pages>
  <Words>9590</Words>
  <Characters>54666</Characters>
  <Lines>455</Lines>
  <Paragraphs>128</Paragraphs>
  <TotalTime>3</TotalTime>
  <ScaleCrop>false</ScaleCrop>
  <LinksUpToDate>false</LinksUpToDate>
  <CharactersWithSpaces>64128</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2020-09-28T05:46:00Z</dcterms:created>
  <dc:creator>Microsoft Office User</dc:creator>
  <cp:lastModifiedBy>贤鉥</cp:lastModifiedBy>
  <cp:lastPrinted>2020-07-05T19:40:00Z</cp:lastPrinted>
  <dcterms:modified xsi:type="dcterms:W3CDTF">2020-11-25T07:05:44Z</dcterms:modified>
  <cp:revision>343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