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default" w:ascii="Times New Roman" w:hAnsi="Times New Roman" w:eastAsia="仿宋_GB2312" w:cs="Times New Roman"/>
          <w:color w:val="auto"/>
          <w:sz w:val="36"/>
          <w:szCs w:val="36"/>
        </w:rPr>
      </w:pPr>
    </w:p>
    <w:p>
      <w:pPr>
        <w:rPr>
          <w:rFonts w:hint="default" w:ascii="Times New Roman" w:hAnsi="Times New Roman" w:eastAsia="仿宋_GB2312" w:cs="Times New Roman"/>
          <w:color w:val="auto"/>
          <w:sz w:val="36"/>
          <w:szCs w:val="36"/>
        </w:rPr>
      </w:pPr>
    </w:p>
    <w:p>
      <w:pPr>
        <w:rPr>
          <w:rFonts w:hint="default" w:ascii="Times New Roman" w:hAnsi="Times New Roman" w:eastAsia="仿宋_GB2312" w:cs="Times New Roman"/>
          <w:color w:val="auto"/>
          <w:sz w:val="36"/>
          <w:szCs w:val="36"/>
        </w:rPr>
      </w:pPr>
    </w:p>
    <w:p>
      <w:pPr>
        <w:adjustRightInd w:val="0"/>
        <w:snapToGrid w:val="0"/>
        <w:ind w:firstLine="0" w:firstLineChars="0"/>
        <w:jc w:val="center"/>
        <w:rPr>
          <w:rFonts w:hint="default" w:ascii="Times New Roman" w:hAnsi="Times New Roman" w:eastAsia="方正小标宋_GBK" w:cs="Times New Roman"/>
          <w:bCs/>
          <w:color w:val="auto"/>
          <w:sz w:val="72"/>
          <w:szCs w:val="72"/>
        </w:rPr>
      </w:pPr>
      <w:bookmarkStart w:id="0" w:name="_Toc13256"/>
      <w:r>
        <w:rPr>
          <w:rFonts w:hint="default" w:ascii="Times New Roman" w:hAnsi="Times New Roman" w:eastAsia="方正小标宋_GBK" w:cs="Times New Roman"/>
          <w:bCs/>
          <w:color w:val="auto"/>
          <w:sz w:val="72"/>
          <w:szCs w:val="72"/>
        </w:rPr>
        <w:t>建设项目环境影响报告表</w:t>
      </w:r>
      <w:bookmarkEnd w:id="0"/>
    </w:p>
    <w:p>
      <w:pPr>
        <w:adjustRightInd w:val="0"/>
        <w:snapToGrid w:val="0"/>
        <w:spacing w:before="192" w:beforeLines="80"/>
        <w:ind w:firstLine="0" w:firstLineChars="0"/>
        <w:jc w:val="center"/>
        <w:rPr>
          <w:rFonts w:hint="default" w:ascii="Times New Roman" w:hAnsi="Times New Roman" w:eastAsia="楷体_GB2312" w:cs="Times New Roman"/>
          <w:bCs/>
          <w:color w:val="auto"/>
          <w:sz w:val="48"/>
          <w:szCs w:val="48"/>
        </w:rPr>
      </w:pPr>
      <w:bookmarkStart w:id="1" w:name="_Toc30419"/>
      <w:r>
        <w:rPr>
          <w:rFonts w:hint="default" w:ascii="Times New Roman" w:hAnsi="Times New Roman" w:eastAsia="楷体_GB2312" w:cs="Times New Roman"/>
          <w:bCs/>
          <w:color w:val="auto"/>
          <w:sz w:val="48"/>
          <w:szCs w:val="48"/>
        </w:rPr>
        <w:t>（污染影响类）</w:t>
      </w:r>
      <w:bookmarkEnd w:id="1"/>
    </w:p>
    <w:p>
      <w:pPr>
        <w:ind w:firstLine="480"/>
        <w:rPr>
          <w:rFonts w:hint="default" w:ascii="Times New Roman" w:hAnsi="Times New Roman" w:cs="Times New Roman"/>
          <w:color w:val="auto"/>
        </w:rPr>
      </w:pPr>
    </w:p>
    <w:p>
      <w:pPr>
        <w:ind w:firstLine="480"/>
        <w:rPr>
          <w:rFonts w:hint="default" w:ascii="Times New Roman" w:hAnsi="Times New Roman" w:cs="Times New Roman"/>
          <w:color w:val="auto"/>
        </w:rPr>
      </w:pPr>
    </w:p>
    <w:p>
      <w:pPr>
        <w:ind w:firstLine="880"/>
        <w:rPr>
          <w:rFonts w:hint="default" w:ascii="Times New Roman" w:hAnsi="Times New Roman" w:eastAsia="仿宋" w:cs="Times New Roman"/>
          <w:color w:val="auto"/>
          <w:sz w:val="44"/>
          <w:szCs w:val="44"/>
        </w:rPr>
      </w:pPr>
    </w:p>
    <w:p>
      <w:pPr>
        <w:ind w:firstLine="880"/>
        <w:rPr>
          <w:rFonts w:hint="default" w:ascii="Times New Roman" w:hAnsi="Times New Roman" w:eastAsia="仿宋" w:cs="Times New Roman"/>
          <w:color w:val="auto"/>
          <w:sz w:val="44"/>
          <w:szCs w:val="44"/>
        </w:rPr>
      </w:pPr>
    </w:p>
    <w:p>
      <w:pPr>
        <w:ind w:firstLine="880"/>
        <w:rPr>
          <w:rFonts w:hint="default" w:ascii="Times New Roman" w:hAnsi="Times New Roman" w:eastAsia="仿宋" w:cs="Times New Roman"/>
          <w:color w:val="auto"/>
          <w:sz w:val="44"/>
          <w:szCs w:val="44"/>
        </w:rPr>
      </w:pPr>
    </w:p>
    <w:p>
      <w:pPr>
        <w:adjustRightInd w:val="0"/>
        <w:snapToGrid w:val="0"/>
        <w:spacing w:line="288" w:lineRule="auto"/>
        <w:jc w:val="left"/>
        <w:rPr>
          <w:rFonts w:hint="default" w:ascii="Times New Roman" w:hAnsi="Times New Roman" w:eastAsia="仿宋_GB2312" w:cs="Times New Roman"/>
          <w:color w:val="auto"/>
          <w:sz w:val="36"/>
          <w:szCs w:val="36"/>
          <w:u w:val="single"/>
        </w:rPr>
      </w:pPr>
      <w:bookmarkStart w:id="2" w:name="_Toc11885"/>
      <w:r>
        <w:rPr>
          <w:rFonts w:hint="default" w:ascii="Times New Roman" w:hAnsi="Times New Roman" w:eastAsia="仿宋_GB2312" w:cs="Times New Roman"/>
          <w:color w:val="auto"/>
          <w:sz w:val="36"/>
          <w:szCs w:val="36"/>
        </w:rPr>
        <w:t>项目名称：</w:t>
      </w:r>
      <w:bookmarkEnd w:id="2"/>
      <w:bookmarkStart w:id="3" w:name="_Toc17957"/>
      <w:r>
        <w:rPr>
          <w:rFonts w:hint="default" w:ascii="Times New Roman" w:hAnsi="Times New Roman" w:eastAsia="仿宋_GB2312" w:cs="Times New Roman"/>
          <w:color w:val="auto"/>
          <w:sz w:val="36"/>
          <w:szCs w:val="36"/>
          <w:u w:val="single"/>
        </w:rPr>
        <w:t>福建众安药业有限公司锅炉改建项目</w:t>
      </w:r>
    </w:p>
    <w:bookmarkEnd w:id="3"/>
    <w:p>
      <w:pPr>
        <w:adjustRightInd w:val="0"/>
        <w:snapToGrid w:val="0"/>
        <w:spacing w:line="288" w:lineRule="auto"/>
        <w:rPr>
          <w:rFonts w:hint="default" w:ascii="Times New Roman" w:hAnsi="Times New Roman" w:eastAsia="仿宋_GB2312" w:cs="Times New Roman"/>
          <w:color w:val="auto"/>
          <w:sz w:val="36"/>
          <w:szCs w:val="36"/>
          <w:u w:val="single"/>
        </w:rPr>
      </w:pPr>
      <w:bookmarkStart w:id="4" w:name="_Toc16728"/>
      <w:r>
        <w:rPr>
          <w:rFonts w:hint="default" w:ascii="Times New Roman" w:hAnsi="Times New Roman" w:eastAsia="仿宋_GB2312" w:cs="Times New Roman"/>
          <w:color w:val="auto"/>
          <w:sz w:val="36"/>
          <w:szCs w:val="36"/>
        </w:rPr>
        <w:t>建设单位（盖章）：</w:t>
      </w:r>
      <w:bookmarkEnd w:id="4"/>
      <w:r>
        <w:rPr>
          <w:rFonts w:hint="default" w:ascii="Times New Roman" w:hAnsi="Times New Roman" w:eastAsia="仿宋_GB2312" w:cs="Times New Roman"/>
          <w:color w:val="auto"/>
          <w:sz w:val="36"/>
          <w:szCs w:val="36"/>
          <w:u w:val="single"/>
        </w:rPr>
        <w:t xml:space="preserve">   福建众安药业有限公司    </w:t>
      </w:r>
    </w:p>
    <w:p>
      <w:pPr>
        <w:adjustRightInd w:val="0"/>
        <w:snapToGrid w:val="0"/>
        <w:spacing w:line="288" w:lineRule="auto"/>
        <w:rPr>
          <w:rFonts w:hint="default" w:ascii="Times New Roman" w:hAnsi="Times New Roman" w:eastAsia="仿宋_GB2312" w:cs="Times New Roman"/>
          <w:color w:val="auto"/>
          <w:sz w:val="36"/>
          <w:szCs w:val="36"/>
          <w:u w:val="single"/>
        </w:rPr>
      </w:pPr>
      <w:bookmarkStart w:id="5" w:name="_Toc20189"/>
      <w:r>
        <w:rPr>
          <w:rFonts w:hint="default" w:ascii="Times New Roman" w:hAnsi="Times New Roman" w:eastAsia="仿宋_GB2312" w:cs="Times New Roman"/>
          <w:color w:val="auto"/>
          <w:sz w:val="36"/>
          <w:szCs w:val="36"/>
        </w:rPr>
        <w:t>编制日期：</w:t>
      </w:r>
      <w:r>
        <w:rPr>
          <w:rFonts w:hint="default" w:ascii="Times New Roman" w:hAnsi="Times New Roman" w:eastAsia="仿宋_GB2312" w:cs="Times New Roman"/>
          <w:color w:val="auto"/>
          <w:sz w:val="36"/>
          <w:szCs w:val="36"/>
          <w:u w:val="single"/>
        </w:rPr>
        <w:t xml:space="preserve">            2021年10月</w:t>
      </w:r>
      <w:bookmarkEnd w:id="5"/>
      <w:r>
        <w:rPr>
          <w:rFonts w:hint="default" w:ascii="Times New Roman" w:hAnsi="Times New Roman" w:eastAsia="仿宋_GB2312" w:cs="Times New Roman"/>
          <w:color w:val="auto"/>
          <w:sz w:val="36"/>
          <w:szCs w:val="36"/>
          <w:u w:val="single"/>
        </w:rPr>
        <w:t xml:space="preserve">            </w:t>
      </w:r>
    </w:p>
    <w:p>
      <w:pPr>
        <w:adjustRightInd w:val="0"/>
        <w:snapToGrid w:val="0"/>
        <w:spacing w:line="288" w:lineRule="auto"/>
        <w:ind w:firstLine="0" w:firstLineChars="0"/>
        <w:rPr>
          <w:rFonts w:hint="default" w:ascii="Times New Roman" w:hAnsi="Times New Roman" w:eastAsia="仿宋_GB2312" w:cs="Times New Roman"/>
          <w:color w:val="auto"/>
          <w:sz w:val="36"/>
          <w:szCs w:val="36"/>
          <w:u w:val="single"/>
        </w:rPr>
      </w:pPr>
      <w:bookmarkStart w:id="6" w:name="_Hlk57884087"/>
    </w:p>
    <w:p>
      <w:pPr>
        <w:adjustRightInd w:val="0"/>
        <w:snapToGrid w:val="0"/>
        <w:spacing w:line="288" w:lineRule="auto"/>
        <w:rPr>
          <w:rFonts w:hint="default" w:ascii="Times New Roman" w:hAnsi="Times New Roman" w:eastAsia="仿宋_GB2312" w:cs="Times New Roman"/>
          <w:color w:val="auto"/>
          <w:sz w:val="36"/>
          <w:szCs w:val="36"/>
        </w:rPr>
      </w:pPr>
    </w:p>
    <w:p>
      <w:pPr>
        <w:adjustRightInd w:val="0"/>
        <w:snapToGrid w:val="0"/>
        <w:spacing w:line="288" w:lineRule="auto"/>
        <w:rPr>
          <w:rFonts w:hint="default" w:ascii="Times New Roman" w:hAnsi="Times New Roman" w:eastAsia="仿宋_GB2312" w:cs="Times New Roman"/>
          <w:color w:val="auto"/>
          <w:sz w:val="36"/>
          <w:szCs w:val="36"/>
        </w:rPr>
      </w:pPr>
    </w:p>
    <w:p>
      <w:pPr>
        <w:adjustRightInd w:val="0"/>
        <w:snapToGrid w:val="0"/>
        <w:spacing w:line="288" w:lineRule="auto"/>
        <w:rPr>
          <w:rFonts w:hint="default" w:ascii="Times New Roman" w:hAnsi="Times New Roman" w:eastAsia="仿宋_GB2312" w:cs="Times New Roman"/>
          <w:color w:val="auto"/>
          <w:sz w:val="36"/>
          <w:szCs w:val="36"/>
        </w:rPr>
      </w:pPr>
    </w:p>
    <w:bookmarkEnd w:id="6"/>
    <w:p>
      <w:pPr>
        <w:adjustRightInd w:val="0"/>
        <w:snapToGrid w:val="0"/>
        <w:spacing w:line="288" w:lineRule="auto"/>
        <w:jc w:val="center"/>
        <w:rPr>
          <w:rFonts w:hint="default" w:ascii="Times New Roman" w:hAnsi="Times New Roman" w:cs="Times New Roman"/>
          <w:color w:val="auto"/>
        </w:rPr>
      </w:pPr>
      <w:bookmarkStart w:id="7" w:name="_Toc5736"/>
      <w:r>
        <w:rPr>
          <w:rFonts w:hint="default" w:ascii="Times New Roman" w:hAnsi="Times New Roman" w:eastAsia="楷体_GB2312" w:cs="Times New Roman"/>
          <w:color w:val="auto"/>
          <w:sz w:val="36"/>
          <w:szCs w:val="36"/>
        </w:rPr>
        <w:t>中华人民共和国生态环境部制</w:t>
      </w:r>
      <w:bookmarkEnd w:id="7"/>
    </w:p>
    <w:p>
      <w:pPr>
        <w:adjustRightInd w:val="0"/>
        <w:snapToGrid w:val="0"/>
        <w:spacing w:line="288" w:lineRule="auto"/>
        <w:rPr>
          <w:rFonts w:hint="default" w:ascii="Times New Roman" w:hAnsi="Times New Roman" w:eastAsia="仿宋_GB2312" w:cs="Times New Roman"/>
          <w:color w:val="auto"/>
          <w:sz w:val="36"/>
          <w:szCs w:val="36"/>
        </w:rPr>
        <w:sectPr>
          <w:footerReference r:id="rId5" w:type="default"/>
          <w:footerReference r:id="rId6" w:type="even"/>
          <w:pgSz w:w="11906" w:h="16838"/>
          <w:pgMar w:top="1701" w:right="1531" w:bottom="1701" w:left="1531" w:header="851" w:footer="1077" w:gutter="0"/>
          <w:pgNumType w:start="3"/>
          <w:cols w:space="720" w:num="1"/>
          <w:docGrid w:linePitch="312" w:charSpace="0"/>
        </w:sectPr>
      </w:pPr>
    </w:p>
    <w:p>
      <w:pPr>
        <w:pStyle w:val="2"/>
        <w:ind w:left="0" w:leftChars="0" w:firstLine="0" w:firstLineChars="0"/>
        <w:rPr>
          <w:rFonts w:hint="eastAsia"/>
          <w:lang w:eastAsia="zh-CN"/>
        </w:rPr>
      </w:pPr>
      <w:r>
        <w:rPr>
          <w:rFonts w:hint="eastAsia"/>
          <w:lang w:eastAsia="zh-CN"/>
        </w:rPr>
        <w:drawing>
          <wp:inline distT="0" distB="0" distL="114300" distR="114300">
            <wp:extent cx="5608955" cy="7933690"/>
            <wp:effectExtent l="0" t="0" r="10795" b="10160"/>
            <wp:docPr id="66" name="图片 66" descr="202110080445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202110080445_页面_1"/>
                    <pic:cNvPicPr>
                      <a:picLocks noChangeAspect="1"/>
                    </pic:cNvPicPr>
                  </pic:nvPicPr>
                  <pic:blipFill>
                    <a:blip r:embed="rId10"/>
                    <a:stretch>
                      <a:fillRect/>
                    </a:stretch>
                  </pic:blipFill>
                  <pic:spPr>
                    <a:xfrm>
                      <a:off x="0" y="0"/>
                      <a:ext cx="5608955" cy="7933690"/>
                    </a:xfrm>
                    <a:prstGeom prst="rect">
                      <a:avLst/>
                    </a:prstGeom>
                  </pic:spPr>
                </pic:pic>
              </a:graphicData>
            </a:graphic>
          </wp:inline>
        </w:drawing>
      </w:r>
    </w:p>
    <w:p>
      <w:pPr>
        <w:pStyle w:val="2"/>
        <w:ind w:left="0" w:leftChars="0" w:firstLine="0" w:firstLineChars="0"/>
        <w:rPr>
          <w:rFonts w:hint="eastAsia"/>
          <w:lang w:eastAsia="zh-CN"/>
        </w:rPr>
      </w:pPr>
      <w:r>
        <w:rPr>
          <w:rFonts w:hint="eastAsia"/>
          <w:lang w:eastAsia="zh-CN"/>
        </w:rPr>
        <w:drawing>
          <wp:inline distT="0" distB="0" distL="114300" distR="114300">
            <wp:extent cx="5608955" cy="7933690"/>
            <wp:effectExtent l="0" t="0" r="10795" b="10160"/>
            <wp:docPr id="67" name="图片 67" descr="202110080445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202110080445_页面_2"/>
                    <pic:cNvPicPr>
                      <a:picLocks noChangeAspect="1"/>
                    </pic:cNvPicPr>
                  </pic:nvPicPr>
                  <pic:blipFill>
                    <a:blip r:embed="rId11"/>
                    <a:stretch>
                      <a:fillRect/>
                    </a:stretch>
                  </pic:blipFill>
                  <pic:spPr>
                    <a:xfrm>
                      <a:off x="0" y="0"/>
                      <a:ext cx="5608955" cy="7933690"/>
                    </a:xfrm>
                    <a:prstGeom prst="rect">
                      <a:avLst/>
                    </a:prstGeom>
                  </pic:spPr>
                </pic:pic>
              </a:graphicData>
            </a:graphic>
          </wp:inline>
        </w:drawing>
      </w:r>
    </w:p>
    <w:p>
      <w:pPr>
        <w:pStyle w:val="2"/>
        <w:ind w:left="0" w:leftChars="0" w:firstLine="0" w:firstLineChars="0"/>
        <w:rPr>
          <w:rFonts w:hint="eastAsia"/>
          <w:lang w:eastAsia="zh-CN"/>
        </w:rPr>
      </w:pPr>
      <w:r>
        <w:rPr>
          <w:rFonts w:hint="eastAsia"/>
          <w:lang w:eastAsia="zh-CN"/>
        </w:rPr>
        <w:drawing>
          <wp:inline distT="0" distB="0" distL="114300" distR="114300">
            <wp:extent cx="5606415" cy="7929880"/>
            <wp:effectExtent l="0" t="0" r="13335" b="13970"/>
            <wp:docPr id="68" name="图片 68" descr="202110080445_页面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202110080445_页面_7"/>
                    <pic:cNvPicPr>
                      <a:picLocks noChangeAspect="1"/>
                    </pic:cNvPicPr>
                  </pic:nvPicPr>
                  <pic:blipFill>
                    <a:blip r:embed="rId12"/>
                    <a:stretch>
                      <a:fillRect/>
                    </a:stretch>
                  </pic:blipFill>
                  <pic:spPr>
                    <a:xfrm>
                      <a:off x="0" y="0"/>
                      <a:ext cx="5606415" cy="7929880"/>
                    </a:xfrm>
                    <a:prstGeom prst="rect">
                      <a:avLst/>
                    </a:prstGeom>
                  </pic:spPr>
                </pic:pic>
              </a:graphicData>
            </a:graphic>
          </wp:inline>
        </w:drawing>
      </w:r>
    </w:p>
    <w:p>
      <w:pPr>
        <w:pStyle w:val="2"/>
        <w:ind w:left="0" w:leftChars="0" w:firstLine="0" w:firstLineChars="0"/>
        <w:rPr>
          <w:rFonts w:hint="eastAsia"/>
          <w:lang w:eastAsia="zh-CN"/>
        </w:rPr>
      </w:pPr>
      <w:r>
        <w:rPr>
          <w:rFonts w:hint="eastAsia"/>
          <w:lang w:eastAsia="zh-CN"/>
        </w:rPr>
        <w:drawing>
          <wp:inline distT="0" distB="0" distL="114300" distR="114300">
            <wp:extent cx="5608955" cy="7933690"/>
            <wp:effectExtent l="0" t="0" r="10795" b="10160"/>
            <wp:docPr id="69" name="图片 69" descr="202110080445_页面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202110080445_页面_8"/>
                    <pic:cNvPicPr>
                      <a:picLocks noChangeAspect="1"/>
                    </pic:cNvPicPr>
                  </pic:nvPicPr>
                  <pic:blipFill>
                    <a:blip r:embed="rId13"/>
                    <a:stretch>
                      <a:fillRect/>
                    </a:stretch>
                  </pic:blipFill>
                  <pic:spPr>
                    <a:xfrm>
                      <a:off x="0" y="0"/>
                      <a:ext cx="5608955" cy="7933690"/>
                    </a:xfrm>
                    <a:prstGeom prst="rect">
                      <a:avLst/>
                    </a:prstGeom>
                  </pic:spPr>
                </pic:pic>
              </a:graphicData>
            </a:graphic>
          </wp:inline>
        </w:drawing>
      </w:r>
    </w:p>
    <w:p>
      <w:pPr>
        <w:pStyle w:val="2"/>
        <w:ind w:left="0" w:leftChars="0" w:firstLine="0" w:firstLineChars="0"/>
        <w:rPr>
          <w:rFonts w:hint="default"/>
          <w:lang w:eastAsia="zh-CN"/>
        </w:rPr>
      </w:pPr>
    </w:p>
    <w:p>
      <w:pPr>
        <w:pStyle w:val="2"/>
        <w:ind w:left="0" w:leftChars="0" w:firstLine="0" w:firstLineChars="0"/>
      </w:pPr>
      <w:r>
        <w:drawing>
          <wp:inline distT="0" distB="0" distL="114300" distR="114300">
            <wp:extent cx="5611495" cy="7966075"/>
            <wp:effectExtent l="0" t="0" r="8255" b="15875"/>
            <wp:docPr id="7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8"/>
                    <pic:cNvPicPr>
                      <a:picLocks noChangeAspect="1"/>
                    </pic:cNvPicPr>
                  </pic:nvPicPr>
                  <pic:blipFill>
                    <a:blip r:embed="rId14"/>
                    <a:stretch>
                      <a:fillRect/>
                    </a:stretch>
                  </pic:blipFill>
                  <pic:spPr>
                    <a:xfrm>
                      <a:off x="0" y="0"/>
                      <a:ext cx="5611495" cy="7966075"/>
                    </a:xfrm>
                    <a:prstGeom prst="rect">
                      <a:avLst/>
                    </a:prstGeom>
                    <a:noFill/>
                    <a:ln>
                      <a:noFill/>
                    </a:ln>
                  </pic:spPr>
                </pic:pic>
              </a:graphicData>
            </a:graphic>
          </wp:inline>
        </w:drawing>
      </w:r>
    </w:p>
    <w:p>
      <w:pPr>
        <w:pStyle w:val="2"/>
        <w:ind w:left="0" w:leftChars="0" w:firstLine="0" w:firstLineChars="0"/>
      </w:pPr>
      <w:r>
        <w:drawing>
          <wp:inline distT="0" distB="0" distL="114300" distR="114300">
            <wp:extent cx="5611495" cy="7939405"/>
            <wp:effectExtent l="0" t="0" r="8255" b="4445"/>
            <wp:docPr id="7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9"/>
                    <pic:cNvPicPr>
                      <a:picLocks noChangeAspect="1"/>
                    </pic:cNvPicPr>
                  </pic:nvPicPr>
                  <pic:blipFill>
                    <a:blip r:embed="rId15"/>
                    <a:stretch>
                      <a:fillRect/>
                    </a:stretch>
                  </pic:blipFill>
                  <pic:spPr>
                    <a:xfrm>
                      <a:off x="0" y="0"/>
                      <a:ext cx="5611495" cy="7939405"/>
                    </a:xfrm>
                    <a:prstGeom prst="rect">
                      <a:avLst/>
                    </a:prstGeom>
                    <a:noFill/>
                    <a:ln>
                      <a:noFill/>
                    </a:ln>
                  </pic:spPr>
                </pic:pic>
              </a:graphicData>
            </a:graphic>
          </wp:inline>
        </w:drawing>
      </w:r>
    </w:p>
    <w:p>
      <w:pPr>
        <w:pStyle w:val="2"/>
        <w:ind w:left="0" w:leftChars="0" w:firstLine="0" w:firstLineChars="0"/>
        <w:rPr>
          <w:rFonts w:hint="eastAsia" w:eastAsia="宋体"/>
          <w:lang w:eastAsia="zh-CN"/>
        </w:rPr>
      </w:pPr>
      <w:r>
        <w:rPr>
          <w:rFonts w:hint="eastAsia" w:eastAsia="宋体"/>
          <w:lang w:eastAsia="zh-CN"/>
        </w:rPr>
        <w:drawing>
          <wp:inline distT="0" distB="0" distL="114300" distR="114300">
            <wp:extent cx="5598160" cy="7919085"/>
            <wp:effectExtent l="0" t="0" r="2540" b="5715"/>
            <wp:docPr id="72" name="图片 72" descr="202110080445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202110080445_页面_5"/>
                    <pic:cNvPicPr>
                      <a:picLocks noChangeAspect="1"/>
                    </pic:cNvPicPr>
                  </pic:nvPicPr>
                  <pic:blipFill>
                    <a:blip r:embed="rId16"/>
                    <a:stretch>
                      <a:fillRect/>
                    </a:stretch>
                  </pic:blipFill>
                  <pic:spPr>
                    <a:xfrm>
                      <a:off x="0" y="0"/>
                      <a:ext cx="5598160" cy="7919085"/>
                    </a:xfrm>
                    <a:prstGeom prst="rect">
                      <a:avLst/>
                    </a:prstGeom>
                  </pic:spPr>
                </pic:pic>
              </a:graphicData>
            </a:graphic>
          </wp:inline>
        </w:drawing>
      </w:r>
    </w:p>
    <w:p>
      <w:pPr>
        <w:pStyle w:val="2"/>
        <w:ind w:left="0" w:leftChars="0" w:firstLine="0" w:firstLineChars="0"/>
        <w:rPr>
          <w:rFonts w:hint="default" w:eastAsia="宋体"/>
          <w:lang w:eastAsia="zh-CN"/>
        </w:rPr>
        <w:sectPr>
          <w:pgSz w:w="11906" w:h="16838"/>
          <w:pgMar w:top="1701" w:right="1531" w:bottom="1701" w:left="1531" w:header="851" w:footer="1077" w:gutter="0"/>
          <w:pgNumType w:start="3"/>
          <w:cols w:space="720" w:num="1"/>
          <w:docGrid w:linePitch="312" w:charSpace="0"/>
        </w:sectPr>
      </w:pPr>
      <w:r>
        <w:rPr>
          <w:color w:val="auto"/>
        </w:rPr>
        <w:drawing>
          <wp:inline distT="0" distB="0" distL="114300" distR="114300">
            <wp:extent cx="5612130" cy="3259455"/>
            <wp:effectExtent l="0" t="0" r="7620" b="17145"/>
            <wp:docPr id="73" name="图片 10" descr="QQ截图20210519120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0" descr="QQ截图20210519120826"/>
                    <pic:cNvPicPr>
                      <a:picLocks noChangeAspect="1"/>
                    </pic:cNvPicPr>
                  </pic:nvPicPr>
                  <pic:blipFill>
                    <a:blip r:embed="rId17"/>
                    <a:stretch>
                      <a:fillRect/>
                    </a:stretch>
                  </pic:blipFill>
                  <pic:spPr>
                    <a:xfrm>
                      <a:off x="0" y="0"/>
                      <a:ext cx="5612130" cy="3259455"/>
                    </a:xfrm>
                    <a:prstGeom prst="rect">
                      <a:avLst/>
                    </a:prstGeom>
                    <a:noFill/>
                    <a:ln>
                      <a:noFill/>
                    </a:ln>
                  </pic:spPr>
                </pic:pic>
              </a:graphicData>
            </a:graphic>
          </wp:inline>
        </w:drawing>
      </w:r>
    </w:p>
    <w:p>
      <w:pPr>
        <w:pStyle w:val="3"/>
        <w:ind w:firstLineChars="0"/>
        <w:rPr>
          <w:rFonts w:hint="default" w:ascii="Times New Roman" w:hAnsi="Times New Roman" w:cs="Times New Roman"/>
          <w:color w:val="auto"/>
        </w:rPr>
      </w:pPr>
      <w:bookmarkStart w:id="8" w:name="_Toc6682"/>
      <w:bookmarkStart w:id="9" w:name="_Toc26408"/>
      <w:r>
        <w:rPr>
          <w:rFonts w:hint="default" w:ascii="Times New Roman" w:hAnsi="Times New Roman" w:cs="Times New Roman"/>
          <w:color w:val="auto"/>
        </w:rPr>
        <w:t>建设项目基本情况</w:t>
      </w:r>
      <w:bookmarkEnd w:id="8"/>
      <w:bookmarkEnd w:id="9"/>
    </w:p>
    <w:tbl>
      <w:tblPr>
        <w:tblStyle w:val="14"/>
        <w:tblW w:w="883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734"/>
        <w:gridCol w:w="1870"/>
        <w:gridCol w:w="1770"/>
        <w:gridCol w:w="34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16" w:hRule="atLeast"/>
          <w:jc w:val="center"/>
        </w:trPr>
        <w:tc>
          <w:tcPr>
            <w:tcW w:w="1734" w:type="dxa"/>
            <w:tcMar>
              <w:top w:w="16" w:type="dxa"/>
              <w:left w:w="16" w:type="dxa"/>
              <w:right w:w="16" w:type="dxa"/>
            </w:tcMar>
            <w:vAlign w:val="center"/>
          </w:tcPr>
          <w:p>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建设项目名称</w:t>
            </w:r>
          </w:p>
        </w:tc>
        <w:tc>
          <w:tcPr>
            <w:tcW w:w="7105" w:type="dxa"/>
            <w:gridSpan w:val="3"/>
            <w:vAlign w:val="center"/>
          </w:tcPr>
          <w:p>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福建众安药业有限公司锅炉改建项目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36" w:hRule="atLeast"/>
          <w:jc w:val="center"/>
        </w:trPr>
        <w:tc>
          <w:tcPr>
            <w:tcW w:w="1734" w:type="dxa"/>
            <w:tcMar>
              <w:top w:w="16" w:type="dxa"/>
              <w:left w:w="16" w:type="dxa"/>
              <w:right w:w="16" w:type="dxa"/>
            </w:tcMar>
            <w:vAlign w:val="center"/>
          </w:tcPr>
          <w:p>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项目代码</w:t>
            </w:r>
          </w:p>
        </w:tc>
        <w:tc>
          <w:tcPr>
            <w:tcW w:w="7105" w:type="dxa"/>
            <w:gridSpan w:val="3"/>
            <w:vAlign w:val="center"/>
          </w:tcPr>
          <w:p>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2110-350121-07-02-559226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85" w:hRule="atLeast"/>
          <w:jc w:val="center"/>
        </w:trPr>
        <w:tc>
          <w:tcPr>
            <w:tcW w:w="1734" w:type="dxa"/>
            <w:tcMar>
              <w:top w:w="16" w:type="dxa"/>
              <w:left w:w="16" w:type="dxa"/>
              <w:right w:w="16" w:type="dxa"/>
            </w:tcMar>
            <w:vAlign w:val="center"/>
          </w:tcPr>
          <w:p>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建设单位联系人</w:t>
            </w:r>
          </w:p>
        </w:tc>
        <w:tc>
          <w:tcPr>
            <w:tcW w:w="1870" w:type="dxa"/>
            <w:vAlign w:val="center"/>
          </w:tcPr>
          <w:p>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孙晓蓉</w:t>
            </w:r>
          </w:p>
        </w:tc>
        <w:tc>
          <w:tcPr>
            <w:tcW w:w="1770" w:type="dxa"/>
            <w:vAlign w:val="center"/>
          </w:tcPr>
          <w:p>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联系方式</w:t>
            </w:r>
          </w:p>
        </w:tc>
        <w:tc>
          <w:tcPr>
            <w:tcW w:w="3465" w:type="dxa"/>
            <w:vAlign w:val="center"/>
          </w:tcPr>
          <w:p>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13950478803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39" w:hRule="atLeast"/>
          <w:jc w:val="center"/>
        </w:trPr>
        <w:tc>
          <w:tcPr>
            <w:tcW w:w="1734" w:type="dxa"/>
            <w:tcMar>
              <w:top w:w="16" w:type="dxa"/>
              <w:left w:w="16" w:type="dxa"/>
              <w:right w:w="16" w:type="dxa"/>
            </w:tcMar>
            <w:vAlign w:val="center"/>
          </w:tcPr>
          <w:p>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建设地点</w:t>
            </w:r>
          </w:p>
        </w:tc>
        <w:tc>
          <w:tcPr>
            <w:tcW w:w="7105" w:type="dxa"/>
            <w:gridSpan w:val="3"/>
            <w:vAlign w:val="center"/>
          </w:tcPr>
          <w:p>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闽侯经济技术开发区南中路9号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89" w:hRule="atLeast"/>
          <w:jc w:val="center"/>
        </w:trPr>
        <w:tc>
          <w:tcPr>
            <w:tcW w:w="1734" w:type="dxa"/>
            <w:tcMar>
              <w:top w:w="16" w:type="dxa"/>
              <w:left w:w="16" w:type="dxa"/>
              <w:right w:w="16" w:type="dxa"/>
            </w:tcMar>
            <w:vAlign w:val="center"/>
          </w:tcPr>
          <w:p>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地理坐标</w:t>
            </w:r>
          </w:p>
        </w:tc>
        <w:tc>
          <w:tcPr>
            <w:tcW w:w="7105" w:type="dxa"/>
            <w:gridSpan w:val="3"/>
            <w:vAlign w:val="center"/>
          </w:tcPr>
          <w:p>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东经119° 9'13.52"，北纬26° 9'22.02"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677" w:hRule="atLeast"/>
          <w:jc w:val="center"/>
        </w:trPr>
        <w:tc>
          <w:tcPr>
            <w:tcW w:w="1734" w:type="dxa"/>
            <w:tcMar>
              <w:top w:w="16" w:type="dxa"/>
              <w:left w:w="16" w:type="dxa"/>
              <w:right w:w="16" w:type="dxa"/>
            </w:tcMar>
            <w:vAlign w:val="center"/>
          </w:tcPr>
          <w:p>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国民经济</w:t>
            </w:r>
          </w:p>
          <w:p>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行业类别</w:t>
            </w:r>
          </w:p>
        </w:tc>
        <w:tc>
          <w:tcPr>
            <w:tcW w:w="1870" w:type="dxa"/>
            <w:vAlign w:val="center"/>
          </w:tcPr>
          <w:p>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D4430热力生产和供应</w:t>
            </w:r>
          </w:p>
        </w:tc>
        <w:tc>
          <w:tcPr>
            <w:tcW w:w="1770" w:type="dxa"/>
            <w:vAlign w:val="center"/>
          </w:tcPr>
          <w:p>
            <w:pPr>
              <w:adjustRightInd w:val="0"/>
              <w:snapToGrid w:val="0"/>
              <w:spacing w:line="240" w:lineRule="auto"/>
              <w:ind w:firstLine="0" w:firstLineChars="0"/>
              <w:jc w:val="center"/>
              <w:rPr>
                <w:rFonts w:hint="default" w:ascii="Times New Roman" w:hAnsi="Times New Roman" w:cs="Times New Roman"/>
                <w:color w:val="auto"/>
              </w:rPr>
            </w:pPr>
            <w:bookmarkStart w:id="10" w:name="_Hlk49843745"/>
            <w:r>
              <w:rPr>
                <w:rFonts w:hint="default" w:ascii="Times New Roman" w:hAnsi="Times New Roman" w:cs="Times New Roman"/>
                <w:color w:val="auto"/>
              </w:rPr>
              <w:t>建设项目</w:t>
            </w:r>
          </w:p>
          <w:p>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行业类别</w:t>
            </w:r>
            <w:bookmarkEnd w:id="10"/>
          </w:p>
        </w:tc>
        <w:tc>
          <w:tcPr>
            <w:tcW w:w="3465" w:type="dxa"/>
            <w:vAlign w:val="center"/>
          </w:tcPr>
          <w:p>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四十一、电力、热力生产和供应业 “91 热力生产和供应工程（包括建设单位自建自用的供热工程”中的“天然气锅炉总容量1吨/小时（0.7兆瓦）以上的”</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531" w:hRule="atLeast"/>
          <w:jc w:val="center"/>
        </w:trPr>
        <w:tc>
          <w:tcPr>
            <w:tcW w:w="1734" w:type="dxa"/>
            <w:tcMar>
              <w:top w:w="16" w:type="dxa"/>
              <w:left w:w="16" w:type="dxa"/>
              <w:right w:w="16" w:type="dxa"/>
            </w:tcMar>
            <w:vAlign w:val="center"/>
          </w:tcPr>
          <w:p>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建设性质</w:t>
            </w:r>
          </w:p>
        </w:tc>
        <w:tc>
          <w:tcPr>
            <w:tcW w:w="1870" w:type="dxa"/>
            <w:vAlign w:val="center"/>
          </w:tcPr>
          <w:p>
            <w:pPr>
              <w:adjustRightInd w:val="0"/>
              <w:snapToGrid w:val="0"/>
              <w:spacing w:line="240" w:lineRule="auto"/>
              <w:ind w:firstLine="0" w:firstLineChars="0"/>
              <w:rPr>
                <w:rFonts w:hint="default" w:ascii="Times New Roman" w:hAnsi="Times New Roman" w:cs="Times New Roman"/>
                <w:color w:val="auto"/>
              </w:rPr>
            </w:pPr>
            <w:r>
              <w:rPr>
                <w:rFonts w:hint="default" w:ascii="Times New Roman" w:hAnsi="Times New Roman" w:cs="Times New Roman"/>
                <w:color w:val="auto"/>
              </w:rPr>
              <w:sym w:font="Wingdings" w:char="00A8"/>
            </w:r>
            <w:r>
              <w:rPr>
                <w:rFonts w:hint="default" w:ascii="Times New Roman" w:hAnsi="Times New Roman" w:cs="Times New Roman"/>
                <w:color w:val="auto"/>
              </w:rPr>
              <w:t xml:space="preserve"> 新建</w:t>
            </w:r>
          </w:p>
          <w:p>
            <w:pPr>
              <w:adjustRightInd w:val="0"/>
              <w:snapToGrid w:val="0"/>
              <w:spacing w:line="240" w:lineRule="auto"/>
              <w:ind w:firstLine="0" w:firstLineChars="0"/>
              <w:rPr>
                <w:rFonts w:hint="default" w:ascii="Times New Roman" w:hAnsi="Times New Roman" w:cs="Times New Roman"/>
                <w:color w:val="auto"/>
              </w:rPr>
            </w:pPr>
            <w:r>
              <w:rPr>
                <w:rFonts w:hint="default" w:ascii="Times New Roman" w:hAnsi="Times New Roman" w:cs="Times New Roman"/>
                <w:color w:val="auto"/>
              </w:rPr>
              <w:sym w:font="Wingdings" w:char="00FE"/>
            </w:r>
            <w:r>
              <w:rPr>
                <w:rFonts w:hint="default" w:ascii="Times New Roman" w:hAnsi="Times New Roman" w:cs="Times New Roman"/>
                <w:color w:val="auto"/>
              </w:rPr>
              <w:t>改建</w:t>
            </w:r>
          </w:p>
          <w:p>
            <w:pPr>
              <w:adjustRightInd w:val="0"/>
              <w:snapToGrid w:val="0"/>
              <w:spacing w:line="240" w:lineRule="auto"/>
              <w:ind w:firstLine="0" w:firstLineChars="0"/>
              <w:rPr>
                <w:rFonts w:hint="default" w:ascii="Times New Roman" w:hAnsi="Times New Roman" w:cs="Times New Roman"/>
                <w:color w:val="auto"/>
              </w:rPr>
            </w:pPr>
            <w:r>
              <w:rPr>
                <w:rFonts w:hint="default" w:ascii="Times New Roman" w:hAnsi="Times New Roman" w:cs="Times New Roman"/>
                <w:color w:val="auto"/>
              </w:rPr>
              <w:sym w:font="Wingdings" w:char="00A8"/>
            </w:r>
            <w:r>
              <w:rPr>
                <w:rFonts w:hint="default" w:ascii="Times New Roman" w:hAnsi="Times New Roman" w:cs="Times New Roman"/>
                <w:color w:val="auto"/>
              </w:rPr>
              <w:t xml:space="preserve"> 扩建</w:t>
            </w:r>
          </w:p>
          <w:p>
            <w:pPr>
              <w:adjustRightInd w:val="0"/>
              <w:snapToGrid w:val="0"/>
              <w:spacing w:line="240" w:lineRule="auto"/>
              <w:ind w:firstLine="0" w:firstLineChars="0"/>
              <w:rPr>
                <w:rFonts w:hint="default" w:ascii="Times New Roman" w:hAnsi="Times New Roman" w:cs="Times New Roman"/>
                <w:color w:val="auto"/>
              </w:rPr>
            </w:pPr>
            <w:r>
              <w:rPr>
                <w:rFonts w:hint="default" w:ascii="Times New Roman" w:hAnsi="Times New Roman" w:cs="Times New Roman"/>
                <w:color w:val="auto"/>
              </w:rPr>
              <w:sym w:font="Wingdings" w:char="00A8"/>
            </w:r>
            <w:r>
              <w:rPr>
                <w:rFonts w:hint="default" w:ascii="Times New Roman" w:hAnsi="Times New Roman" w:cs="Times New Roman"/>
                <w:color w:val="auto"/>
              </w:rPr>
              <w:t xml:space="preserve"> 技术改造</w:t>
            </w:r>
          </w:p>
        </w:tc>
        <w:tc>
          <w:tcPr>
            <w:tcW w:w="1770" w:type="dxa"/>
            <w:vAlign w:val="center"/>
          </w:tcPr>
          <w:p>
            <w:pPr>
              <w:adjustRightInd w:val="0"/>
              <w:snapToGrid w:val="0"/>
              <w:spacing w:line="240" w:lineRule="auto"/>
              <w:ind w:firstLine="0" w:firstLineChars="0"/>
              <w:rPr>
                <w:rFonts w:hint="default" w:ascii="Times New Roman" w:hAnsi="Times New Roman" w:cs="Times New Roman"/>
                <w:color w:val="auto"/>
              </w:rPr>
            </w:pPr>
            <w:r>
              <w:rPr>
                <w:rFonts w:hint="default" w:ascii="Times New Roman" w:hAnsi="Times New Roman" w:cs="Times New Roman"/>
                <w:color w:val="auto"/>
              </w:rPr>
              <w:t>建设项目</w:t>
            </w:r>
          </w:p>
          <w:p>
            <w:pPr>
              <w:adjustRightInd w:val="0"/>
              <w:snapToGrid w:val="0"/>
              <w:spacing w:line="240" w:lineRule="auto"/>
              <w:ind w:firstLine="0" w:firstLineChars="0"/>
              <w:rPr>
                <w:rFonts w:hint="default" w:ascii="Times New Roman" w:hAnsi="Times New Roman" w:cs="Times New Roman"/>
                <w:color w:val="auto"/>
              </w:rPr>
            </w:pPr>
            <w:r>
              <w:rPr>
                <w:rFonts w:hint="default" w:ascii="Times New Roman" w:hAnsi="Times New Roman" w:cs="Times New Roman"/>
                <w:color w:val="auto"/>
              </w:rPr>
              <w:t>申报情形</w:t>
            </w:r>
          </w:p>
        </w:tc>
        <w:tc>
          <w:tcPr>
            <w:tcW w:w="3465" w:type="dxa"/>
            <w:vAlign w:val="center"/>
          </w:tcPr>
          <w:p>
            <w:pPr>
              <w:adjustRightInd w:val="0"/>
              <w:snapToGrid w:val="0"/>
              <w:spacing w:line="240" w:lineRule="auto"/>
              <w:ind w:firstLine="0" w:firstLineChars="0"/>
              <w:rPr>
                <w:rFonts w:hint="default" w:ascii="Times New Roman" w:hAnsi="Times New Roman" w:cs="Times New Roman"/>
                <w:color w:val="auto"/>
              </w:rPr>
            </w:pPr>
            <w:r>
              <w:rPr>
                <w:rFonts w:hint="default" w:ascii="Times New Roman" w:hAnsi="Times New Roman" w:cs="Times New Roman"/>
                <w:color w:val="auto"/>
              </w:rPr>
              <w:sym w:font="Wingdings" w:char="00FE"/>
            </w:r>
            <w:r>
              <w:rPr>
                <w:rFonts w:hint="default" w:ascii="Times New Roman" w:hAnsi="Times New Roman" w:cs="Times New Roman"/>
                <w:color w:val="auto"/>
              </w:rPr>
              <w:t xml:space="preserve"> 首次申报项目</w:t>
            </w:r>
          </w:p>
          <w:p>
            <w:pPr>
              <w:adjustRightInd w:val="0"/>
              <w:snapToGrid w:val="0"/>
              <w:spacing w:line="240" w:lineRule="auto"/>
              <w:ind w:firstLine="0" w:firstLineChars="0"/>
              <w:rPr>
                <w:rFonts w:hint="default" w:ascii="Times New Roman" w:hAnsi="Times New Roman" w:cs="Times New Roman"/>
                <w:color w:val="auto"/>
              </w:rPr>
            </w:pPr>
            <w:r>
              <w:rPr>
                <w:rFonts w:hint="default" w:ascii="Times New Roman" w:hAnsi="Times New Roman" w:cs="Times New Roman"/>
                <w:color w:val="auto"/>
              </w:rPr>
              <w:sym w:font="Wingdings" w:char="00A8"/>
            </w:r>
            <w:r>
              <w:rPr>
                <w:rFonts w:hint="default" w:ascii="Times New Roman" w:hAnsi="Times New Roman" w:cs="Times New Roman"/>
                <w:color w:val="auto"/>
              </w:rPr>
              <w:t xml:space="preserve"> 不予批准后再次申报项目</w:t>
            </w:r>
          </w:p>
          <w:p>
            <w:pPr>
              <w:adjustRightInd w:val="0"/>
              <w:snapToGrid w:val="0"/>
              <w:spacing w:line="240" w:lineRule="auto"/>
              <w:ind w:firstLine="0" w:firstLineChars="0"/>
              <w:rPr>
                <w:rFonts w:hint="default" w:ascii="Times New Roman" w:hAnsi="Times New Roman" w:cs="Times New Roman"/>
                <w:color w:val="auto"/>
              </w:rPr>
            </w:pPr>
            <w:r>
              <w:rPr>
                <w:rFonts w:hint="default" w:ascii="Times New Roman" w:hAnsi="Times New Roman" w:cs="Times New Roman"/>
                <w:color w:val="auto"/>
              </w:rPr>
              <w:sym w:font="Wingdings" w:char="00A8"/>
            </w:r>
            <w:r>
              <w:rPr>
                <w:rFonts w:hint="default" w:ascii="Times New Roman" w:hAnsi="Times New Roman" w:cs="Times New Roman"/>
                <w:color w:val="auto"/>
              </w:rPr>
              <w:t xml:space="preserve"> 超五年重新审核项目</w:t>
            </w:r>
          </w:p>
          <w:p>
            <w:pPr>
              <w:adjustRightInd w:val="0"/>
              <w:snapToGrid w:val="0"/>
              <w:spacing w:line="240" w:lineRule="auto"/>
              <w:ind w:firstLine="0" w:firstLineChars="0"/>
              <w:rPr>
                <w:rFonts w:hint="default" w:ascii="Times New Roman" w:hAnsi="Times New Roman" w:cs="Times New Roman"/>
                <w:color w:val="auto"/>
              </w:rPr>
            </w:pPr>
            <w:r>
              <w:rPr>
                <w:rFonts w:hint="default" w:ascii="Times New Roman" w:hAnsi="Times New Roman" w:cs="Times New Roman"/>
                <w:color w:val="auto"/>
              </w:rPr>
              <w:sym w:font="Wingdings" w:char="00A8"/>
            </w:r>
            <w:r>
              <w:rPr>
                <w:rFonts w:hint="default" w:ascii="Times New Roman" w:hAnsi="Times New Roman" w:cs="Times New Roman"/>
                <w:color w:val="auto"/>
              </w:rPr>
              <w:t xml:space="preserve"> 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100" w:hRule="atLeast"/>
          <w:jc w:val="center"/>
        </w:trPr>
        <w:tc>
          <w:tcPr>
            <w:tcW w:w="1734" w:type="dxa"/>
            <w:tcMar>
              <w:top w:w="16" w:type="dxa"/>
              <w:left w:w="16" w:type="dxa"/>
              <w:right w:w="16" w:type="dxa"/>
            </w:tcMar>
            <w:vAlign w:val="center"/>
          </w:tcPr>
          <w:p>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项目审批</w:t>
            </w:r>
          </w:p>
          <w:p>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（核准/备案）</w:t>
            </w:r>
          </w:p>
          <w:p>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部门（选填）</w:t>
            </w:r>
          </w:p>
        </w:tc>
        <w:tc>
          <w:tcPr>
            <w:tcW w:w="1870" w:type="dxa"/>
            <w:vAlign w:val="center"/>
          </w:tcPr>
          <w:p>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w:t>
            </w:r>
          </w:p>
        </w:tc>
        <w:tc>
          <w:tcPr>
            <w:tcW w:w="1770" w:type="dxa"/>
            <w:vAlign w:val="center"/>
          </w:tcPr>
          <w:p>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项目审批</w:t>
            </w:r>
          </w:p>
          <w:p>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（核准/备）</w:t>
            </w:r>
          </w:p>
          <w:p>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文号（选填）</w:t>
            </w:r>
          </w:p>
        </w:tc>
        <w:tc>
          <w:tcPr>
            <w:tcW w:w="3465" w:type="dxa"/>
            <w:vAlign w:val="center"/>
          </w:tcPr>
          <w:p>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91" w:hRule="atLeast"/>
          <w:jc w:val="center"/>
        </w:trPr>
        <w:tc>
          <w:tcPr>
            <w:tcW w:w="1734" w:type="dxa"/>
            <w:tcMar>
              <w:top w:w="16" w:type="dxa"/>
              <w:left w:w="16" w:type="dxa"/>
              <w:right w:w="16" w:type="dxa"/>
            </w:tcMar>
            <w:vAlign w:val="center"/>
          </w:tcPr>
          <w:p>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总投资（万元）</w:t>
            </w:r>
          </w:p>
        </w:tc>
        <w:tc>
          <w:tcPr>
            <w:tcW w:w="1870"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auto"/>
                <w:lang w:val="en-US" w:eastAsia="zh-CN"/>
              </w:rPr>
            </w:pPr>
            <w:r>
              <w:rPr>
                <w:rFonts w:hint="eastAsia" w:cs="Times New Roman"/>
                <w:color w:val="auto"/>
                <w:lang w:val="en-US" w:eastAsia="zh-CN"/>
              </w:rPr>
              <w:t>50</w:t>
            </w:r>
          </w:p>
        </w:tc>
        <w:tc>
          <w:tcPr>
            <w:tcW w:w="1770" w:type="dxa"/>
            <w:tcMar>
              <w:top w:w="16" w:type="dxa"/>
              <w:left w:w="16" w:type="dxa"/>
              <w:right w:w="16" w:type="dxa"/>
            </w:tcMar>
            <w:vAlign w:val="center"/>
          </w:tcPr>
          <w:p>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环保投资</w:t>
            </w:r>
          </w:p>
          <w:p>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（万元）</w:t>
            </w:r>
          </w:p>
        </w:tc>
        <w:tc>
          <w:tcPr>
            <w:tcW w:w="3465" w:type="dxa"/>
            <w:vAlign w:val="center"/>
          </w:tcPr>
          <w:p>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3.0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86" w:hRule="atLeast"/>
          <w:jc w:val="center"/>
        </w:trPr>
        <w:tc>
          <w:tcPr>
            <w:tcW w:w="1734" w:type="dxa"/>
            <w:tcMar>
              <w:top w:w="16" w:type="dxa"/>
              <w:left w:w="16" w:type="dxa"/>
              <w:right w:w="16" w:type="dxa"/>
            </w:tcMar>
            <w:vAlign w:val="center"/>
          </w:tcPr>
          <w:p>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环保投资占比（%）</w:t>
            </w:r>
          </w:p>
        </w:tc>
        <w:tc>
          <w:tcPr>
            <w:tcW w:w="1870" w:type="dxa"/>
            <w:vAlign w:val="center"/>
          </w:tcPr>
          <w:p>
            <w:pPr>
              <w:adjustRightInd w:val="0"/>
              <w:snapToGrid w:val="0"/>
              <w:spacing w:line="240" w:lineRule="auto"/>
              <w:ind w:firstLine="0" w:firstLineChars="0"/>
              <w:jc w:val="center"/>
              <w:rPr>
                <w:rFonts w:hint="default" w:ascii="Times New Roman" w:hAnsi="Times New Roman" w:eastAsia="宋体" w:cs="Times New Roman"/>
                <w:color w:val="auto"/>
                <w:lang w:val="en-US" w:eastAsia="zh-CN"/>
              </w:rPr>
            </w:pPr>
            <w:r>
              <w:rPr>
                <w:rFonts w:hint="eastAsia" w:cs="Times New Roman"/>
                <w:color w:val="auto"/>
                <w:lang w:val="en-US" w:eastAsia="zh-CN"/>
              </w:rPr>
              <w:t>6.0</w:t>
            </w:r>
          </w:p>
        </w:tc>
        <w:tc>
          <w:tcPr>
            <w:tcW w:w="1770" w:type="dxa"/>
            <w:tcMar>
              <w:top w:w="16" w:type="dxa"/>
              <w:left w:w="16" w:type="dxa"/>
              <w:right w:w="16" w:type="dxa"/>
            </w:tcMar>
            <w:vAlign w:val="center"/>
          </w:tcPr>
          <w:p>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施工工期</w:t>
            </w:r>
          </w:p>
        </w:tc>
        <w:tc>
          <w:tcPr>
            <w:tcW w:w="3465" w:type="dxa"/>
            <w:vAlign w:val="center"/>
          </w:tcPr>
          <w:p>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2021年1</w:t>
            </w:r>
            <w:r>
              <w:rPr>
                <w:rFonts w:hint="eastAsia" w:cs="Times New Roman"/>
                <w:color w:val="auto"/>
                <w:lang w:val="en-US" w:eastAsia="zh-CN"/>
              </w:rPr>
              <w:t>0</w:t>
            </w:r>
            <w:r>
              <w:rPr>
                <w:rFonts w:hint="default" w:ascii="Times New Roman" w:hAnsi="Times New Roman" w:cs="Times New Roman"/>
                <w:color w:val="auto"/>
              </w:rPr>
              <w:t>月至2022年1月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69" w:hRule="atLeast"/>
          <w:jc w:val="center"/>
        </w:trPr>
        <w:tc>
          <w:tcPr>
            <w:tcW w:w="1734" w:type="dxa"/>
            <w:tcMar>
              <w:top w:w="16" w:type="dxa"/>
              <w:left w:w="16" w:type="dxa"/>
              <w:right w:w="16" w:type="dxa"/>
            </w:tcMar>
            <w:vAlign w:val="center"/>
          </w:tcPr>
          <w:p>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是否开工建设</w:t>
            </w:r>
          </w:p>
        </w:tc>
        <w:tc>
          <w:tcPr>
            <w:tcW w:w="1870" w:type="dxa"/>
            <w:vAlign w:val="center"/>
          </w:tcPr>
          <w:p>
            <w:pPr>
              <w:adjustRightInd w:val="0"/>
              <w:snapToGrid w:val="0"/>
              <w:spacing w:line="240" w:lineRule="auto"/>
              <w:ind w:firstLine="0" w:firstLineChars="0"/>
              <w:rPr>
                <w:rFonts w:hint="default" w:ascii="Times New Roman" w:hAnsi="Times New Roman" w:cs="Times New Roman"/>
                <w:color w:val="auto"/>
              </w:rPr>
            </w:pPr>
            <w:r>
              <w:rPr>
                <w:rFonts w:hint="default" w:ascii="Times New Roman" w:hAnsi="Times New Roman" w:cs="Times New Roman"/>
                <w:color w:val="auto"/>
              </w:rPr>
              <w:sym w:font="Wingdings" w:char="00FE"/>
            </w:r>
            <w:r>
              <w:rPr>
                <w:rFonts w:hint="default" w:ascii="Times New Roman" w:hAnsi="Times New Roman" w:cs="Times New Roman"/>
                <w:color w:val="auto"/>
              </w:rPr>
              <w:t xml:space="preserve"> 否</w:t>
            </w:r>
          </w:p>
          <w:p>
            <w:pPr>
              <w:adjustRightInd w:val="0"/>
              <w:snapToGrid w:val="0"/>
              <w:spacing w:line="240" w:lineRule="auto"/>
              <w:ind w:firstLine="0" w:firstLineChars="0"/>
              <w:rPr>
                <w:rFonts w:hint="default" w:ascii="Times New Roman" w:hAnsi="Times New Roman" w:cs="Times New Roman"/>
                <w:color w:val="auto"/>
              </w:rPr>
            </w:pPr>
            <w:r>
              <w:rPr>
                <w:rFonts w:hint="default" w:ascii="Times New Roman" w:hAnsi="Times New Roman" w:cs="Times New Roman"/>
                <w:color w:val="auto"/>
              </w:rPr>
              <w:sym w:font="Wingdings" w:char="00A8"/>
            </w:r>
            <w:r>
              <w:rPr>
                <w:rFonts w:hint="default" w:ascii="Times New Roman" w:hAnsi="Times New Roman" w:cs="Times New Roman"/>
                <w:color w:val="auto"/>
              </w:rPr>
              <w:t xml:space="preserve"> 是：</w:t>
            </w:r>
          </w:p>
        </w:tc>
        <w:tc>
          <w:tcPr>
            <w:tcW w:w="1770" w:type="dxa"/>
            <w:tcMar>
              <w:top w:w="16" w:type="dxa"/>
              <w:left w:w="16" w:type="dxa"/>
              <w:right w:w="16" w:type="dxa"/>
            </w:tcMar>
            <w:vAlign w:val="center"/>
          </w:tcPr>
          <w:p>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用地面积</w:t>
            </w:r>
          </w:p>
          <w:p>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（m</w:t>
            </w:r>
            <w:r>
              <w:rPr>
                <w:rFonts w:hint="default" w:ascii="Times New Roman" w:hAnsi="Times New Roman" w:cs="Times New Roman"/>
                <w:color w:val="auto"/>
                <w:vertAlign w:val="superscript"/>
              </w:rPr>
              <w:t>2</w:t>
            </w:r>
            <w:r>
              <w:rPr>
                <w:rFonts w:hint="default" w:ascii="Times New Roman" w:hAnsi="Times New Roman" w:cs="Times New Roman"/>
                <w:color w:val="auto"/>
              </w:rPr>
              <w:t>）</w:t>
            </w:r>
          </w:p>
        </w:tc>
        <w:tc>
          <w:tcPr>
            <w:tcW w:w="3465" w:type="dxa"/>
            <w:vAlign w:val="center"/>
          </w:tcPr>
          <w:p>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60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93" w:hRule="atLeast"/>
          <w:jc w:val="center"/>
        </w:trPr>
        <w:tc>
          <w:tcPr>
            <w:tcW w:w="1734" w:type="dxa"/>
            <w:tcMar>
              <w:top w:w="16" w:type="dxa"/>
              <w:left w:w="16" w:type="dxa"/>
              <w:right w:w="16" w:type="dxa"/>
            </w:tcMar>
            <w:vAlign w:val="center"/>
          </w:tcPr>
          <w:p>
            <w:pPr>
              <w:autoSpaceDE w:val="0"/>
              <w:autoSpaceDN w:val="0"/>
              <w:adjustRightInd w:val="0"/>
              <w:snapToGrid w:val="0"/>
              <w:spacing w:line="240" w:lineRule="auto"/>
              <w:ind w:firstLine="0" w:firstLineChars="0"/>
              <w:jc w:val="center"/>
              <w:rPr>
                <w:rFonts w:hint="default" w:ascii="Times New Roman" w:hAnsi="Times New Roman" w:cs="Times New Roman"/>
                <w:color w:val="auto"/>
                <w:kern w:val="0"/>
              </w:rPr>
            </w:pPr>
            <w:r>
              <w:rPr>
                <w:rFonts w:hint="default" w:ascii="Times New Roman" w:hAnsi="Times New Roman" w:cs="Times New Roman"/>
                <w:color w:val="auto"/>
                <w:kern w:val="0"/>
              </w:rPr>
              <w:t>专项评价设置情况</w:t>
            </w:r>
          </w:p>
        </w:tc>
        <w:tc>
          <w:tcPr>
            <w:tcW w:w="7105" w:type="dxa"/>
            <w:gridSpan w:val="3"/>
            <w:vAlign w:val="center"/>
          </w:tcPr>
          <w:p>
            <w:pPr>
              <w:pStyle w:val="26"/>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33" w:hRule="atLeast"/>
          <w:jc w:val="center"/>
        </w:trPr>
        <w:tc>
          <w:tcPr>
            <w:tcW w:w="1734" w:type="dxa"/>
            <w:tcMar>
              <w:top w:w="16" w:type="dxa"/>
              <w:left w:w="16" w:type="dxa"/>
              <w:right w:w="16" w:type="dxa"/>
            </w:tcMar>
            <w:vAlign w:val="center"/>
          </w:tcPr>
          <w:p>
            <w:pPr>
              <w:autoSpaceDE w:val="0"/>
              <w:autoSpaceDN w:val="0"/>
              <w:adjustRightInd w:val="0"/>
              <w:snapToGrid w:val="0"/>
              <w:spacing w:line="240" w:lineRule="auto"/>
              <w:ind w:firstLine="0" w:firstLineChars="0"/>
              <w:jc w:val="center"/>
              <w:rPr>
                <w:rFonts w:hint="default" w:ascii="Times New Roman" w:hAnsi="Times New Roman" w:cs="Times New Roman"/>
                <w:color w:val="auto"/>
                <w:kern w:val="0"/>
              </w:rPr>
            </w:pPr>
            <w:r>
              <w:rPr>
                <w:rFonts w:hint="default" w:ascii="Times New Roman" w:hAnsi="Times New Roman" w:cs="Times New Roman"/>
                <w:color w:val="auto"/>
              </w:rPr>
              <w:t>规划情况</w:t>
            </w:r>
          </w:p>
        </w:tc>
        <w:tc>
          <w:tcPr>
            <w:tcW w:w="7105" w:type="dxa"/>
            <w:gridSpan w:val="3"/>
            <w:vAlign w:val="center"/>
          </w:tcPr>
          <w:p>
            <w:pPr>
              <w:pStyle w:val="26"/>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1" w:hRule="atLeast"/>
          <w:jc w:val="center"/>
        </w:trPr>
        <w:tc>
          <w:tcPr>
            <w:tcW w:w="1734" w:type="dxa"/>
            <w:tcMar>
              <w:top w:w="16" w:type="dxa"/>
              <w:left w:w="16" w:type="dxa"/>
              <w:right w:w="16" w:type="dxa"/>
            </w:tcMar>
            <w:vAlign w:val="center"/>
          </w:tcPr>
          <w:p>
            <w:pPr>
              <w:adjustRightInd w:val="0"/>
              <w:snapToGrid w:val="0"/>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规划环境影响</w:t>
            </w:r>
          </w:p>
          <w:p>
            <w:pPr>
              <w:adjustRightInd w:val="0"/>
              <w:snapToGrid w:val="0"/>
              <w:spacing w:line="240" w:lineRule="auto"/>
              <w:ind w:firstLine="0" w:firstLineChars="0"/>
              <w:jc w:val="center"/>
              <w:rPr>
                <w:rFonts w:hint="default" w:ascii="Times New Roman" w:hAnsi="Times New Roman" w:cs="Times New Roman"/>
                <w:color w:val="auto"/>
                <w:kern w:val="0"/>
              </w:rPr>
            </w:pPr>
            <w:r>
              <w:rPr>
                <w:rFonts w:hint="default" w:ascii="Times New Roman" w:hAnsi="Times New Roman" w:cs="Times New Roman"/>
                <w:color w:val="auto"/>
              </w:rPr>
              <w:t>评价情况</w:t>
            </w:r>
          </w:p>
        </w:tc>
        <w:tc>
          <w:tcPr>
            <w:tcW w:w="7105" w:type="dxa"/>
            <w:gridSpan w:val="3"/>
            <w:vAlign w:val="center"/>
          </w:tcPr>
          <w:p>
            <w:pPr>
              <w:pStyle w:val="26"/>
              <w:spacing w:line="240" w:lineRule="auto"/>
              <w:ind w:firstLine="0" w:firstLineChars="0"/>
              <w:jc w:val="center"/>
              <w:rPr>
                <w:rFonts w:hint="default" w:ascii="Times New Roman" w:hAnsi="Times New Roman" w:cs="Times New Roman"/>
                <w:color w:val="auto"/>
                <w:kern w:val="0"/>
                <w:szCs w:val="21"/>
              </w:rPr>
            </w:pPr>
            <w:r>
              <w:rPr>
                <w:rFonts w:hint="default" w:ascii="Times New Roman" w:hAnsi="Times New Roman" w:cs="Times New Roman"/>
                <w:color w:val="auto"/>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1" w:hRule="atLeast"/>
          <w:jc w:val="center"/>
        </w:trPr>
        <w:tc>
          <w:tcPr>
            <w:tcW w:w="1734" w:type="dxa"/>
            <w:tcMar>
              <w:top w:w="16" w:type="dxa"/>
              <w:left w:w="16" w:type="dxa"/>
              <w:right w:w="16" w:type="dxa"/>
            </w:tcMar>
            <w:vAlign w:val="center"/>
          </w:tcPr>
          <w:p>
            <w:pPr>
              <w:autoSpaceDE w:val="0"/>
              <w:autoSpaceDN w:val="0"/>
              <w:adjustRightInd w:val="0"/>
              <w:snapToGrid w:val="0"/>
              <w:spacing w:line="240" w:lineRule="auto"/>
              <w:ind w:firstLine="0" w:firstLineChars="0"/>
              <w:jc w:val="center"/>
              <w:rPr>
                <w:rFonts w:hint="default" w:ascii="Times New Roman" w:hAnsi="Times New Roman" w:cs="Times New Roman"/>
                <w:color w:val="auto"/>
                <w:kern w:val="0"/>
              </w:rPr>
            </w:pPr>
            <w:r>
              <w:rPr>
                <w:rFonts w:hint="default" w:ascii="Times New Roman" w:hAnsi="Times New Roman" w:cs="Times New Roman"/>
                <w:color w:val="auto"/>
                <w:kern w:val="0"/>
              </w:rPr>
              <w:t>规划及规划环境</w:t>
            </w:r>
          </w:p>
          <w:p>
            <w:pPr>
              <w:autoSpaceDE w:val="0"/>
              <w:autoSpaceDN w:val="0"/>
              <w:adjustRightInd w:val="0"/>
              <w:snapToGrid w:val="0"/>
              <w:spacing w:line="240" w:lineRule="auto"/>
              <w:ind w:firstLine="0" w:firstLineChars="0"/>
              <w:jc w:val="center"/>
              <w:rPr>
                <w:rFonts w:hint="default" w:ascii="Times New Roman" w:hAnsi="Times New Roman" w:cs="Times New Roman"/>
                <w:color w:val="auto"/>
                <w:kern w:val="0"/>
              </w:rPr>
            </w:pPr>
            <w:r>
              <w:rPr>
                <w:rFonts w:hint="default" w:ascii="Times New Roman" w:hAnsi="Times New Roman" w:cs="Times New Roman"/>
                <w:color w:val="auto"/>
                <w:kern w:val="0"/>
              </w:rPr>
              <w:t>影响评价符合性分析</w:t>
            </w:r>
          </w:p>
        </w:tc>
        <w:tc>
          <w:tcPr>
            <w:tcW w:w="7105" w:type="dxa"/>
            <w:gridSpan w:val="3"/>
            <w:vAlign w:val="center"/>
          </w:tcPr>
          <w:p>
            <w:pPr>
              <w:pStyle w:val="26"/>
              <w:spacing w:line="240" w:lineRule="auto"/>
              <w:ind w:firstLine="0" w:firstLineChars="0"/>
              <w:jc w:val="center"/>
              <w:rPr>
                <w:rFonts w:hint="default" w:ascii="Times New Roman" w:hAnsi="Times New Roman" w:cs="Times New Roman"/>
                <w:color w:val="auto"/>
                <w:kern w:val="0"/>
                <w:szCs w:val="21"/>
              </w:rPr>
            </w:pPr>
            <w:r>
              <w:rPr>
                <w:rFonts w:hint="default" w:ascii="Times New Roman" w:hAnsi="Times New Roman" w:cs="Times New Roman"/>
                <w:color w:val="auto"/>
              </w:rPr>
              <w:t>无</w:t>
            </w:r>
          </w:p>
        </w:tc>
      </w:tr>
    </w:tbl>
    <w:p>
      <w:pPr>
        <w:ind w:firstLine="600"/>
        <w:rPr>
          <w:rFonts w:hint="default" w:ascii="Times New Roman" w:hAnsi="Times New Roman" w:eastAsia="黑体" w:cs="Times New Roman"/>
          <w:color w:val="auto"/>
          <w:sz w:val="30"/>
        </w:rPr>
        <w:sectPr>
          <w:footerReference r:id="rId7" w:type="default"/>
          <w:pgSz w:w="11906" w:h="16838"/>
          <w:pgMar w:top="1701" w:right="1531" w:bottom="1701" w:left="1531" w:header="851" w:footer="1077" w:gutter="0"/>
          <w:pgNumType w:start="1"/>
          <w:cols w:space="720" w:num="1"/>
          <w:docGrid w:linePitch="312" w:charSpace="0"/>
        </w:sectPr>
      </w:pPr>
    </w:p>
    <w:tbl>
      <w:tblPr>
        <w:tblStyle w:val="15"/>
        <w:tblW w:w="907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108" w:type="dxa"/>
          <w:bottom w:w="0" w:type="dxa"/>
          <w:right w:w="108" w:type="dxa"/>
        </w:tblCellMar>
      </w:tblPr>
      <w:tblGrid>
        <w:gridCol w:w="737"/>
        <w:gridCol w:w="83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trPr>
        <w:tc>
          <w:tcPr>
            <w:tcW w:w="737" w:type="dxa"/>
            <w:vAlign w:val="center"/>
          </w:tcPr>
          <w:p>
            <w:pPr>
              <w:pStyle w:val="4"/>
              <w:numPr>
                <w:ilvl w:val="1"/>
                <w:numId w:val="0"/>
              </w:numPr>
              <w:jc w:val="center"/>
              <w:rPr>
                <w:rFonts w:hint="default" w:ascii="Times New Roman" w:hAnsi="Times New Roman" w:cs="Times New Roman"/>
                <w:color w:val="auto"/>
              </w:rPr>
            </w:pPr>
            <w:bookmarkStart w:id="11" w:name="_Toc6010"/>
            <w:r>
              <w:rPr>
                <w:rFonts w:hint="default" w:ascii="Times New Roman" w:hAnsi="Times New Roman" w:cs="Times New Roman"/>
                <w:b w:val="0"/>
                <w:bCs/>
                <w:color w:val="auto"/>
                <w:sz w:val="24"/>
              </w:rPr>
              <w:t>其他符合性分析</w:t>
            </w:r>
            <w:bookmarkEnd w:id="11"/>
          </w:p>
        </w:tc>
        <w:tc>
          <w:tcPr>
            <w:tcW w:w="8334" w:type="dxa"/>
          </w:tcPr>
          <w:p>
            <w:pPr>
              <w:pStyle w:val="4"/>
              <w:rPr>
                <w:rFonts w:hint="default" w:ascii="Times New Roman" w:hAnsi="Times New Roman" w:cs="Times New Roman"/>
                <w:color w:val="auto"/>
              </w:rPr>
            </w:pPr>
            <w:bookmarkStart w:id="12" w:name="_Toc5880"/>
            <w:r>
              <w:rPr>
                <w:rFonts w:hint="default" w:ascii="Times New Roman" w:hAnsi="Times New Roman" w:cs="Times New Roman"/>
                <w:color w:val="auto"/>
              </w:rPr>
              <w:t>产业政策符合性分析</w:t>
            </w:r>
            <w:bookmarkEnd w:id="12"/>
          </w:p>
          <w:p>
            <w:pPr>
              <w:ind w:firstLine="480"/>
              <w:rPr>
                <w:rFonts w:hint="default" w:ascii="Times New Roman" w:hAnsi="Times New Roman" w:cs="Times New Roman"/>
                <w:color w:val="auto"/>
              </w:rPr>
            </w:pPr>
            <w:r>
              <w:rPr>
                <w:rFonts w:hint="default" w:ascii="Times New Roman" w:hAnsi="Times New Roman" w:cs="Times New Roman"/>
                <w:color w:val="auto"/>
              </w:rPr>
              <w:t>本项目属于热力供应项目，根据《产业结构调整指导目录（2019年）》，本项目的建设不属于“鼓励类”、“限制类”、“淘汰类”，属于允许类，项目用地不在《禁止用地项目目录（2012年本）》和《限制用地项目目录（2012年本）》之列。因此本项目建设符合国家相关政策。</w:t>
            </w:r>
          </w:p>
          <w:p>
            <w:pPr>
              <w:ind w:firstLine="480"/>
              <w:rPr>
                <w:rFonts w:hint="default" w:ascii="Times New Roman" w:hAnsi="Times New Roman" w:cs="Times New Roman"/>
                <w:color w:val="auto"/>
              </w:rPr>
            </w:pPr>
            <w:r>
              <w:rPr>
                <w:rFonts w:hint="default" w:ascii="Times New Roman" w:hAnsi="Times New Roman" w:cs="Times New Roman"/>
                <w:color w:val="auto"/>
              </w:rPr>
              <w:t>本项目生产中所使用的设备均不属于《部分工业行业淘汰落后生产工艺装备和产品指导目录（2010年本）》中项目，依据建设单位提供的资料，本项目原辅材料均不涉及有毒有害原料，因此项目的建设符合国家和地方当前产业政策的要求。</w:t>
            </w:r>
          </w:p>
          <w:p>
            <w:pPr>
              <w:pStyle w:val="4"/>
              <w:rPr>
                <w:rFonts w:hint="default" w:ascii="Times New Roman" w:hAnsi="Times New Roman" w:cs="Times New Roman"/>
                <w:color w:val="auto"/>
              </w:rPr>
            </w:pPr>
            <w:bookmarkStart w:id="13" w:name="_Toc22268"/>
            <w:r>
              <w:rPr>
                <w:rFonts w:hint="default" w:ascii="Times New Roman" w:hAnsi="Times New Roman" w:cs="Times New Roman"/>
                <w:color w:val="auto"/>
              </w:rPr>
              <w:t>“三线一单”控制要求符合性分析</w:t>
            </w:r>
            <w:bookmarkEnd w:id="13"/>
          </w:p>
          <w:p>
            <w:pPr>
              <w:numPr>
                <w:ilvl w:val="0"/>
                <w:numId w:val="2"/>
              </w:numPr>
              <w:ind w:firstLine="480"/>
              <w:rPr>
                <w:rFonts w:hint="default" w:ascii="Times New Roman" w:hAnsi="Times New Roman" w:cs="Times New Roman"/>
                <w:color w:val="auto"/>
              </w:rPr>
            </w:pPr>
            <w:r>
              <w:rPr>
                <w:rFonts w:hint="default" w:ascii="Times New Roman" w:hAnsi="Times New Roman" w:cs="Times New Roman"/>
                <w:color w:val="auto"/>
              </w:rPr>
              <w:t>生态保护红线</w:t>
            </w:r>
          </w:p>
          <w:p>
            <w:pPr>
              <w:ind w:firstLine="480"/>
              <w:rPr>
                <w:rFonts w:hint="default" w:ascii="Times New Roman" w:hAnsi="Times New Roman" w:cs="Times New Roman"/>
                <w:color w:val="auto"/>
              </w:rPr>
            </w:pPr>
            <w:r>
              <w:rPr>
                <w:rFonts w:hint="default" w:ascii="Times New Roman" w:hAnsi="Times New Roman" w:cs="Times New Roman"/>
                <w:color w:val="auto"/>
              </w:rPr>
              <w:t>项目位于闽侯经济技术开发区南中路9号，不位于自然保护区、风景名胜区、饮用水源保护地和其他需要特别保护等法律法规禁止开发建设的区域。因此，项目建设符合生态红线控制要求。</w:t>
            </w:r>
          </w:p>
          <w:p>
            <w:pPr>
              <w:numPr>
                <w:ilvl w:val="0"/>
                <w:numId w:val="2"/>
              </w:numPr>
              <w:ind w:firstLine="480"/>
              <w:rPr>
                <w:rFonts w:hint="default" w:ascii="Times New Roman" w:hAnsi="Times New Roman" w:cs="Times New Roman"/>
                <w:color w:val="auto"/>
              </w:rPr>
            </w:pPr>
            <w:r>
              <w:rPr>
                <w:rFonts w:hint="default" w:ascii="Times New Roman" w:hAnsi="Times New Roman" w:cs="Times New Roman"/>
                <w:color w:val="auto"/>
              </w:rPr>
              <w:t>环境质量底线</w:t>
            </w:r>
          </w:p>
          <w:p>
            <w:pPr>
              <w:ind w:firstLine="480"/>
              <w:rPr>
                <w:rFonts w:hint="default" w:ascii="Times New Roman" w:hAnsi="Times New Roman" w:cs="Times New Roman"/>
                <w:color w:val="auto"/>
              </w:rPr>
            </w:pPr>
            <w:r>
              <w:rPr>
                <w:rFonts w:hint="default" w:ascii="Times New Roman" w:hAnsi="Times New Roman" w:cs="Times New Roman"/>
                <w:color w:val="auto"/>
              </w:rPr>
              <w:t>项目所在区域的环境质量底线为：大气环境质量目标为GB3095-2012《环境空气质量标准》二级标准；地表水环境目标为GB3838-2002《地表水环境质量标准》Ⅲ类标准；声环境质量目标为GB3096-2008《声环境质量标准》3类标准。根据项目所在地环境质量现状调查和污染排放影响预测可知，本项目运营后对区域内环境影响较小，环境质量可以保持现有水平，不会对区域环境质量底线造成冲击。</w:t>
            </w:r>
          </w:p>
          <w:p>
            <w:pPr>
              <w:numPr>
                <w:ilvl w:val="0"/>
                <w:numId w:val="2"/>
              </w:numPr>
              <w:ind w:firstLine="480"/>
              <w:rPr>
                <w:rFonts w:hint="default" w:ascii="Times New Roman" w:hAnsi="Times New Roman" w:cs="Times New Roman"/>
                <w:color w:val="auto"/>
              </w:rPr>
            </w:pPr>
            <w:r>
              <w:rPr>
                <w:rFonts w:hint="default" w:ascii="Times New Roman" w:hAnsi="Times New Roman" w:cs="Times New Roman"/>
                <w:color w:val="auto"/>
              </w:rPr>
              <w:t>资源利用上线</w:t>
            </w:r>
          </w:p>
          <w:p>
            <w:pPr>
              <w:ind w:firstLine="480"/>
              <w:rPr>
                <w:rFonts w:hint="default" w:ascii="Times New Roman" w:hAnsi="Times New Roman" w:cs="Times New Roman"/>
                <w:color w:val="auto"/>
              </w:rPr>
            </w:pPr>
            <w:r>
              <w:rPr>
                <w:rFonts w:hint="default" w:ascii="Times New Roman" w:hAnsi="Times New Roman" w:cs="Times New Roman"/>
                <w:color w:val="auto"/>
              </w:rPr>
              <w:t>项目用水、用电为区域集中供应，项目运行过程通过内部管理、设备选择、原辅材料的选用和管理、废物回收利用、污染治理等多方面采取合理可行的防治措施，以“节能、降耗、减污”为目标，有效的控制污染。项目的水、气等资源利用不会突破区域的资源利用上线。</w:t>
            </w:r>
          </w:p>
          <w:p>
            <w:pPr>
              <w:numPr>
                <w:ilvl w:val="0"/>
                <w:numId w:val="2"/>
              </w:numPr>
              <w:ind w:firstLine="480"/>
              <w:rPr>
                <w:rFonts w:hint="default" w:ascii="Times New Roman" w:hAnsi="Times New Roman" w:cs="Times New Roman"/>
                <w:color w:val="auto"/>
              </w:rPr>
            </w:pPr>
            <w:r>
              <w:rPr>
                <w:rFonts w:hint="default" w:ascii="Times New Roman" w:hAnsi="Times New Roman" w:cs="Times New Roman"/>
                <w:color w:val="auto"/>
              </w:rPr>
              <w:t>环境准入负面清单</w:t>
            </w:r>
          </w:p>
          <w:p>
            <w:pPr>
              <w:ind w:firstLine="480"/>
              <w:rPr>
                <w:rFonts w:hint="default" w:ascii="Times New Roman" w:hAnsi="Times New Roman" w:cs="Times New Roman"/>
                <w:color w:val="auto"/>
              </w:rPr>
            </w:pPr>
            <w:r>
              <w:rPr>
                <w:rFonts w:hint="default" w:ascii="Times New Roman" w:hAnsi="Times New Roman" w:cs="Times New Roman"/>
                <w:color w:val="auto"/>
              </w:rPr>
              <w:t>经检索，《产业结构调整指导目录（2019年本）》，本项目主要的生产设备不在国家明令强制淘汰、禁止或限制使用之列，本项目所采用的工艺不属于《产业结构调整指导目录（2019年本）》中限制类和淘汰类建设项目。项目不属于国家《市场准入负面清单草案（试点版）》规定的禁止投资项目；不在《福建省第一批国家重点生态功能区县（市）产业准入负面清单（试行）》之内；符合环境准入要求。</w:t>
            </w:r>
          </w:p>
          <w:p>
            <w:pPr>
              <w:ind w:firstLine="480"/>
              <w:rPr>
                <w:rFonts w:hint="default" w:ascii="Times New Roman" w:hAnsi="Times New Roman" w:cs="Times New Roman"/>
                <w:color w:val="auto"/>
              </w:rPr>
            </w:pPr>
            <w:r>
              <w:rPr>
                <w:rFonts w:hint="default" w:ascii="Times New Roman" w:hAnsi="Times New Roman" w:cs="Times New Roman"/>
                <w:color w:val="auto"/>
              </w:rPr>
              <w:t>根据以上分析，本项目具有环境友好性，符合“三线一单”的控制要求。</w:t>
            </w:r>
          </w:p>
          <w:p>
            <w:pPr>
              <w:pStyle w:val="4"/>
              <w:rPr>
                <w:rFonts w:hint="default" w:ascii="Times New Roman" w:hAnsi="Times New Roman" w:cs="Times New Roman"/>
                <w:color w:val="auto"/>
              </w:rPr>
            </w:pPr>
            <w:bookmarkStart w:id="14" w:name="_Toc12650"/>
            <w:r>
              <w:rPr>
                <w:rFonts w:hint="default" w:ascii="Times New Roman" w:hAnsi="Times New Roman" w:cs="Times New Roman"/>
                <w:color w:val="auto"/>
              </w:rPr>
              <w:t>选址合理性分析</w:t>
            </w:r>
            <w:bookmarkEnd w:id="14"/>
          </w:p>
          <w:p>
            <w:pPr>
              <w:ind w:firstLine="480"/>
              <w:rPr>
                <w:rFonts w:hint="default" w:ascii="Times New Roman" w:hAnsi="Times New Roman" w:cs="Times New Roman"/>
                <w:color w:val="auto"/>
              </w:rPr>
            </w:pPr>
            <w:r>
              <w:rPr>
                <w:rFonts w:hint="default" w:ascii="Times New Roman" w:hAnsi="Times New Roman" w:cs="Times New Roman"/>
                <w:color w:val="auto"/>
              </w:rPr>
              <w:t>本次锅炉改建项目不新增用地，位于闽侯经济技术开发区南中路9号福建众安药业有限公司已有锅炉房内，土地性质为工业用地，项目建设符合《闽侯县总体规划修编（2012-2030）》，在闽侯县总体规划中的具体位置见附图。</w:t>
            </w:r>
          </w:p>
          <w:p>
            <w:pPr>
              <w:pStyle w:val="4"/>
              <w:tabs>
                <w:tab w:val="clear" w:pos="0"/>
              </w:tabs>
              <w:rPr>
                <w:rFonts w:hint="default" w:ascii="Times New Roman" w:hAnsi="Times New Roman" w:cs="Times New Roman"/>
                <w:color w:val="auto"/>
              </w:rPr>
            </w:pPr>
            <w:r>
              <w:rPr>
                <w:rFonts w:hint="default" w:ascii="Times New Roman" w:hAnsi="Times New Roman" w:cs="Times New Roman"/>
                <w:color w:val="auto"/>
              </w:rPr>
              <w:t>与周边相容性分析</w:t>
            </w:r>
          </w:p>
          <w:p>
            <w:pPr>
              <w:ind w:firstLine="480"/>
              <w:rPr>
                <w:rFonts w:hint="default" w:ascii="Times New Roman" w:hAnsi="Times New Roman" w:cs="Times New Roman"/>
                <w:color w:val="auto"/>
              </w:rPr>
            </w:pPr>
            <w:r>
              <w:rPr>
                <w:rFonts w:hint="default" w:ascii="Times New Roman" w:hAnsi="Times New Roman" w:cs="Times New Roman"/>
                <w:color w:val="auto"/>
              </w:rPr>
              <w:t>根据现场踏勘，项目周边基本为工业厂房。项目地理位置优越，交通便捷。项目周围无生活饮用水水源保护区、无重大文物古迹、无国家重点保护的珍惜动物和濒危植物。本项目为锅炉改建项目，</w:t>
            </w:r>
            <w:r>
              <w:rPr>
                <w:rFonts w:hint="default" w:ascii="Times New Roman" w:hAnsi="Times New Roman" w:cs="Times New Roman"/>
                <w:color w:val="auto"/>
                <w:lang w:val="en-US" w:eastAsia="zh-CN"/>
              </w:rPr>
              <w:t>项目无生产废水产生</w:t>
            </w:r>
            <w:r>
              <w:rPr>
                <w:rFonts w:hint="default" w:ascii="Times New Roman" w:hAnsi="Times New Roman" w:cs="Times New Roman"/>
                <w:color w:val="auto"/>
              </w:rPr>
              <w:t>；废气经收集处理后达标排放。项目在生产过程产生的污染物较小，经处理后可实现达标排放，对环境影响较小，项目与周围环境是相容且相互适应的。建设单位在确实落实本评价提出的各项污染治理措施的前提下，可实现污染物达标排放，且各污染物排放源强较低，运营期产生的“三废”及噪声对周边环境影响不明显，因此，项目建设与周边环境基本相容。</w:t>
            </w:r>
          </w:p>
          <w:p>
            <w:pPr>
              <w:ind w:firstLine="480"/>
              <w:rPr>
                <w:rFonts w:hint="default" w:ascii="Times New Roman" w:hAnsi="Times New Roman" w:cs="Times New Roman"/>
                <w:color w:val="auto"/>
              </w:rPr>
            </w:pPr>
          </w:p>
          <w:p>
            <w:pPr>
              <w:pStyle w:val="10"/>
              <w:ind w:firstLine="480"/>
              <w:rPr>
                <w:rFonts w:hint="default" w:ascii="Times New Roman" w:hAnsi="Times New Roman" w:cs="Times New Roman"/>
                <w:color w:val="auto"/>
              </w:rPr>
            </w:pPr>
          </w:p>
          <w:p>
            <w:pPr>
              <w:ind w:firstLine="480"/>
              <w:rPr>
                <w:rFonts w:hint="default" w:ascii="Times New Roman" w:hAnsi="Times New Roman" w:cs="Times New Roman"/>
                <w:color w:val="auto"/>
              </w:rPr>
            </w:pPr>
          </w:p>
          <w:p>
            <w:pPr>
              <w:pStyle w:val="10"/>
              <w:ind w:firstLine="480"/>
              <w:rPr>
                <w:rFonts w:hint="default" w:ascii="Times New Roman" w:hAnsi="Times New Roman" w:cs="Times New Roman"/>
                <w:color w:val="auto"/>
              </w:rPr>
            </w:pPr>
          </w:p>
          <w:p>
            <w:pPr>
              <w:ind w:firstLine="480"/>
              <w:rPr>
                <w:rFonts w:hint="default" w:ascii="Times New Roman" w:hAnsi="Times New Roman" w:cs="Times New Roman"/>
                <w:color w:val="auto"/>
              </w:rPr>
            </w:pPr>
          </w:p>
        </w:tc>
      </w:tr>
    </w:tbl>
    <w:p>
      <w:pPr>
        <w:ind w:firstLine="480"/>
        <w:rPr>
          <w:rFonts w:hint="default" w:ascii="Times New Roman" w:hAnsi="Times New Roman" w:cs="Times New Roman"/>
          <w:color w:val="auto"/>
        </w:rPr>
        <w:sectPr>
          <w:pgSz w:w="11906" w:h="16838"/>
          <w:pgMar w:top="1701" w:right="1531" w:bottom="1701" w:left="1531" w:header="851" w:footer="1077" w:gutter="0"/>
          <w:cols w:space="720" w:num="1"/>
          <w:docGrid w:linePitch="312" w:charSpace="0"/>
        </w:sectPr>
      </w:pPr>
    </w:p>
    <w:p>
      <w:pPr>
        <w:pStyle w:val="3"/>
        <w:ind w:firstLineChars="0"/>
        <w:rPr>
          <w:rFonts w:hint="default" w:ascii="Times New Roman" w:hAnsi="Times New Roman" w:cs="Times New Roman"/>
          <w:color w:val="auto"/>
        </w:rPr>
      </w:pPr>
      <w:bookmarkStart w:id="15" w:name="_Toc4322"/>
      <w:bookmarkStart w:id="16" w:name="_Toc13932"/>
      <w:bookmarkStart w:id="17" w:name="_Toc10038"/>
      <w:r>
        <w:rPr>
          <w:rFonts w:hint="default" w:ascii="Times New Roman" w:hAnsi="Times New Roman" w:cs="Times New Roman"/>
          <w:color w:val="auto"/>
        </w:rPr>
        <w:t>建设项目工程分析</w:t>
      </w:r>
      <w:bookmarkEnd w:id="15"/>
      <w:bookmarkEnd w:id="16"/>
    </w:p>
    <w:tbl>
      <w:tblPr>
        <w:tblStyle w:val="14"/>
        <w:tblW w:w="938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57" w:type="dxa"/>
          <w:left w:w="108" w:type="dxa"/>
          <w:bottom w:w="57" w:type="dxa"/>
          <w:right w:w="108" w:type="dxa"/>
        </w:tblCellMar>
      </w:tblPr>
      <w:tblGrid>
        <w:gridCol w:w="841"/>
        <w:gridCol w:w="854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108" w:type="dxa"/>
            <w:bottom w:w="57" w:type="dxa"/>
            <w:right w:w="108" w:type="dxa"/>
          </w:tblCellMar>
        </w:tblPrEx>
        <w:trPr>
          <w:trHeight w:val="907" w:hRule="atLeast"/>
          <w:jc w:val="center"/>
        </w:trPr>
        <w:tc>
          <w:tcPr>
            <w:tcW w:w="841" w:type="dxa"/>
            <w:vAlign w:val="center"/>
          </w:tcPr>
          <w:p>
            <w:pPr>
              <w:pStyle w:val="4"/>
              <w:numPr>
                <w:ilvl w:val="1"/>
                <w:numId w:val="0"/>
              </w:numPr>
              <w:rPr>
                <w:rFonts w:hint="default" w:ascii="Times New Roman" w:hAnsi="Times New Roman" w:cs="Times New Roman"/>
                <w:b w:val="0"/>
                <w:bCs/>
                <w:color w:val="auto"/>
                <w:sz w:val="24"/>
              </w:rPr>
            </w:pPr>
            <w:bookmarkStart w:id="18" w:name="_Toc11170"/>
            <w:r>
              <w:rPr>
                <w:rFonts w:hint="default" w:ascii="Times New Roman" w:hAnsi="Times New Roman" w:cs="Times New Roman"/>
                <w:b w:val="0"/>
                <w:bCs/>
                <w:color w:val="auto"/>
                <w:sz w:val="24"/>
              </w:rPr>
              <w:t>建设内容</w:t>
            </w:r>
            <w:bookmarkEnd w:id="18"/>
          </w:p>
        </w:tc>
        <w:tc>
          <w:tcPr>
            <w:tcW w:w="8547" w:type="dxa"/>
          </w:tcPr>
          <w:p>
            <w:pPr>
              <w:pStyle w:val="4"/>
              <w:rPr>
                <w:rFonts w:hint="default" w:ascii="Times New Roman" w:hAnsi="Times New Roman" w:cs="Times New Roman"/>
                <w:color w:val="auto"/>
              </w:rPr>
            </w:pPr>
            <w:r>
              <w:rPr>
                <w:rFonts w:hint="default" w:ascii="Times New Roman" w:hAnsi="Times New Roman" w:cs="Times New Roman"/>
                <w:color w:val="auto"/>
              </w:rPr>
              <w:t>项目概况</w:t>
            </w:r>
          </w:p>
          <w:p>
            <w:pPr>
              <w:tabs>
                <w:tab w:val="left" w:pos="0"/>
              </w:tabs>
              <w:ind w:firstLine="0" w:firstLineChars="0"/>
              <w:jc w:val="left"/>
              <w:outlineLvl w:val="2"/>
              <w:rPr>
                <w:rFonts w:hint="default" w:ascii="Times New Roman" w:hAnsi="Times New Roman" w:cs="Times New Roman"/>
                <w:b/>
                <w:color w:val="auto"/>
                <w:sz w:val="30"/>
                <w:szCs w:val="30"/>
              </w:rPr>
            </w:pPr>
            <w:r>
              <w:rPr>
                <w:rFonts w:hint="default" w:ascii="Times New Roman" w:hAnsi="Times New Roman" w:cs="Times New Roman"/>
                <w:b/>
                <w:color w:val="auto"/>
                <w:sz w:val="30"/>
                <w:szCs w:val="30"/>
              </w:rPr>
              <w:t>2.1.1项目由来</w:t>
            </w:r>
          </w:p>
          <w:p>
            <w:pPr>
              <w:ind w:firstLine="480"/>
              <w:rPr>
                <w:rFonts w:hint="default" w:ascii="Times New Roman" w:hAnsi="Times New Roman" w:cs="Times New Roman"/>
                <w:color w:val="auto"/>
              </w:rPr>
            </w:pPr>
            <w:r>
              <w:rPr>
                <w:rFonts w:hint="default" w:ascii="Times New Roman" w:hAnsi="Times New Roman" w:cs="Times New Roman"/>
                <w:color w:val="auto"/>
              </w:rPr>
              <w:t>福建众安药业有限公司（原名：福州阿多拉制药有限公司，更名备案批复详见附件</w:t>
            </w:r>
            <w:r>
              <w:rPr>
                <w:rFonts w:hint="eastAsia" w:cs="Times New Roman"/>
                <w:color w:val="auto"/>
                <w:lang w:val="en-US" w:eastAsia="zh-CN"/>
              </w:rPr>
              <w:t>4</w:t>
            </w:r>
            <w:r>
              <w:rPr>
                <w:rFonts w:hint="default" w:ascii="Times New Roman" w:hAnsi="Times New Roman" w:cs="Times New Roman"/>
                <w:color w:val="auto"/>
              </w:rPr>
              <w:t>）成立于1994年，主要进行医药研发和咨询，于2010年选址于闽侯县铁岭工业集中区二期地块从事安多霖胶囊的生产销售。厂区占地面积17680.07m</w:t>
            </w:r>
            <w:r>
              <w:rPr>
                <w:rFonts w:hint="default" w:ascii="Times New Roman" w:hAnsi="Times New Roman" w:cs="Times New Roman"/>
                <w:color w:val="auto"/>
                <w:vertAlign w:val="superscript"/>
              </w:rPr>
              <w:t>2</w:t>
            </w:r>
            <w:r>
              <w:rPr>
                <w:rFonts w:hint="default" w:ascii="Times New Roman" w:hAnsi="Times New Roman" w:cs="Times New Roman"/>
                <w:color w:val="auto"/>
              </w:rPr>
              <w:t>，总投资1420万元，项目建设内容主要为：辅助车间、中试车间、制剂车间、提取车间、综合车间1、综合车间2等。</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福建众安药业有限公司此前于2010年6月编制了《福州阿多拉制药有限公司年产1200万粒安多霖胶囊建设项目环境影响报告书》，并于2010年7月23日获得闽侯县环境保护局批复； 2013年11月闽侯县环境保护局对福州阿多拉制药有限公司年产1200万粒安多霖胶囊建设项目进行环保验收。福建众安药业有限公司于2015年12月编制了《福州阿多拉制药有限公司锅炉更换补充说明报告》，将原环评中的电蒸汽锅炉更换成生物质蒸汽锅炉，并于2015年12月31日取得闽侯县环境保护局的批复意见（侯环保[2015]437号）。项目2016年10月由闽侯县环境保护局对其进行竣工环境保护验收，并获得环境保护局验收批复意见（侯环验[2016]66号）。</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根据“福州市生态环境保护委员会办公室关于印发《2021年福州市提升空气质量行动计划》的通知“（榕环委[2021]23号和“闽侯县人民政府办公室关于印发2021年闽侯县提升空气质量行动计划的通知”（侯政办[2021]77号），为加强锅炉、工业炉窑综合治理，淘汰燃煤燃生物质燃油小锅炉。全面淘汰非专用生物质锅炉与2蒸吨（含）及以下燃煤、燃生物质﹑燃油小锅炉。福建众安药业有限公司为响应相应的环保政策，拟拆除</w:t>
            </w:r>
            <w:r>
              <w:rPr>
                <w:rFonts w:hint="eastAsia" w:cs="Times New Roman"/>
                <w:color w:val="auto"/>
                <w:lang w:val="en-US" w:eastAsia="zh-CN"/>
              </w:rPr>
              <w:t>现</w:t>
            </w:r>
            <w:r>
              <w:rPr>
                <w:rFonts w:hint="default" w:ascii="Times New Roman" w:hAnsi="Times New Roman" w:cs="Times New Roman"/>
                <w:color w:val="auto"/>
              </w:rPr>
              <w:t>有1台WNS2-1.25-Q的生物质蒸汽锅炉，建设1台2t燃气锅炉。</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根据《中华人民共和国环境保护法》、《中华人民共和国环境影响评价法》、《建设项目环境保护管理条例》，本项目需进行环境影响评价工作，再对照《建设项目环境影响评价分类管理名录》，本项目属于“四十一、电力、热力生产和供应业、91热力生产和供应工程（包括建设单位自建自用的供热工程）-燃煤、燃油锅炉总容量65吨/小时（45.5兆瓦）及以下的；天然气锅炉总容量1吨/小时（0.7兆瓦）以上的；使用其他高污染燃料的（高污染燃料指国环规大气〔2017〕2号《高污染燃料目录》中规定的燃料”，应该编制环境影响报告表。为此，福建众安药业有限公司委托我公司承担该项目环境影响报告表的编制工作。我公司技术人员经过现场勘察和工程分析，依据《环境影响评价技术导则》的要求，编制了《福建众安药业有限公司锅炉改建项目环境影响报告表》，对项目产生的污染和对环境的影响进行分析，从环境保护角度评估项目建设的可行性。</w:t>
            </w:r>
          </w:p>
          <w:p>
            <w:pPr>
              <w:pBdr>
                <w:top w:val="none" w:color="auto" w:sz="0" w:space="1"/>
                <w:left w:val="none" w:color="auto" w:sz="0" w:space="4"/>
                <w:bottom w:val="none" w:color="auto" w:sz="0" w:space="1"/>
                <w:right w:val="none" w:color="auto" w:sz="0" w:space="4"/>
              </w:pBdr>
              <w:tabs>
                <w:tab w:val="left" w:pos="0"/>
              </w:tabs>
              <w:ind w:firstLine="0" w:firstLineChars="0"/>
              <w:jc w:val="left"/>
              <w:outlineLvl w:val="2"/>
              <w:rPr>
                <w:rFonts w:hint="default" w:ascii="Times New Roman" w:hAnsi="Times New Roman" w:cs="Times New Roman"/>
                <w:b/>
                <w:color w:val="auto"/>
                <w:sz w:val="30"/>
                <w:szCs w:val="30"/>
              </w:rPr>
            </w:pPr>
            <w:r>
              <w:rPr>
                <w:rFonts w:hint="default" w:ascii="Times New Roman" w:hAnsi="Times New Roman" w:cs="Times New Roman"/>
                <w:b/>
                <w:color w:val="auto"/>
                <w:sz w:val="30"/>
                <w:szCs w:val="30"/>
              </w:rPr>
              <w:t>2.1.2项目主体工程及项目组成</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项目组成一览表见表2.1-1。</w:t>
            </w:r>
          </w:p>
          <w:p>
            <w:pPr>
              <w:pBdr>
                <w:top w:val="none" w:color="auto" w:sz="0" w:space="1"/>
                <w:left w:val="none" w:color="auto" w:sz="0" w:space="4"/>
                <w:bottom w:val="none" w:color="auto" w:sz="0" w:space="1"/>
                <w:right w:val="none" w:color="auto" w:sz="0" w:space="4"/>
              </w:pBdr>
              <w:ind w:firstLine="482"/>
              <w:jc w:val="center"/>
              <w:rPr>
                <w:rFonts w:hint="default" w:ascii="Times New Roman" w:hAnsi="Times New Roman" w:cs="Times New Roman"/>
                <w:b/>
                <w:color w:val="auto"/>
              </w:rPr>
            </w:pPr>
            <w:r>
              <w:rPr>
                <w:rFonts w:hint="default" w:ascii="Times New Roman" w:hAnsi="Times New Roman" w:cs="Times New Roman"/>
                <w:b/>
                <w:color w:val="auto"/>
              </w:rPr>
              <w:t>表2.1-1  建设项目组成一览表</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21"/>
              <w:gridCol w:w="1559"/>
              <w:gridCol w:w="4111"/>
              <w:gridCol w:w="14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2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工程类别</w:t>
                  </w:r>
                </w:p>
              </w:tc>
              <w:tc>
                <w:tcPr>
                  <w:tcW w:w="1559"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工程名称</w:t>
                  </w:r>
                </w:p>
              </w:tc>
              <w:tc>
                <w:tcPr>
                  <w:tcW w:w="411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建设内容</w:t>
                  </w:r>
                </w:p>
              </w:tc>
              <w:tc>
                <w:tcPr>
                  <w:tcW w:w="1488"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2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主体工程</w:t>
                  </w:r>
                </w:p>
              </w:tc>
              <w:tc>
                <w:tcPr>
                  <w:tcW w:w="1559"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锅炉房</w:t>
                  </w:r>
                </w:p>
              </w:tc>
              <w:tc>
                <w:tcPr>
                  <w:tcW w:w="411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锅炉房依托</w:t>
                  </w:r>
                  <w:r>
                    <w:rPr>
                      <w:rFonts w:hint="eastAsia" w:cs="Times New Roman"/>
                      <w:color w:val="auto"/>
                      <w:lang w:val="en-US" w:eastAsia="zh-CN"/>
                    </w:rPr>
                    <w:t>现</w:t>
                  </w:r>
                  <w:r>
                    <w:rPr>
                      <w:rFonts w:hint="default" w:ascii="Times New Roman" w:hAnsi="Times New Roman" w:cs="Times New Roman"/>
                      <w:color w:val="auto"/>
                    </w:rPr>
                    <w:t>有锅炉房占地进行重新建设，不新增用地，拆除</w:t>
                  </w:r>
                  <w:r>
                    <w:rPr>
                      <w:rFonts w:hint="eastAsia" w:cs="Times New Roman"/>
                      <w:color w:val="auto"/>
                      <w:lang w:val="en-US" w:eastAsia="zh-CN"/>
                    </w:rPr>
                    <w:t>现</w:t>
                  </w:r>
                  <w:r>
                    <w:rPr>
                      <w:rFonts w:hint="default" w:ascii="Times New Roman" w:hAnsi="Times New Roman" w:cs="Times New Roman"/>
                      <w:color w:val="auto"/>
                    </w:rPr>
                    <w:t>有1台生物质锅炉，拟建1台2t蒸汽锅炉</w:t>
                  </w:r>
                </w:p>
              </w:tc>
              <w:tc>
                <w:tcPr>
                  <w:tcW w:w="1488" w:type="dxa"/>
                  <w:vAlign w:val="center"/>
                </w:tcPr>
                <w:p>
                  <w:pPr>
                    <w:pStyle w:val="23"/>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21" w:type="dxa"/>
                  <w:vMerge w:val="restar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公用工程</w:t>
                  </w:r>
                </w:p>
              </w:tc>
              <w:tc>
                <w:tcPr>
                  <w:tcW w:w="1559"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给水</w:t>
                  </w:r>
                </w:p>
              </w:tc>
              <w:tc>
                <w:tcPr>
                  <w:tcW w:w="411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依托现有市政供水系统</w:t>
                  </w:r>
                </w:p>
              </w:tc>
              <w:tc>
                <w:tcPr>
                  <w:tcW w:w="1488"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21" w:type="dxa"/>
                  <w:vMerge w:val="continue"/>
                  <w:vAlign w:val="center"/>
                </w:tcPr>
                <w:p>
                  <w:pPr>
                    <w:pStyle w:val="23"/>
                    <w:rPr>
                      <w:rFonts w:hint="default" w:ascii="Times New Roman" w:hAnsi="Times New Roman" w:cs="Times New Roman"/>
                      <w:color w:val="auto"/>
                    </w:rPr>
                  </w:pPr>
                </w:p>
              </w:tc>
              <w:tc>
                <w:tcPr>
                  <w:tcW w:w="1559"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供电</w:t>
                  </w:r>
                </w:p>
              </w:tc>
              <w:tc>
                <w:tcPr>
                  <w:tcW w:w="411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由供电网统一供电</w:t>
                  </w:r>
                </w:p>
              </w:tc>
              <w:tc>
                <w:tcPr>
                  <w:tcW w:w="1488"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21" w:type="dxa"/>
                  <w:vMerge w:val="continue"/>
                  <w:vAlign w:val="center"/>
                </w:tcPr>
                <w:p>
                  <w:pPr>
                    <w:pStyle w:val="23"/>
                    <w:rPr>
                      <w:rFonts w:hint="default" w:ascii="Times New Roman" w:hAnsi="Times New Roman" w:cs="Times New Roman"/>
                      <w:color w:val="auto"/>
                    </w:rPr>
                  </w:pPr>
                </w:p>
              </w:tc>
              <w:tc>
                <w:tcPr>
                  <w:tcW w:w="1559"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供气</w:t>
                  </w:r>
                </w:p>
              </w:tc>
              <w:tc>
                <w:tcPr>
                  <w:tcW w:w="411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锅炉用天然气由园区供气管网进入厂区，厂区不进行储存</w:t>
                  </w:r>
                </w:p>
              </w:tc>
              <w:tc>
                <w:tcPr>
                  <w:tcW w:w="1488"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21" w:type="dxa"/>
                  <w:vMerge w:val="restar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环保工程</w:t>
                  </w:r>
                </w:p>
              </w:tc>
              <w:tc>
                <w:tcPr>
                  <w:tcW w:w="1559"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废气防治</w:t>
                  </w:r>
                </w:p>
              </w:tc>
              <w:tc>
                <w:tcPr>
                  <w:tcW w:w="411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1根高8m烟囱</w:t>
                  </w:r>
                </w:p>
              </w:tc>
              <w:tc>
                <w:tcPr>
                  <w:tcW w:w="1488"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21" w:type="dxa"/>
                  <w:vMerge w:val="continue"/>
                  <w:vAlign w:val="center"/>
                </w:tcPr>
                <w:p>
                  <w:pPr>
                    <w:pStyle w:val="23"/>
                    <w:rPr>
                      <w:rFonts w:hint="default" w:ascii="Times New Roman" w:hAnsi="Times New Roman" w:cs="Times New Roman"/>
                      <w:color w:val="auto"/>
                    </w:rPr>
                  </w:pPr>
                </w:p>
              </w:tc>
              <w:tc>
                <w:tcPr>
                  <w:tcW w:w="1559"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噪声防治</w:t>
                  </w:r>
                </w:p>
              </w:tc>
              <w:tc>
                <w:tcPr>
                  <w:tcW w:w="411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减震降噪措施</w:t>
                  </w:r>
                </w:p>
              </w:tc>
              <w:tc>
                <w:tcPr>
                  <w:tcW w:w="1488"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21" w:type="dxa"/>
                  <w:vMerge w:val="continue"/>
                  <w:vAlign w:val="center"/>
                </w:tcPr>
                <w:p>
                  <w:pPr>
                    <w:pStyle w:val="23"/>
                    <w:rPr>
                      <w:rFonts w:hint="default" w:ascii="Times New Roman" w:hAnsi="Times New Roman" w:cs="Times New Roman"/>
                      <w:color w:val="auto"/>
                    </w:rPr>
                  </w:pPr>
                </w:p>
              </w:tc>
              <w:tc>
                <w:tcPr>
                  <w:tcW w:w="1559"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风险防治</w:t>
                  </w:r>
                </w:p>
              </w:tc>
              <w:tc>
                <w:tcPr>
                  <w:tcW w:w="411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安装可燃气体检测报警器、配置灭火器材、设置电子截断阀</w:t>
                  </w:r>
                </w:p>
              </w:tc>
              <w:tc>
                <w:tcPr>
                  <w:tcW w:w="1488"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新建</w:t>
                  </w:r>
                </w:p>
              </w:tc>
            </w:tr>
          </w:tbl>
          <w:p>
            <w:pPr>
              <w:pStyle w:val="4"/>
              <w:pBdr>
                <w:top w:val="none" w:color="auto" w:sz="0" w:space="1"/>
                <w:left w:val="none" w:color="auto" w:sz="0" w:space="4"/>
                <w:bottom w:val="none" w:color="auto" w:sz="0" w:space="1"/>
                <w:right w:val="none" w:color="auto" w:sz="0" w:space="4"/>
              </w:pBdr>
              <w:rPr>
                <w:rFonts w:hint="default" w:ascii="Times New Roman" w:hAnsi="Times New Roman" w:cs="Times New Roman"/>
                <w:color w:val="auto"/>
              </w:rPr>
            </w:pPr>
            <w:r>
              <w:rPr>
                <w:rFonts w:hint="default" w:ascii="Times New Roman" w:hAnsi="Times New Roman" w:cs="Times New Roman"/>
                <w:color w:val="auto"/>
              </w:rPr>
              <w:t>主要原辅材料及生产设备</w:t>
            </w:r>
          </w:p>
          <w:p>
            <w:pPr>
              <w:ind w:firstLine="480"/>
              <w:rPr>
                <w:rFonts w:hint="default" w:ascii="Times New Roman" w:hAnsi="Times New Roman" w:cs="Times New Roman"/>
                <w:color w:val="auto"/>
              </w:rPr>
            </w:pPr>
            <w:r>
              <w:rPr>
                <w:rFonts w:hint="default" w:ascii="Times New Roman" w:hAnsi="Times New Roman" w:cs="Times New Roman"/>
                <w:color w:val="auto"/>
              </w:rPr>
              <w:t>本项目主要生产设备清单见表2.2-1。</w:t>
            </w:r>
          </w:p>
          <w:p>
            <w:pPr>
              <w:pBdr>
                <w:top w:val="none" w:color="auto" w:sz="0" w:space="1"/>
                <w:left w:val="none" w:color="auto" w:sz="0" w:space="4"/>
                <w:bottom w:val="none" w:color="auto" w:sz="0" w:space="1"/>
                <w:right w:val="none" w:color="auto" w:sz="0" w:space="4"/>
              </w:pBdr>
              <w:ind w:firstLine="482"/>
              <w:jc w:val="center"/>
              <w:rPr>
                <w:rFonts w:hint="default" w:ascii="Times New Roman" w:hAnsi="Times New Roman" w:cs="Times New Roman"/>
                <w:b/>
                <w:color w:val="auto"/>
              </w:rPr>
            </w:pPr>
            <w:r>
              <w:rPr>
                <w:rFonts w:hint="default" w:ascii="Times New Roman" w:hAnsi="Times New Roman" w:cs="Times New Roman"/>
                <w:b/>
                <w:color w:val="auto"/>
              </w:rPr>
              <w:t>表2.2-1  主要设备一览表</w:t>
            </w:r>
          </w:p>
          <w:tbl>
            <w:tblPr>
              <w:tblStyle w:val="15"/>
              <w:tblW w:w="83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7"/>
              <w:gridCol w:w="851"/>
              <w:gridCol w:w="2126"/>
              <w:gridCol w:w="1671"/>
              <w:gridCol w:w="1397"/>
              <w:gridCol w:w="13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37"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项目</w:t>
                  </w:r>
                </w:p>
              </w:tc>
              <w:tc>
                <w:tcPr>
                  <w:tcW w:w="85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序号</w:t>
                  </w:r>
                </w:p>
              </w:tc>
              <w:tc>
                <w:tcPr>
                  <w:tcW w:w="2126"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设备名称</w:t>
                  </w:r>
                </w:p>
              </w:tc>
              <w:tc>
                <w:tcPr>
                  <w:tcW w:w="167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型号</w:t>
                  </w:r>
                </w:p>
              </w:tc>
              <w:tc>
                <w:tcPr>
                  <w:tcW w:w="1397"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数量（台）</w:t>
                  </w:r>
                </w:p>
              </w:tc>
              <w:tc>
                <w:tcPr>
                  <w:tcW w:w="1397"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37" w:type="dxa"/>
                  <w:vMerge w:val="restar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技改前</w:t>
                  </w:r>
                </w:p>
              </w:tc>
              <w:tc>
                <w:tcPr>
                  <w:tcW w:w="85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1</w:t>
                  </w:r>
                </w:p>
              </w:tc>
              <w:tc>
                <w:tcPr>
                  <w:tcW w:w="2126"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生物质锅炉</w:t>
                  </w:r>
                </w:p>
              </w:tc>
              <w:tc>
                <w:tcPr>
                  <w:tcW w:w="167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WNS2-1.25-Q</w:t>
                  </w:r>
                </w:p>
              </w:tc>
              <w:tc>
                <w:tcPr>
                  <w:tcW w:w="1397"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1</w:t>
                  </w:r>
                </w:p>
              </w:tc>
              <w:tc>
                <w:tcPr>
                  <w:tcW w:w="1397"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拆除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37" w:type="dxa"/>
                  <w:vMerge w:val="continue"/>
                  <w:vAlign w:val="center"/>
                </w:tcPr>
                <w:p>
                  <w:pPr>
                    <w:pStyle w:val="23"/>
                    <w:rPr>
                      <w:rFonts w:hint="default" w:ascii="Times New Roman" w:hAnsi="Times New Roman" w:cs="Times New Roman"/>
                      <w:color w:val="auto"/>
                    </w:rPr>
                  </w:pPr>
                </w:p>
              </w:tc>
              <w:tc>
                <w:tcPr>
                  <w:tcW w:w="85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2</w:t>
                  </w:r>
                </w:p>
              </w:tc>
              <w:tc>
                <w:tcPr>
                  <w:tcW w:w="2126"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旋风除尘器+袋式除尘器</w:t>
                  </w:r>
                </w:p>
              </w:tc>
              <w:tc>
                <w:tcPr>
                  <w:tcW w:w="167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w:t>
                  </w:r>
                </w:p>
              </w:tc>
              <w:tc>
                <w:tcPr>
                  <w:tcW w:w="1397"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1</w:t>
                  </w:r>
                </w:p>
              </w:tc>
              <w:tc>
                <w:tcPr>
                  <w:tcW w:w="1397"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拆除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37" w:type="dxa"/>
                  <w:vMerge w:val="restar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技改后</w:t>
                  </w:r>
                </w:p>
              </w:tc>
              <w:tc>
                <w:tcPr>
                  <w:tcW w:w="85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1</w:t>
                  </w:r>
                </w:p>
              </w:tc>
              <w:tc>
                <w:tcPr>
                  <w:tcW w:w="2126"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2t天然气蒸汽锅炉</w:t>
                  </w:r>
                </w:p>
              </w:tc>
              <w:tc>
                <w:tcPr>
                  <w:tcW w:w="167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w:t>
                  </w:r>
                </w:p>
              </w:tc>
              <w:tc>
                <w:tcPr>
                  <w:tcW w:w="1397"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1</w:t>
                  </w:r>
                </w:p>
              </w:tc>
              <w:tc>
                <w:tcPr>
                  <w:tcW w:w="1397"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37" w:type="dxa"/>
                  <w:vMerge w:val="continue"/>
                  <w:vAlign w:val="center"/>
                </w:tcPr>
                <w:p>
                  <w:pPr>
                    <w:pStyle w:val="23"/>
                    <w:rPr>
                      <w:rFonts w:hint="default" w:ascii="Times New Roman" w:hAnsi="Times New Roman" w:cs="Times New Roman"/>
                      <w:color w:val="auto"/>
                    </w:rPr>
                  </w:pPr>
                </w:p>
              </w:tc>
              <w:tc>
                <w:tcPr>
                  <w:tcW w:w="85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2</w:t>
                  </w:r>
                </w:p>
              </w:tc>
              <w:tc>
                <w:tcPr>
                  <w:tcW w:w="2126"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一次仪表阀门</w:t>
                  </w:r>
                </w:p>
              </w:tc>
              <w:tc>
                <w:tcPr>
                  <w:tcW w:w="167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配套</w:t>
                  </w:r>
                </w:p>
              </w:tc>
              <w:tc>
                <w:tcPr>
                  <w:tcW w:w="1397"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1</w:t>
                  </w:r>
                </w:p>
              </w:tc>
              <w:tc>
                <w:tcPr>
                  <w:tcW w:w="1397"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37" w:type="dxa"/>
                  <w:vMerge w:val="continue"/>
                  <w:vAlign w:val="center"/>
                </w:tcPr>
                <w:p>
                  <w:pPr>
                    <w:pStyle w:val="23"/>
                    <w:rPr>
                      <w:rFonts w:hint="default" w:ascii="Times New Roman" w:hAnsi="Times New Roman" w:cs="Times New Roman"/>
                      <w:color w:val="auto"/>
                    </w:rPr>
                  </w:pPr>
                </w:p>
              </w:tc>
              <w:tc>
                <w:tcPr>
                  <w:tcW w:w="85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3</w:t>
                  </w:r>
                </w:p>
              </w:tc>
              <w:tc>
                <w:tcPr>
                  <w:tcW w:w="2126"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电动给水泵</w:t>
                  </w:r>
                </w:p>
              </w:tc>
              <w:tc>
                <w:tcPr>
                  <w:tcW w:w="167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配套</w:t>
                  </w:r>
                </w:p>
              </w:tc>
              <w:tc>
                <w:tcPr>
                  <w:tcW w:w="1397"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1</w:t>
                  </w:r>
                </w:p>
              </w:tc>
              <w:tc>
                <w:tcPr>
                  <w:tcW w:w="1397"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37" w:type="dxa"/>
                  <w:vMerge w:val="continue"/>
                  <w:vAlign w:val="center"/>
                </w:tcPr>
                <w:p>
                  <w:pPr>
                    <w:pStyle w:val="23"/>
                    <w:rPr>
                      <w:rFonts w:hint="default" w:ascii="Times New Roman" w:hAnsi="Times New Roman" w:cs="Times New Roman"/>
                      <w:color w:val="auto"/>
                    </w:rPr>
                  </w:pPr>
                </w:p>
              </w:tc>
              <w:tc>
                <w:tcPr>
                  <w:tcW w:w="85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4</w:t>
                  </w:r>
                </w:p>
              </w:tc>
              <w:tc>
                <w:tcPr>
                  <w:tcW w:w="2126"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水箱</w:t>
                  </w:r>
                </w:p>
              </w:tc>
              <w:tc>
                <w:tcPr>
                  <w:tcW w:w="167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不锈钢</w:t>
                  </w:r>
                </w:p>
              </w:tc>
              <w:tc>
                <w:tcPr>
                  <w:tcW w:w="1397"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1</w:t>
                  </w:r>
                </w:p>
              </w:tc>
              <w:tc>
                <w:tcPr>
                  <w:tcW w:w="1397"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新建</w:t>
                  </w:r>
                </w:p>
              </w:tc>
            </w:tr>
          </w:tbl>
          <w:p>
            <w:pPr>
              <w:pBdr>
                <w:top w:val="none" w:color="auto" w:sz="0" w:space="1"/>
                <w:left w:val="none" w:color="auto" w:sz="0" w:space="4"/>
                <w:bottom w:val="none" w:color="auto" w:sz="0" w:space="1"/>
                <w:right w:val="none" w:color="auto" w:sz="0" w:space="4"/>
              </w:pBdr>
              <w:ind w:firstLine="482"/>
              <w:jc w:val="center"/>
              <w:rPr>
                <w:rFonts w:hint="default" w:ascii="Times New Roman" w:hAnsi="Times New Roman" w:cs="Times New Roman"/>
                <w:b/>
                <w:color w:val="auto"/>
              </w:rPr>
            </w:pPr>
            <w:r>
              <w:rPr>
                <w:rFonts w:hint="default" w:ascii="Times New Roman" w:hAnsi="Times New Roman" w:cs="Times New Roman"/>
                <w:b/>
                <w:color w:val="auto"/>
              </w:rPr>
              <w:t>表2.2-2  主要原辅材料一览表</w:t>
            </w:r>
          </w:p>
          <w:tbl>
            <w:tblPr>
              <w:tblStyle w:val="1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78"/>
              <w:gridCol w:w="2081"/>
              <w:gridCol w:w="2081"/>
              <w:gridCol w:w="20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9"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类别</w:t>
                  </w:r>
                </w:p>
              </w:tc>
              <w:tc>
                <w:tcPr>
                  <w:tcW w:w="1250"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名称</w:t>
                  </w:r>
                </w:p>
              </w:tc>
              <w:tc>
                <w:tcPr>
                  <w:tcW w:w="1250"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单位</w:t>
                  </w:r>
                </w:p>
              </w:tc>
              <w:tc>
                <w:tcPr>
                  <w:tcW w:w="1250"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用量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9" w:type="pct"/>
                  <w:vMerge w:val="restar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能源消耗</w:t>
                  </w:r>
                </w:p>
              </w:tc>
              <w:tc>
                <w:tcPr>
                  <w:tcW w:w="1250"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水</w:t>
                  </w:r>
                </w:p>
              </w:tc>
              <w:tc>
                <w:tcPr>
                  <w:tcW w:w="1250"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t/a</w:t>
                  </w:r>
                </w:p>
              </w:tc>
              <w:tc>
                <w:tcPr>
                  <w:tcW w:w="1250"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3744t/a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9" w:type="pct"/>
                  <w:vMerge w:val="continue"/>
                  <w:vAlign w:val="center"/>
                </w:tcPr>
                <w:p>
                  <w:pPr>
                    <w:pStyle w:val="23"/>
                    <w:rPr>
                      <w:rFonts w:hint="default" w:ascii="Times New Roman" w:hAnsi="Times New Roman" w:cs="Times New Roman"/>
                      <w:color w:val="auto"/>
                    </w:rPr>
                  </w:pPr>
                </w:p>
              </w:tc>
              <w:tc>
                <w:tcPr>
                  <w:tcW w:w="1250"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天然气</w:t>
                  </w:r>
                </w:p>
              </w:tc>
              <w:tc>
                <w:tcPr>
                  <w:tcW w:w="1250"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万m</w:t>
                  </w:r>
                  <w:r>
                    <w:rPr>
                      <w:rFonts w:hint="default" w:ascii="Times New Roman" w:hAnsi="Times New Roman" w:cs="Times New Roman"/>
                      <w:color w:val="auto"/>
                      <w:vertAlign w:val="superscript"/>
                    </w:rPr>
                    <w:t>3</w:t>
                  </w:r>
                </w:p>
              </w:tc>
              <w:tc>
                <w:tcPr>
                  <w:tcW w:w="1250"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15.6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9" w:type="pct"/>
                  <w:vMerge w:val="continue"/>
                  <w:vAlign w:val="center"/>
                </w:tcPr>
                <w:p>
                  <w:pPr>
                    <w:pStyle w:val="23"/>
                    <w:rPr>
                      <w:rFonts w:hint="default" w:ascii="Times New Roman" w:hAnsi="Times New Roman" w:cs="Times New Roman"/>
                      <w:color w:val="auto"/>
                    </w:rPr>
                  </w:pPr>
                </w:p>
              </w:tc>
              <w:tc>
                <w:tcPr>
                  <w:tcW w:w="1250"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电</w:t>
                  </w:r>
                </w:p>
              </w:tc>
              <w:tc>
                <w:tcPr>
                  <w:tcW w:w="1250"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Kwh/a</w:t>
                  </w:r>
                </w:p>
              </w:tc>
              <w:tc>
                <w:tcPr>
                  <w:tcW w:w="1250"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5000</w:t>
                  </w:r>
                </w:p>
              </w:tc>
            </w:tr>
          </w:tbl>
          <w:p>
            <w:pPr>
              <w:pStyle w:val="4"/>
              <w:pBdr>
                <w:top w:val="none" w:color="auto" w:sz="0" w:space="1"/>
                <w:left w:val="none" w:color="auto" w:sz="0" w:space="4"/>
                <w:bottom w:val="none" w:color="auto" w:sz="0" w:space="1"/>
                <w:right w:val="none" w:color="auto" w:sz="0" w:space="4"/>
              </w:pBdr>
              <w:rPr>
                <w:rFonts w:hint="default" w:ascii="Times New Roman" w:hAnsi="Times New Roman" w:cs="Times New Roman"/>
                <w:color w:val="auto"/>
              </w:rPr>
            </w:pPr>
            <w:r>
              <w:rPr>
                <w:rFonts w:hint="default" w:ascii="Times New Roman" w:hAnsi="Times New Roman" w:cs="Times New Roman"/>
                <w:color w:val="auto"/>
              </w:rPr>
              <w:t>配套工程</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（1）供电</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项目供电由市政统一供电，依托厂区现有。</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（2）给水</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本项目生产用水依托企业现有的市政供水管网。本项目新鲜水用水为锅炉用水，根据建设单位提供资料，锅炉新鲜水用量为13t/d（3120t/a），每天补充耗水量约为2.6t，则年补充水量为624t。</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本项目不新增员工，依托厂区现有员工，因此无新增生活用水。</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（3）排水</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本项目运营期不新增员工，无废水产生。</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（4）供气</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本项目锅炉燃料为天然气，由园区供气管网接入。</w:t>
            </w:r>
          </w:p>
          <w:p>
            <w:pPr>
              <w:pStyle w:val="4"/>
              <w:pBdr>
                <w:top w:val="none" w:color="auto" w:sz="0" w:space="1"/>
                <w:left w:val="none" w:color="auto" w:sz="0" w:space="4"/>
                <w:bottom w:val="none" w:color="auto" w:sz="0" w:space="1"/>
                <w:right w:val="none" w:color="auto" w:sz="0" w:space="4"/>
              </w:pBdr>
              <w:rPr>
                <w:rFonts w:hint="default" w:ascii="Times New Roman" w:hAnsi="Times New Roman" w:cs="Times New Roman"/>
                <w:color w:val="auto"/>
              </w:rPr>
            </w:pPr>
            <w:r>
              <w:rPr>
                <w:rFonts w:hint="default" w:ascii="Times New Roman" w:hAnsi="Times New Roman" w:cs="Times New Roman"/>
                <w:color w:val="auto"/>
              </w:rPr>
              <w:t>厂区平面布置</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本项目位于闽侯经济技术开发区南中路9号福建众安药业有限公司已有锅炉房内，总体布局按照因地制宜，厂区主要设有辅助车间、中试车间、制剂车间、提取车间、综合车间1、综合车间2等</w:t>
            </w:r>
            <w:r>
              <w:rPr>
                <w:rFonts w:hint="eastAsia" w:cs="Times New Roman"/>
                <w:color w:val="auto"/>
                <w:lang w:eastAsia="zh-CN"/>
              </w:rPr>
              <w:t>，</w:t>
            </w:r>
            <w:r>
              <w:rPr>
                <w:rFonts w:hint="default" w:ascii="Times New Roman" w:hAnsi="Times New Roman" w:cs="Times New Roman"/>
                <w:color w:val="auto"/>
              </w:rPr>
              <w:t>锅炉房位于厂区的东侧，各区域之间均保持相对独立性，相互之间有道路联通。</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108" w:type="dxa"/>
            <w:bottom w:w="57" w:type="dxa"/>
            <w:right w:w="108" w:type="dxa"/>
          </w:tblCellMar>
        </w:tblPrEx>
        <w:trPr>
          <w:trHeight w:val="2260" w:hRule="atLeast"/>
          <w:jc w:val="center"/>
        </w:trPr>
        <w:tc>
          <w:tcPr>
            <w:tcW w:w="841" w:type="dxa"/>
            <w:vAlign w:val="center"/>
          </w:tcPr>
          <w:p>
            <w:pPr>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工艺流程和产排污环节</w:t>
            </w:r>
          </w:p>
        </w:tc>
        <w:tc>
          <w:tcPr>
            <w:tcW w:w="8547" w:type="dxa"/>
          </w:tcPr>
          <w:p>
            <w:pPr>
              <w:pStyle w:val="4"/>
              <w:rPr>
                <w:rFonts w:hint="default" w:ascii="Times New Roman" w:hAnsi="Times New Roman" w:cs="Times New Roman"/>
                <w:color w:val="auto"/>
              </w:rPr>
            </w:pPr>
            <w:bookmarkStart w:id="19" w:name="_Toc5785"/>
            <w:r>
              <w:rPr>
                <w:rFonts w:hint="default" w:ascii="Times New Roman" w:hAnsi="Times New Roman" w:cs="Times New Roman"/>
                <w:color w:val="auto"/>
              </w:rPr>
              <w:t>主要工艺环节</w:t>
            </w:r>
            <w:bookmarkEnd w:id="19"/>
          </w:p>
          <w:p>
            <w:pPr>
              <w:ind w:firstLine="480"/>
              <w:rPr>
                <w:rFonts w:hint="default" w:ascii="Times New Roman" w:hAnsi="Times New Roman" w:cs="Times New Roman"/>
                <w:color w:val="auto"/>
              </w:rPr>
            </w:pPr>
            <w:r>
              <w:rPr>
                <w:rFonts w:hint="default" w:ascii="Times New Roman" w:hAnsi="Times New Roman" w:cs="Times New Roman"/>
                <w:color w:val="auto"/>
              </w:rPr>
              <w:t>（1）工艺流程说明：</w:t>
            </w:r>
          </w:p>
          <w:p>
            <w:pPr>
              <w:pBdr>
                <w:top w:val="none" w:color="auto" w:sz="0" w:space="1"/>
                <w:left w:val="none" w:color="auto" w:sz="0" w:space="4"/>
                <w:bottom w:val="none" w:color="auto" w:sz="0" w:space="1"/>
                <w:right w:val="none" w:color="auto" w:sz="0" w:space="4"/>
              </w:pBdr>
              <w:ind w:firstLine="0" w:firstLineChars="0"/>
              <w:jc w:val="center"/>
              <w:rPr>
                <w:rFonts w:hint="default" w:ascii="Times New Roman" w:hAnsi="Times New Roman" w:cs="Times New Roman"/>
                <w:b/>
                <w:color w:val="auto"/>
              </w:rPr>
            </w:pPr>
            <w:r>
              <w:rPr>
                <w:rFonts w:hint="default" w:ascii="Times New Roman" w:hAnsi="Times New Roman" w:cs="Times New Roman"/>
                <w:color w:val="auto"/>
              </w:rPr>
              <w:drawing>
                <wp:inline distT="0" distB="0" distL="114300" distR="114300">
                  <wp:extent cx="3007360" cy="1343025"/>
                  <wp:effectExtent l="0" t="0" r="2540" b="9525"/>
                  <wp:docPr id="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5"/>
                          <pic:cNvPicPr>
                            <a:picLocks noChangeAspect="1"/>
                          </pic:cNvPicPr>
                        </pic:nvPicPr>
                        <pic:blipFill>
                          <a:blip r:embed="rId18"/>
                          <a:stretch>
                            <a:fillRect/>
                          </a:stretch>
                        </pic:blipFill>
                        <pic:spPr>
                          <a:xfrm>
                            <a:off x="0" y="0"/>
                            <a:ext cx="3007360" cy="1343025"/>
                          </a:xfrm>
                          <a:prstGeom prst="rect">
                            <a:avLst/>
                          </a:prstGeom>
                          <a:noFill/>
                          <a:ln>
                            <a:noFill/>
                          </a:ln>
                        </pic:spPr>
                      </pic:pic>
                    </a:graphicData>
                  </a:graphic>
                </wp:inline>
              </w:drawing>
            </w:r>
          </w:p>
          <w:p>
            <w:pPr>
              <w:ind w:firstLine="482"/>
              <w:jc w:val="center"/>
              <w:rPr>
                <w:rFonts w:hint="default" w:ascii="Times New Roman" w:hAnsi="Times New Roman" w:cs="Times New Roman"/>
                <w:b/>
                <w:color w:val="auto"/>
              </w:rPr>
            </w:pPr>
            <w:r>
              <w:rPr>
                <w:rFonts w:hint="default" w:ascii="Times New Roman" w:hAnsi="Times New Roman" w:cs="Times New Roman"/>
                <w:b/>
                <w:color w:val="auto"/>
              </w:rPr>
              <w:t>图2.5-1  运营期燃气锅炉工艺流程图</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本项目燃气热水锅炉使用天然气为燃料，天然气通过输送管道输送至锅炉房内，计量后的天然气经燃烧器燃烧放热，加热锅炉本体内的水，产生的蒸汽为企业生产使用。此工序产生的污染物主要为天然气燃烧产生的烟尘、SO</w:t>
            </w:r>
            <w:r>
              <w:rPr>
                <w:rFonts w:hint="default" w:ascii="Times New Roman" w:hAnsi="Times New Roman" w:cs="Times New Roman"/>
                <w:color w:val="auto"/>
                <w:vertAlign w:val="subscript"/>
              </w:rPr>
              <w:t>2</w:t>
            </w:r>
            <w:r>
              <w:rPr>
                <w:rFonts w:hint="default" w:ascii="Times New Roman" w:hAnsi="Times New Roman" w:cs="Times New Roman"/>
                <w:color w:val="auto"/>
              </w:rPr>
              <w:t>、NO</w:t>
            </w:r>
            <w:r>
              <w:rPr>
                <w:rFonts w:hint="default" w:ascii="Times New Roman" w:hAnsi="Times New Roman" w:cs="Times New Roman"/>
                <w:color w:val="auto"/>
                <w:vertAlign w:val="subscript"/>
              </w:rPr>
              <w:t>X</w:t>
            </w:r>
            <w:r>
              <w:rPr>
                <w:rFonts w:hint="default" w:ascii="Times New Roman" w:hAnsi="Times New Roman" w:cs="Times New Roman"/>
                <w:color w:val="auto"/>
              </w:rPr>
              <w:t>。</w:t>
            </w:r>
          </w:p>
          <w:p>
            <w:pPr>
              <w:ind w:firstLine="480"/>
              <w:rPr>
                <w:rFonts w:hint="default" w:ascii="Times New Roman" w:hAnsi="Times New Roman" w:cs="Times New Roman"/>
                <w:color w:val="auto"/>
              </w:rPr>
            </w:pPr>
            <w:r>
              <w:rPr>
                <w:rFonts w:hint="default" w:ascii="Times New Roman" w:hAnsi="Times New Roman" w:cs="Times New Roman"/>
                <w:color w:val="auto"/>
              </w:rPr>
              <w:t>（2）产污环节</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本项目产排污情况见下表：</w:t>
            </w:r>
          </w:p>
          <w:p>
            <w:pPr>
              <w:pBdr>
                <w:top w:val="none" w:color="auto" w:sz="0" w:space="1"/>
                <w:left w:val="none" w:color="auto" w:sz="0" w:space="4"/>
                <w:bottom w:val="none" w:color="auto" w:sz="0" w:space="1"/>
                <w:right w:val="none" w:color="auto" w:sz="0" w:space="4"/>
              </w:pBdr>
              <w:ind w:firstLine="482"/>
              <w:jc w:val="center"/>
              <w:rPr>
                <w:rFonts w:hint="default" w:ascii="Times New Roman" w:hAnsi="Times New Roman" w:cs="Times New Roman"/>
                <w:b/>
                <w:color w:val="auto"/>
              </w:rPr>
            </w:pPr>
            <w:r>
              <w:rPr>
                <w:rFonts w:hint="default" w:ascii="Times New Roman" w:hAnsi="Times New Roman" w:cs="Times New Roman"/>
                <w:b/>
                <w:color w:val="auto"/>
              </w:rPr>
              <w:t>表2.5-1  项目主要产污环节表</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9"/>
              <w:gridCol w:w="851"/>
              <w:gridCol w:w="1842"/>
              <w:gridCol w:w="2410"/>
              <w:gridCol w:w="23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730" w:type="dxa"/>
                  <w:gridSpan w:val="2"/>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时段</w:t>
                  </w:r>
                </w:p>
              </w:tc>
              <w:tc>
                <w:tcPr>
                  <w:tcW w:w="1842"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污染产污节点</w:t>
                  </w:r>
                </w:p>
              </w:tc>
              <w:tc>
                <w:tcPr>
                  <w:tcW w:w="2410"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污染因子</w:t>
                  </w:r>
                </w:p>
              </w:tc>
              <w:tc>
                <w:tcPr>
                  <w:tcW w:w="2339"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排放方式及排放去向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879" w:type="dxa"/>
                  <w:vMerge w:val="restar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运营期</w:t>
                  </w:r>
                </w:p>
              </w:tc>
              <w:tc>
                <w:tcPr>
                  <w:tcW w:w="85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废气</w:t>
                  </w:r>
                </w:p>
              </w:tc>
              <w:tc>
                <w:tcPr>
                  <w:tcW w:w="1842"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燃气锅炉</w:t>
                  </w:r>
                </w:p>
              </w:tc>
              <w:tc>
                <w:tcPr>
                  <w:tcW w:w="2410"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颗粒物、SO</w:t>
                  </w:r>
                  <w:r>
                    <w:rPr>
                      <w:rFonts w:hint="default" w:ascii="Times New Roman" w:hAnsi="Times New Roman" w:cs="Times New Roman"/>
                      <w:color w:val="auto"/>
                      <w:vertAlign w:val="subscript"/>
                    </w:rPr>
                    <w:t>2</w:t>
                  </w:r>
                  <w:r>
                    <w:rPr>
                      <w:rFonts w:hint="default" w:ascii="Times New Roman" w:hAnsi="Times New Roman" w:cs="Times New Roman"/>
                      <w:color w:val="auto"/>
                    </w:rPr>
                    <w:t>、NO</w:t>
                  </w:r>
                  <w:r>
                    <w:rPr>
                      <w:rFonts w:hint="default" w:ascii="Times New Roman" w:hAnsi="Times New Roman" w:cs="Times New Roman"/>
                      <w:color w:val="auto"/>
                      <w:vertAlign w:val="subscript"/>
                    </w:rPr>
                    <w:t>X</w:t>
                  </w:r>
                </w:p>
              </w:tc>
              <w:tc>
                <w:tcPr>
                  <w:tcW w:w="2339"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通过锅炉房8m高排气筒排放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9" w:type="dxa"/>
                  <w:vMerge w:val="continue"/>
                  <w:vAlign w:val="center"/>
                </w:tcPr>
                <w:p>
                  <w:pPr>
                    <w:pStyle w:val="23"/>
                    <w:rPr>
                      <w:rFonts w:hint="default" w:ascii="Times New Roman" w:hAnsi="Times New Roman" w:cs="Times New Roman"/>
                      <w:color w:val="auto"/>
                    </w:rPr>
                  </w:pPr>
                </w:p>
              </w:tc>
              <w:tc>
                <w:tcPr>
                  <w:tcW w:w="85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噪声</w:t>
                  </w:r>
                </w:p>
              </w:tc>
              <w:tc>
                <w:tcPr>
                  <w:tcW w:w="1842"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锅炉、水泵</w:t>
                  </w:r>
                </w:p>
              </w:tc>
              <w:tc>
                <w:tcPr>
                  <w:tcW w:w="2410"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噪声</w:t>
                  </w:r>
                </w:p>
              </w:tc>
              <w:tc>
                <w:tcPr>
                  <w:tcW w:w="2339"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基础减震、隔声处理</w:t>
                  </w:r>
                </w:p>
              </w:tc>
            </w:tr>
          </w:tbl>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57" w:type="dxa"/>
            <w:left w:w="108" w:type="dxa"/>
            <w:bottom w:w="57" w:type="dxa"/>
            <w:right w:w="108" w:type="dxa"/>
          </w:tblCellMar>
        </w:tblPrEx>
        <w:trPr>
          <w:trHeight w:val="2260" w:hRule="atLeast"/>
          <w:jc w:val="center"/>
        </w:trPr>
        <w:tc>
          <w:tcPr>
            <w:tcW w:w="841" w:type="dxa"/>
            <w:vAlign w:val="center"/>
          </w:tcPr>
          <w:p>
            <w:pPr>
              <w:ind w:firstLine="0" w:firstLineChars="0"/>
              <w:jc w:val="center"/>
              <w:rPr>
                <w:rFonts w:hint="default" w:ascii="Times New Roman" w:hAnsi="Times New Roman" w:cs="Times New Roman"/>
                <w:color w:val="auto"/>
              </w:rPr>
            </w:pPr>
            <w:bookmarkStart w:id="20" w:name="_Toc4920"/>
            <w:r>
              <w:rPr>
                <w:rFonts w:hint="default" w:ascii="Times New Roman" w:hAnsi="Times New Roman" w:cs="Times New Roman"/>
                <w:b w:val="0"/>
                <w:bCs/>
                <w:color w:val="auto"/>
                <w:sz w:val="24"/>
              </w:rPr>
              <w:t>与项目有关的原有环境污染问题</w:t>
            </w:r>
          </w:p>
        </w:tc>
        <w:tc>
          <w:tcPr>
            <w:tcW w:w="8547" w:type="dxa"/>
          </w:tcPr>
          <w:p>
            <w:pPr>
              <w:pStyle w:val="4"/>
              <w:rPr>
                <w:rFonts w:hint="default" w:ascii="Times New Roman" w:hAnsi="Times New Roman" w:cs="Times New Roman"/>
                <w:color w:val="auto"/>
              </w:rPr>
            </w:pPr>
            <w:bookmarkStart w:id="21" w:name="_Toc3910"/>
            <w:r>
              <w:rPr>
                <w:rFonts w:hint="default" w:ascii="Times New Roman" w:hAnsi="Times New Roman" w:cs="Times New Roman"/>
                <w:color w:val="auto"/>
              </w:rPr>
              <w:t>现有项目回顾</w:t>
            </w:r>
            <w:bookmarkEnd w:id="21"/>
          </w:p>
          <w:p>
            <w:pPr>
              <w:ind w:firstLine="480"/>
              <w:rPr>
                <w:rFonts w:hint="default" w:ascii="Times New Roman" w:hAnsi="Times New Roman" w:cs="Times New Roman"/>
                <w:color w:val="auto"/>
              </w:rPr>
            </w:pPr>
            <w:r>
              <w:rPr>
                <w:rFonts w:hint="default" w:ascii="Times New Roman" w:hAnsi="Times New Roman" w:cs="Times New Roman"/>
                <w:color w:val="auto"/>
              </w:rPr>
              <w:t>本项目为改建项目，拟拆除</w:t>
            </w:r>
            <w:r>
              <w:rPr>
                <w:rFonts w:hint="eastAsia" w:cs="Times New Roman"/>
                <w:color w:val="auto"/>
                <w:lang w:val="en-US" w:eastAsia="zh-CN"/>
              </w:rPr>
              <w:t>现</w:t>
            </w:r>
            <w:r>
              <w:rPr>
                <w:rFonts w:hint="default" w:ascii="Times New Roman" w:hAnsi="Times New Roman" w:cs="Times New Roman"/>
                <w:color w:val="auto"/>
              </w:rPr>
              <w:t>有1台生物质锅炉，建设1台2t燃气锅炉用于生产使用。</w:t>
            </w:r>
          </w:p>
          <w:p>
            <w:pPr>
              <w:pBdr>
                <w:top w:val="none" w:color="auto" w:sz="0" w:space="1"/>
                <w:left w:val="none" w:color="auto" w:sz="0" w:space="4"/>
                <w:bottom w:val="none" w:color="auto" w:sz="0" w:space="1"/>
                <w:right w:val="none" w:color="auto" w:sz="0" w:space="4"/>
              </w:pBdr>
              <w:ind w:firstLine="0" w:firstLineChars="0"/>
              <w:outlineLvl w:val="2"/>
              <w:rPr>
                <w:rFonts w:hint="default" w:ascii="Times New Roman" w:hAnsi="Times New Roman" w:cs="Times New Roman"/>
                <w:b/>
                <w:color w:val="auto"/>
                <w:sz w:val="30"/>
                <w:szCs w:val="30"/>
              </w:rPr>
            </w:pPr>
            <w:r>
              <w:rPr>
                <w:rFonts w:hint="default" w:ascii="Times New Roman" w:hAnsi="Times New Roman" w:cs="Times New Roman"/>
                <w:b/>
                <w:color w:val="auto"/>
                <w:sz w:val="30"/>
                <w:szCs w:val="30"/>
              </w:rPr>
              <w:t>2.6.1现有工程概况</w:t>
            </w:r>
          </w:p>
          <w:p>
            <w:pPr>
              <w:ind w:firstLine="480"/>
              <w:rPr>
                <w:rFonts w:hint="default" w:ascii="Times New Roman" w:hAnsi="Times New Roman" w:cs="Times New Roman"/>
                <w:color w:val="auto"/>
              </w:rPr>
            </w:pPr>
            <w:r>
              <w:rPr>
                <w:rFonts w:hint="default" w:ascii="Times New Roman" w:hAnsi="Times New Roman" w:cs="Times New Roman"/>
                <w:color w:val="auto"/>
              </w:rPr>
              <w:t>福建众安药业有限公司（原名：福州阿多拉制药有限公司，更名备案批复详见附件</w:t>
            </w:r>
            <w:r>
              <w:rPr>
                <w:rFonts w:hint="eastAsia" w:cs="Times New Roman"/>
                <w:color w:val="auto"/>
                <w:lang w:val="en-US" w:eastAsia="zh-CN"/>
              </w:rPr>
              <w:t>4</w:t>
            </w:r>
            <w:r>
              <w:rPr>
                <w:rFonts w:hint="default" w:ascii="Times New Roman" w:hAnsi="Times New Roman" w:cs="Times New Roman"/>
                <w:color w:val="auto"/>
              </w:rPr>
              <w:t>）成立于1994年，主要进行医药研发和咨询，于2010年选址于闽侯县铁岭工业集中区二期地块从事安多霖胶囊的生产销售。厂区占地面积17680.07m</w:t>
            </w:r>
            <w:r>
              <w:rPr>
                <w:rFonts w:hint="default" w:ascii="Times New Roman" w:hAnsi="Times New Roman" w:cs="Times New Roman"/>
                <w:color w:val="auto"/>
                <w:vertAlign w:val="superscript"/>
              </w:rPr>
              <w:t>2</w:t>
            </w:r>
            <w:r>
              <w:rPr>
                <w:rFonts w:hint="default" w:ascii="Times New Roman" w:hAnsi="Times New Roman" w:cs="Times New Roman"/>
                <w:color w:val="auto"/>
              </w:rPr>
              <w:t>，总投资1420万元，项目建设内容主要为：辅助车间、中试车间、制剂车间、提取车间、综合车间1、综合车间2等。</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福建众安药业有限公司此前于2010年6月编制了《福州阿多拉制药有限公司年产1200万粒安多霖胶囊建设项目环境影响报告书》，并于2010年7月23日获得闽侯县环境保护局批复； 2013年11月闽侯县环境保护局对福州阿多拉制药有限公司年产1200万粒安多霖胶囊建设项目进行环保验收。福建众安药业有限公司于2015年12月编制了《福州阿多拉制药有限公司锅炉更换补充说明报告》，将原环评中的电蒸汽锅炉更换成生物质蒸汽锅炉，并于2015年12月31日取得闽侯县环境保护局的批复意见（侯环保2015）437号）。项目2016年10月由闽侯县环境保护局对其进行竣工环境保护验收，并获得环境保护局验收批复意见（侯环验[2016]66号。</w:t>
            </w:r>
          </w:p>
          <w:p>
            <w:pPr>
              <w:pBdr>
                <w:top w:val="none" w:color="auto" w:sz="0" w:space="1"/>
                <w:left w:val="none" w:color="auto" w:sz="0" w:space="4"/>
                <w:bottom w:val="none" w:color="auto" w:sz="0" w:space="1"/>
                <w:right w:val="none" w:color="auto" w:sz="0" w:space="4"/>
              </w:pBdr>
              <w:ind w:firstLine="482"/>
              <w:jc w:val="center"/>
              <w:rPr>
                <w:rFonts w:hint="default" w:ascii="Times New Roman" w:hAnsi="Times New Roman" w:cs="Times New Roman"/>
                <w:b/>
                <w:color w:val="auto"/>
              </w:rPr>
            </w:pPr>
            <w:r>
              <w:rPr>
                <w:rFonts w:hint="default" w:ascii="Times New Roman" w:hAnsi="Times New Roman" w:cs="Times New Roman"/>
                <w:b/>
                <w:color w:val="auto"/>
              </w:rPr>
              <w:t>表2.6-1  现有工程环保手续情况</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80"/>
              <w:gridCol w:w="2080"/>
              <w:gridCol w:w="2080"/>
              <w:gridCol w:w="20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80"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建设内容</w:t>
                  </w:r>
                </w:p>
              </w:tc>
              <w:tc>
                <w:tcPr>
                  <w:tcW w:w="2080"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环评名称</w:t>
                  </w:r>
                </w:p>
              </w:tc>
              <w:tc>
                <w:tcPr>
                  <w:tcW w:w="2080"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批复文号</w:t>
                  </w:r>
                </w:p>
              </w:tc>
              <w:tc>
                <w:tcPr>
                  <w:tcW w:w="208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验收情况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80"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年产1200万粒安多霖胶囊建设项目</w:t>
                  </w:r>
                </w:p>
              </w:tc>
              <w:tc>
                <w:tcPr>
                  <w:tcW w:w="2080"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《福州阿多拉制药有限公司年产1200万粒安多霖胶囊建设项目环境影响报告书》</w:t>
                  </w:r>
                </w:p>
              </w:tc>
              <w:tc>
                <w:tcPr>
                  <w:tcW w:w="2080"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侯环保[2010]138号</w:t>
                  </w:r>
                </w:p>
              </w:tc>
              <w:tc>
                <w:tcPr>
                  <w:tcW w:w="208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已验收，侯环验[2016]66号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080"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锅炉更换</w:t>
                  </w:r>
                </w:p>
              </w:tc>
              <w:tc>
                <w:tcPr>
                  <w:tcW w:w="2080"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《福州阿多拉制药有限公司锅炉更换补充说明报告》</w:t>
                  </w:r>
                </w:p>
              </w:tc>
              <w:tc>
                <w:tcPr>
                  <w:tcW w:w="2080"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侯环保[2015]437号</w:t>
                  </w:r>
                </w:p>
              </w:tc>
              <w:tc>
                <w:tcPr>
                  <w:tcW w:w="208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已验收</w:t>
                  </w:r>
                </w:p>
              </w:tc>
            </w:tr>
          </w:tbl>
          <w:p>
            <w:pPr>
              <w:pStyle w:val="4"/>
              <w:rPr>
                <w:rFonts w:hint="default" w:ascii="Times New Roman" w:hAnsi="Times New Roman" w:cs="Times New Roman"/>
                <w:color w:val="auto"/>
              </w:rPr>
            </w:pPr>
            <w:bookmarkStart w:id="22" w:name="_Toc11054"/>
            <w:r>
              <w:rPr>
                <w:rFonts w:hint="default" w:ascii="Times New Roman" w:hAnsi="Times New Roman" w:cs="Times New Roman"/>
                <w:color w:val="auto"/>
              </w:rPr>
              <w:t>现有项目</w:t>
            </w:r>
            <w:bookmarkEnd w:id="22"/>
            <w:r>
              <w:rPr>
                <w:rFonts w:hint="default" w:ascii="Times New Roman" w:hAnsi="Times New Roman" w:cs="Times New Roman"/>
                <w:color w:val="auto"/>
              </w:rPr>
              <w:t>污染物产生及排放情况</w:t>
            </w:r>
          </w:p>
          <w:p>
            <w:pPr>
              <w:pStyle w:val="10"/>
              <w:ind w:firstLine="480"/>
              <w:rPr>
                <w:rFonts w:hint="default" w:ascii="Times New Roman" w:hAnsi="Times New Roman" w:cs="Times New Roman"/>
                <w:color w:val="auto"/>
              </w:rPr>
            </w:pPr>
            <w:r>
              <w:rPr>
                <w:rFonts w:hint="default" w:ascii="Times New Roman" w:hAnsi="Times New Roman" w:cs="Times New Roman"/>
                <w:color w:val="auto"/>
              </w:rPr>
              <w:t>根据项目环境保护竣工验收报告</w:t>
            </w:r>
            <w:r>
              <w:rPr>
                <w:rFonts w:hint="eastAsia" w:cs="Times New Roman"/>
                <w:color w:val="auto"/>
                <w:lang w:eastAsia="zh-CN"/>
              </w:rPr>
              <w:t>（</w:t>
            </w:r>
            <w:r>
              <w:rPr>
                <w:rFonts w:hint="default" w:ascii="Times New Roman" w:hAnsi="Times New Roman" w:cs="Times New Roman"/>
                <w:color w:val="auto"/>
              </w:rPr>
              <w:t>2016年8月</w:t>
            </w:r>
            <w:r>
              <w:rPr>
                <w:rFonts w:hint="eastAsia" w:cs="Times New Roman"/>
                <w:color w:val="auto"/>
                <w:lang w:eastAsia="zh-CN"/>
              </w:rPr>
              <w:t>）</w:t>
            </w:r>
            <w:r>
              <w:rPr>
                <w:rFonts w:hint="default" w:ascii="Times New Roman" w:hAnsi="Times New Roman" w:cs="Times New Roman"/>
                <w:color w:val="auto"/>
              </w:rPr>
              <w:t>、企业排污许可证及自行监测内容可知：</w:t>
            </w:r>
          </w:p>
          <w:p>
            <w:pPr>
              <w:pStyle w:val="10"/>
              <w:ind w:firstLine="480"/>
              <w:rPr>
                <w:rFonts w:hint="default" w:ascii="Times New Roman" w:hAnsi="Times New Roman" w:cs="Times New Roman"/>
                <w:color w:val="auto"/>
              </w:rPr>
            </w:pPr>
            <w:r>
              <w:rPr>
                <w:rFonts w:hint="default" w:ascii="Times New Roman" w:hAnsi="Times New Roman" w:cs="Times New Roman"/>
                <w:color w:val="auto"/>
              </w:rPr>
              <w:t>（1）废水：项目罐体废水收集后委托福建省农业科学院生态研究所处理；蒸煮蒸汽通过浓缩罐自带的冷凝装置冷却处理后产生的冷却水直接外排到市政雨水管网；地面冲洗废水、生活污水经化粪池处理后排入市政污水管网。根据验收监测结果可知，本项目废水排放口各监测指标排放浓度均达到GB89787-1996《污水综合排放标准》表4中三级标准。</w:t>
            </w:r>
          </w:p>
          <w:p>
            <w:pPr>
              <w:ind w:firstLine="480"/>
              <w:rPr>
                <w:rFonts w:hint="default" w:ascii="Times New Roman" w:hAnsi="Times New Roman" w:cs="Times New Roman"/>
                <w:color w:val="auto"/>
              </w:rPr>
            </w:pPr>
            <w:r>
              <w:rPr>
                <w:rFonts w:hint="default" w:ascii="Times New Roman" w:hAnsi="Times New Roman" w:cs="Times New Roman"/>
                <w:color w:val="auto"/>
              </w:rPr>
              <w:t>（2）废气：项目生物质锅炉经旋风除尘器+袋式除尘器处理后，通过15m高的排气筒排放；蒸煮蒸汽恶臭废气呈无组织排放。根据2020年7月委托福建中科环境检测技术有限公司对生物质锅炉排气筒的监测可知，项目现有生物质锅炉排气筒烟尘、SO</w:t>
            </w:r>
            <w:r>
              <w:rPr>
                <w:rFonts w:hint="default" w:ascii="Times New Roman" w:hAnsi="Times New Roman" w:cs="Times New Roman"/>
                <w:color w:val="auto"/>
                <w:vertAlign w:val="subscript"/>
              </w:rPr>
              <w:t>2</w:t>
            </w:r>
            <w:r>
              <w:rPr>
                <w:rFonts w:hint="default" w:ascii="Times New Roman" w:hAnsi="Times New Roman" w:cs="Times New Roman"/>
                <w:color w:val="auto"/>
              </w:rPr>
              <w:t>、NO</w:t>
            </w:r>
            <w:r>
              <w:rPr>
                <w:rFonts w:hint="default" w:ascii="Times New Roman" w:hAnsi="Times New Roman" w:cs="Times New Roman"/>
                <w:color w:val="auto"/>
                <w:vertAlign w:val="subscript"/>
              </w:rPr>
              <w:t>X</w:t>
            </w:r>
            <w:r>
              <w:rPr>
                <w:rFonts w:hint="default" w:ascii="Times New Roman" w:hAnsi="Times New Roman" w:cs="Times New Roman"/>
                <w:color w:val="auto"/>
              </w:rPr>
              <w:t>均能GB13271-2014《锅炉大气污染物排放标准》中表3标准。</w:t>
            </w:r>
          </w:p>
          <w:p>
            <w:pPr>
              <w:pBdr>
                <w:top w:val="none" w:color="auto" w:sz="0" w:space="1"/>
                <w:left w:val="none" w:color="auto" w:sz="0" w:space="4"/>
                <w:bottom w:val="none" w:color="auto" w:sz="0" w:space="1"/>
                <w:right w:val="none" w:color="auto" w:sz="0" w:space="4"/>
              </w:pBdr>
              <w:ind w:firstLine="482"/>
              <w:jc w:val="center"/>
              <w:rPr>
                <w:rFonts w:hint="default" w:ascii="Times New Roman" w:hAnsi="Times New Roman" w:cs="Times New Roman"/>
                <w:b/>
                <w:color w:val="auto"/>
              </w:rPr>
            </w:pPr>
            <w:r>
              <w:rPr>
                <w:rFonts w:hint="default" w:ascii="Times New Roman" w:hAnsi="Times New Roman" w:cs="Times New Roman"/>
                <w:b/>
                <w:color w:val="auto"/>
              </w:rPr>
              <w:t>表2.7-1  有组织废气检测结果（生物质锅炉）</w:t>
            </w:r>
          </w:p>
          <w:tbl>
            <w:tblPr>
              <w:tblStyle w:val="1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9"/>
              <w:gridCol w:w="823"/>
              <w:gridCol w:w="525"/>
              <w:gridCol w:w="736"/>
              <w:gridCol w:w="771"/>
              <w:gridCol w:w="1122"/>
              <w:gridCol w:w="1125"/>
              <w:gridCol w:w="1127"/>
              <w:gridCol w:w="1044"/>
              <w:gridCol w:w="5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281" w:type="pct"/>
                  <w:vMerge w:val="restart"/>
                  <w:vAlign w:val="center"/>
                </w:tcPr>
                <w:p>
                  <w:pPr>
                    <w:pStyle w:val="23"/>
                    <w:rPr>
                      <w:rFonts w:hint="default" w:ascii="Times New Roman" w:hAnsi="Times New Roman" w:cs="Times New Roman"/>
                      <w:b/>
                      <w:color w:val="auto"/>
                    </w:rPr>
                  </w:pPr>
                  <w:r>
                    <w:rPr>
                      <w:rFonts w:hint="default" w:ascii="Times New Roman" w:hAnsi="Times New Roman" w:cs="Times New Roman"/>
                      <w:b/>
                      <w:color w:val="auto"/>
                    </w:rPr>
                    <w:t>采样点位</w:t>
                  </w:r>
                </w:p>
              </w:tc>
              <w:tc>
                <w:tcPr>
                  <w:tcW w:w="494" w:type="pct"/>
                  <w:vMerge w:val="restart"/>
                  <w:vAlign w:val="center"/>
                </w:tcPr>
                <w:p>
                  <w:pPr>
                    <w:pStyle w:val="23"/>
                    <w:rPr>
                      <w:rFonts w:hint="default" w:ascii="Times New Roman" w:hAnsi="Times New Roman" w:cs="Times New Roman"/>
                      <w:b/>
                      <w:color w:val="auto"/>
                    </w:rPr>
                  </w:pPr>
                  <w:r>
                    <w:rPr>
                      <w:rFonts w:hint="default" w:ascii="Times New Roman" w:hAnsi="Times New Roman" w:cs="Times New Roman"/>
                      <w:b/>
                      <w:color w:val="auto"/>
                    </w:rPr>
                    <w:t>采样日期</w:t>
                  </w:r>
                </w:p>
              </w:tc>
              <w:tc>
                <w:tcPr>
                  <w:tcW w:w="757" w:type="pct"/>
                  <w:gridSpan w:val="2"/>
                  <w:vMerge w:val="restart"/>
                  <w:vAlign w:val="center"/>
                </w:tcPr>
                <w:p>
                  <w:pPr>
                    <w:pStyle w:val="23"/>
                    <w:rPr>
                      <w:rFonts w:hint="default" w:ascii="Times New Roman" w:hAnsi="Times New Roman" w:cs="Times New Roman"/>
                      <w:b/>
                      <w:color w:val="auto"/>
                    </w:rPr>
                  </w:pPr>
                  <w:r>
                    <w:rPr>
                      <w:rFonts w:hint="default" w:ascii="Times New Roman" w:hAnsi="Times New Roman" w:cs="Times New Roman"/>
                      <w:b/>
                      <w:color w:val="auto"/>
                    </w:rPr>
                    <w:t>检测项目</w:t>
                  </w:r>
                </w:p>
              </w:tc>
              <w:tc>
                <w:tcPr>
                  <w:tcW w:w="463" w:type="pct"/>
                  <w:vMerge w:val="restart"/>
                  <w:vAlign w:val="center"/>
                </w:tcPr>
                <w:p>
                  <w:pPr>
                    <w:pStyle w:val="23"/>
                    <w:rPr>
                      <w:rFonts w:hint="default" w:ascii="Times New Roman" w:hAnsi="Times New Roman" w:cs="Times New Roman"/>
                      <w:b/>
                      <w:color w:val="auto"/>
                    </w:rPr>
                  </w:pPr>
                  <w:r>
                    <w:rPr>
                      <w:rFonts w:hint="default" w:ascii="Times New Roman" w:hAnsi="Times New Roman" w:cs="Times New Roman"/>
                      <w:b/>
                      <w:color w:val="auto"/>
                    </w:rPr>
                    <w:t>单位</w:t>
                  </w:r>
                </w:p>
              </w:tc>
              <w:tc>
                <w:tcPr>
                  <w:tcW w:w="2654" w:type="pct"/>
                  <w:gridSpan w:val="4"/>
                  <w:vAlign w:val="center"/>
                </w:tcPr>
                <w:p>
                  <w:pPr>
                    <w:pStyle w:val="23"/>
                    <w:rPr>
                      <w:rFonts w:hint="default" w:ascii="Times New Roman" w:hAnsi="Times New Roman" w:cs="Times New Roman"/>
                      <w:b/>
                      <w:color w:val="auto"/>
                    </w:rPr>
                  </w:pPr>
                  <w:r>
                    <w:rPr>
                      <w:rFonts w:hint="default" w:ascii="Times New Roman" w:hAnsi="Times New Roman" w:cs="Times New Roman"/>
                      <w:b/>
                      <w:color w:val="auto"/>
                    </w:rPr>
                    <w:t>检测结果</w:t>
                  </w:r>
                </w:p>
              </w:tc>
              <w:tc>
                <w:tcPr>
                  <w:tcW w:w="347" w:type="pct"/>
                  <w:vMerge w:val="restart"/>
                  <w:vAlign w:val="center"/>
                </w:tcPr>
                <w:p>
                  <w:pPr>
                    <w:pStyle w:val="23"/>
                    <w:rPr>
                      <w:rFonts w:hint="default" w:ascii="Times New Roman" w:hAnsi="Times New Roman" w:cs="Times New Roman"/>
                      <w:b/>
                      <w:color w:val="auto"/>
                    </w:rPr>
                  </w:pPr>
                  <w:r>
                    <w:rPr>
                      <w:rFonts w:hint="default" w:ascii="Times New Roman" w:hAnsi="Times New Roman" w:cs="Times New Roman"/>
                      <w:b/>
                      <w:color w:val="auto"/>
                    </w:rPr>
                    <w:t>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281" w:type="pct"/>
                  <w:vMerge w:val="continue"/>
                  <w:vAlign w:val="center"/>
                </w:tcPr>
                <w:p>
                  <w:pPr>
                    <w:pStyle w:val="23"/>
                    <w:rPr>
                      <w:rFonts w:hint="default" w:ascii="Times New Roman" w:hAnsi="Times New Roman" w:cs="Times New Roman"/>
                      <w:b/>
                      <w:color w:val="auto"/>
                    </w:rPr>
                  </w:pPr>
                </w:p>
              </w:tc>
              <w:tc>
                <w:tcPr>
                  <w:tcW w:w="494" w:type="pct"/>
                  <w:vMerge w:val="continue"/>
                  <w:vAlign w:val="center"/>
                </w:tcPr>
                <w:p>
                  <w:pPr>
                    <w:pStyle w:val="23"/>
                    <w:rPr>
                      <w:rFonts w:hint="default" w:ascii="Times New Roman" w:hAnsi="Times New Roman" w:cs="Times New Roman"/>
                      <w:b/>
                      <w:color w:val="auto"/>
                    </w:rPr>
                  </w:pPr>
                </w:p>
              </w:tc>
              <w:tc>
                <w:tcPr>
                  <w:tcW w:w="757" w:type="pct"/>
                  <w:gridSpan w:val="2"/>
                  <w:vMerge w:val="continue"/>
                  <w:vAlign w:val="center"/>
                </w:tcPr>
                <w:p>
                  <w:pPr>
                    <w:pStyle w:val="23"/>
                    <w:rPr>
                      <w:rFonts w:hint="default" w:ascii="Times New Roman" w:hAnsi="Times New Roman" w:cs="Times New Roman"/>
                      <w:b/>
                      <w:color w:val="auto"/>
                    </w:rPr>
                  </w:pPr>
                </w:p>
              </w:tc>
              <w:tc>
                <w:tcPr>
                  <w:tcW w:w="463" w:type="pct"/>
                  <w:vMerge w:val="continue"/>
                  <w:vAlign w:val="center"/>
                </w:tcPr>
                <w:p>
                  <w:pPr>
                    <w:pStyle w:val="23"/>
                    <w:rPr>
                      <w:rFonts w:hint="default" w:ascii="Times New Roman" w:hAnsi="Times New Roman" w:cs="Times New Roman"/>
                      <w:b/>
                      <w:color w:val="auto"/>
                    </w:rPr>
                  </w:pPr>
                </w:p>
              </w:tc>
              <w:tc>
                <w:tcPr>
                  <w:tcW w:w="674" w:type="pct"/>
                  <w:vAlign w:val="center"/>
                </w:tcPr>
                <w:p>
                  <w:pPr>
                    <w:pStyle w:val="23"/>
                    <w:rPr>
                      <w:rFonts w:hint="default" w:ascii="Times New Roman" w:hAnsi="Times New Roman" w:cs="Times New Roman"/>
                      <w:b/>
                      <w:color w:val="auto"/>
                    </w:rPr>
                  </w:pPr>
                  <w:r>
                    <w:rPr>
                      <w:rFonts w:hint="default" w:ascii="Times New Roman" w:hAnsi="Times New Roman" w:cs="Times New Roman"/>
                      <w:b/>
                      <w:color w:val="auto"/>
                    </w:rPr>
                    <w:t>第一次</w:t>
                  </w:r>
                </w:p>
              </w:tc>
              <w:tc>
                <w:tcPr>
                  <w:tcW w:w="676" w:type="pct"/>
                  <w:vAlign w:val="center"/>
                </w:tcPr>
                <w:p>
                  <w:pPr>
                    <w:pStyle w:val="23"/>
                    <w:rPr>
                      <w:rFonts w:hint="default" w:ascii="Times New Roman" w:hAnsi="Times New Roman" w:cs="Times New Roman"/>
                      <w:b/>
                      <w:color w:val="auto"/>
                    </w:rPr>
                  </w:pPr>
                  <w:r>
                    <w:rPr>
                      <w:rFonts w:hint="default" w:ascii="Times New Roman" w:hAnsi="Times New Roman" w:cs="Times New Roman"/>
                      <w:b/>
                      <w:color w:val="auto"/>
                    </w:rPr>
                    <w:t>第二次</w:t>
                  </w:r>
                </w:p>
              </w:tc>
              <w:tc>
                <w:tcPr>
                  <w:tcW w:w="677" w:type="pct"/>
                  <w:vAlign w:val="center"/>
                </w:tcPr>
                <w:p>
                  <w:pPr>
                    <w:pStyle w:val="23"/>
                    <w:rPr>
                      <w:rFonts w:hint="default" w:ascii="Times New Roman" w:hAnsi="Times New Roman" w:cs="Times New Roman"/>
                      <w:b/>
                      <w:color w:val="auto"/>
                    </w:rPr>
                  </w:pPr>
                  <w:r>
                    <w:rPr>
                      <w:rFonts w:hint="default" w:ascii="Times New Roman" w:hAnsi="Times New Roman" w:cs="Times New Roman"/>
                      <w:b/>
                      <w:color w:val="auto"/>
                    </w:rPr>
                    <w:t>第三次</w:t>
                  </w:r>
                </w:p>
              </w:tc>
              <w:tc>
                <w:tcPr>
                  <w:tcW w:w="627" w:type="pct"/>
                  <w:vAlign w:val="center"/>
                </w:tcPr>
                <w:p>
                  <w:pPr>
                    <w:pStyle w:val="23"/>
                    <w:rPr>
                      <w:rFonts w:hint="default" w:ascii="Times New Roman" w:hAnsi="Times New Roman" w:cs="Times New Roman"/>
                      <w:b/>
                      <w:color w:val="auto"/>
                    </w:rPr>
                  </w:pPr>
                  <w:r>
                    <w:rPr>
                      <w:rFonts w:hint="default" w:ascii="Times New Roman" w:hAnsi="Times New Roman" w:cs="Times New Roman"/>
                      <w:b/>
                      <w:color w:val="auto"/>
                    </w:rPr>
                    <w:t>平均值</w:t>
                  </w:r>
                </w:p>
              </w:tc>
              <w:tc>
                <w:tcPr>
                  <w:tcW w:w="347" w:type="pct"/>
                  <w:vMerge w:val="continue"/>
                  <w:vAlign w:val="center"/>
                </w:tcPr>
                <w:p>
                  <w:pPr>
                    <w:pStyle w:val="23"/>
                    <w:rPr>
                      <w:rFonts w:hint="default" w:ascii="Times New Roman" w:hAnsi="Times New Roman" w:cs="Times New Roman"/>
                      <w:b/>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1" w:type="pct"/>
                  <w:vMerge w:val="restar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G1锅炉废气出口</w:t>
                  </w:r>
                </w:p>
              </w:tc>
              <w:tc>
                <w:tcPr>
                  <w:tcW w:w="494" w:type="pct"/>
                  <w:vMerge w:val="restar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2020.07.03</w:t>
                  </w:r>
                </w:p>
              </w:tc>
              <w:tc>
                <w:tcPr>
                  <w:tcW w:w="757" w:type="pct"/>
                  <w:gridSpan w:val="2"/>
                  <w:vAlign w:val="center"/>
                </w:tcPr>
                <w:p>
                  <w:pPr>
                    <w:pStyle w:val="23"/>
                    <w:rPr>
                      <w:rFonts w:hint="default" w:ascii="Times New Roman" w:hAnsi="Times New Roman" w:cs="Times New Roman"/>
                      <w:color w:val="auto"/>
                    </w:rPr>
                  </w:pPr>
                  <w:r>
                    <w:rPr>
                      <w:rFonts w:hint="default" w:ascii="Times New Roman" w:hAnsi="Times New Roman" w:cs="Times New Roman"/>
                      <w:color w:val="auto"/>
                    </w:rPr>
                    <w:t>含氧量</w:t>
                  </w:r>
                </w:p>
              </w:tc>
              <w:tc>
                <w:tcPr>
                  <w:tcW w:w="463"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w:t>
                  </w:r>
                </w:p>
              </w:tc>
              <w:tc>
                <w:tcPr>
                  <w:tcW w:w="674" w:type="pct"/>
                </w:tcPr>
                <w:p>
                  <w:pPr>
                    <w:pStyle w:val="23"/>
                    <w:rPr>
                      <w:rFonts w:hint="default" w:ascii="Times New Roman" w:hAnsi="Times New Roman" w:cs="Times New Roman"/>
                      <w:color w:val="auto"/>
                    </w:rPr>
                  </w:pPr>
                  <w:r>
                    <w:rPr>
                      <w:rFonts w:hint="default" w:ascii="Times New Roman" w:hAnsi="Times New Roman" w:cs="Times New Roman"/>
                      <w:color w:val="auto"/>
                    </w:rPr>
                    <w:t xml:space="preserve">11.6 </w:t>
                  </w:r>
                </w:p>
              </w:tc>
              <w:tc>
                <w:tcPr>
                  <w:tcW w:w="676" w:type="pct"/>
                </w:tcPr>
                <w:p>
                  <w:pPr>
                    <w:pStyle w:val="23"/>
                    <w:rPr>
                      <w:rFonts w:hint="default" w:ascii="Times New Roman" w:hAnsi="Times New Roman" w:cs="Times New Roman"/>
                      <w:color w:val="auto"/>
                    </w:rPr>
                  </w:pPr>
                  <w:r>
                    <w:rPr>
                      <w:rFonts w:hint="default" w:ascii="Times New Roman" w:hAnsi="Times New Roman" w:cs="Times New Roman"/>
                      <w:color w:val="auto"/>
                    </w:rPr>
                    <w:t>13.2</w:t>
                  </w:r>
                </w:p>
              </w:tc>
              <w:tc>
                <w:tcPr>
                  <w:tcW w:w="677" w:type="pct"/>
                </w:tcPr>
                <w:p>
                  <w:pPr>
                    <w:pStyle w:val="23"/>
                    <w:rPr>
                      <w:rFonts w:hint="default" w:ascii="Times New Roman" w:hAnsi="Times New Roman" w:cs="Times New Roman"/>
                      <w:color w:val="auto"/>
                    </w:rPr>
                  </w:pPr>
                  <w:r>
                    <w:rPr>
                      <w:rFonts w:hint="default" w:ascii="Times New Roman" w:hAnsi="Times New Roman" w:cs="Times New Roman"/>
                      <w:color w:val="auto"/>
                    </w:rPr>
                    <w:t>12.5</w:t>
                  </w:r>
                </w:p>
              </w:tc>
              <w:tc>
                <w:tcPr>
                  <w:tcW w:w="627" w:type="pct"/>
                </w:tcPr>
                <w:p>
                  <w:pPr>
                    <w:pStyle w:val="23"/>
                    <w:rPr>
                      <w:rFonts w:hint="default" w:ascii="Times New Roman" w:hAnsi="Times New Roman" w:cs="Times New Roman"/>
                      <w:color w:val="auto"/>
                    </w:rPr>
                  </w:pPr>
                  <w:r>
                    <w:rPr>
                      <w:rFonts w:hint="default" w:ascii="Times New Roman" w:hAnsi="Times New Roman" w:cs="Times New Roman"/>
                      <w:color w:val="auto"/>
                    </w:rPr>
                    <w:t xml:space="preserve">12.4 </w:t>
                  </w:r>
                </w:p>
              </w:tc>
              <w:tc>
                <w:tcPr>
                  <w:tcW w:w="347" w:type="pct"/>
                  <w:vAlign w:val="center"/>
                </w:tcPr>
                <w:p>
                  <w:pPr>
                    <w:pStyle w:val="23"/>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1" w:type="pct"/>
                  <w:vMerge w:val="continue"/>
                  <w:vAlign w:val="center"/>
                </w:tcPr>
                <w:p>
                  <w:pPr>
                    <w:pStyle w:val="23"/>
                    <w:rPr>
                      <w:rFonts w:hint="default" w:ascii="Times New Roman" w:hAnsi="Times New Roman" w:cs="Times New Roman"/>
                      <w:color w:val="auto"/>
                    </w:rPr>
                  </w:pPr>
                </w:p>
              </w:tc>
              <w:tc>
                <w:tcPr>
                  <w:tcW w:w="494" w:type="pct"/>
                  <w:vMerge w:val="continue"/>
                  <w:vAlign w:val="center"/>
                </w:tcPr>
                <w:p>
                  <w:pPr>
                    <w:pStyle w:val="23"/>
                    <w:rPr>
                      <w:rFonts w:hint="default" w:ascii="Times New Roman" w:hAnsi="Times New Roman" w:cs="Times New Roman"/>
                      <w:color w:val="auto"/>
                    </w:rPr>
                  </w:pPr>
                </w:p>
              </w:tc>
              <w:tc>
                <w:tcPr>
                  <w:tcW w:w="757" w:type="pct"/>
                  <w:gridSpan w:val="2"/>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标干流量</w:t>
                  </w:r>
                </w:p>
              </w:tc>
              <w:tc>
                <w:tcPr>
                  <w:tcW w:w="463"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m</w:t>
                  </w:r>
                  <w:r>
                    <w:rPr>
                      <w:rFonts w:hint="default" w:ascii="Times New Roman" w:hAnsi="Times New Roman" w:cs="Times New Roman"/>
                      <w:color w:val="auto"/>
                      <w:vertAlign w:val="superscript"/>
                    </w:rPr>
                    <w:t>3</w:t>
                  </w:r>
                  <w:r>
                    <w:rPr>
                      <w:rFonts w:hint="default" w:ascii="Times New Roman" w:hAnsi="Times New Roman" w:cs="Times New Roman"/>
                      <w:color w:val="auto"/>
                    </w:rPr>
                    <w:t xml:space="preserve">/h </w:t>
                  </w:r>
                </w:p>
              </w:tc>
              <w:tc>
                <w:tcPr>
                  <w:tcW w:w="674"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1.12×10</w:t>
                  </w:r>
                  <w:r>
                    <w:rPr>
                      <w:rFonts w:hint="default" w:ascii="Times New Roman" w:hAnsi="Times New Roman" w:cs="Times New Roman"/>
                      <w:color w:val="auto"/>
                      <w:vertAlign w:val="superscript"/>
                    </w:rPr>
                    <w:t>3</w:t>
                  </w:r>
                </w:p>
              </w:tc>
              <w:tc>
                <w:tcPr>
                  <w:tcW w:w="676"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1.25×10</w:t>
                  </w:r>
                  <w:r>
                    <w:rPr>
                      <w:rFonts w:hint="default" w:ascii="Times New Roman" w:hAnsi="Times New Roman" w:cs="Times New Roman"/>
                      <w:color w:val="auto"/>
                      <w:vertAlign w:val="superscript"/>
                    </w:rPr>
                    <w:t>3</w:t>
                  </w:r>
                </w:p>
              </w:tc>
              <w:tc>
                <w:tcPr>
                  <w:tcW w:w="677"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1.21×10</w:t>
                  </w:r>
                  <w:r>
                    <w:rPr>
                      <w:rFonts w:hint="default" w:ascii="Times New Roman" w:hAnsi="Times New Roman" w:cs="Times New Roman"/>
                      <w:color w:val="auto"/>
                      <w:vertAlign w:val="superscript"/>
                    </w:rPr>
                    <w:t>3</w:t>
                  </w:r>
                </w:p>
              </w:tc>
              <w:tc>
                <w:tcPr>
                  <w:tcW w:w="627"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1.19×10</w:t>
                  </w:r>
                  <w:r>
                    <w:rPr>
                      <w:rFonts w:hint="default" w:ascii="Times New Roman" w:hAnsi="Times New Roman" w:cs="Times New Roman"/>
                      <w:color w:val="auto"/>
                      <w:vertAlign w:val="superscript"/>
                    </w:rPr>
                    <w:t>3</w:t>
                  </w:r>
                </w:p>
              </w:tc>
              <w:tc>
                <w:tcPr>
                  <w:tcW w:w="347" w:type="pct"/>
                  <w:vAlign w:val="center"/>
                </w:tcPr>
                <w:p>
                  <w:pPr>
                    <w:pStyle w:val="23"/>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1" w:type="pct"/>
                  <w:vMerge w:val="continue"/>
                  <w:vAlign w:val="center"/>
                </w:tcPr>
                <w:p>
                  <w:pPr>
                    <w:pStyle w:val="23"/>
                    <w:rPr>
                      <w:rFonts w:hint="default" w:ascii="Times New Roman" w:hAnsi="Times New Roman" w:cs="Times New Roman"/>
                      <w:color w:val="auto"/>
                    </w:rPr>
                  </w:pPr>
                </w:p>
              </w:tc>
              <w:tc>
                <w:tcPr>
                  <w:tcW w:w="494" w:type="pct"/>
                  <w:vMerge w:val="continue"/>
                  <w:vAlign w:val="center"/>
                </w:tcPr>
                <w:p>
                  <w:pPr>
                    <w:pStyle w:val="23"/>
                    <w:rPr>
                      <w:rFonts w:hint="default" w:ascii="Times New Roman" w:hAnsi="Times New Roman" w:cs="Times New Roman"/>
                      <w:color w:val="auto"/>
                    </w:rPr>
                  </w:pPr>
                </w:p>
              </w:tc>
              <w:tc>
                <w:tcPr>
                  <w:tcW w:w="315" w:type="pct"/>
                  <w:vMerge w:val="restar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颗粒物</w:t>
                  </w:r>
                </w:p>
              </w:tc>
              <w:tc>
                <w:tcPr>
                  <w:tcW w:w="442"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实测浓度</w:t>
                  </w:r>
                </w:p>
              </w:tc>
              <w:tc>
                <w:tcPr>
                  <w:tcW w:w="463"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mg/m</w:t>
                  </w:r>
                  <w:r>
                    <w:rPr>
                      <w:rFonts w:hint="default" w:ascii="Times New Roman" w:hAnsi="Times New Roman" w:cs="Times New Roman"/>
                      <w:color w:val="auto"/>
                      <w:vertAlign w:val="superscript"/>
                    </w:rPr>
                    <w:t>3</w:t>
                  </w:r>
                </w:p>
              </w:tc>
              <w:tc>
                <w:tcPr>
                  <w:tcW w:w="674"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3.5</w:t>
                  </w:r>
                </w:p>
              </w:tc>
              <w:tc>
                <w:tcPr>
                  <w:tcW w:w="676"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3.8</w:t>
                  </w:r>
                </w:p>
              </w:tc>
              <w:tc>
                <w:tcPr>
                  <w:tcW w:w="677"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3.2</w:t>
                  </w:r>
                </w:p>
              </w:tc>
              <w:tc>
                <w:tcPr>
                  <w:tcW w:w="627"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 xml:space="preserve">3.5 </w:t>
                  </w:r>
                </w:p>
              </w:tc>
              <w:tc>
                <w:tcPr>
                  <w:tcW w:w="347" w:type="pct"/>
                  <w:vAlign w:val="center"/>
                </w:tcPr>
                <w:p>
                  <w:pPr>
                    <w:pStyle w:val="23"/>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1" w:type="pct"/>
                  <w:vMerge w:val="continue"/>
                  <w:vAlign w:val="center"/>
                </w:tcPr>
                <w:p>
                  <w:pPr>
                    <w:pStyle w:val="23"/>
                    <w:rPr>
                      <w:rFonts w:hint="default" w:ascii="Times New Roman" w:hAnsi="Times New Roman" w:cs="Times New Roman"/>
                      <w:color w:val="auto"/>
                    </w:rPr>
                  </w:pPr>
                </w:p>
              </w:tc>
              <w:tc>
                <w:tcPr>
                  <w:tcW w:w="494" w:type="pct"/>
                  <w:vMerge w:val="continue"/>
                  <w:vAlign w:val="center"/>
                </w:tcPr>
                <w:p>
                  <w:pPr>
                    <w:pStyle w:val="23"/>
                    <w:rPr>
                      <w:rFonts w:hint="default" w:ascii="Times New Roman" w:hAnsi="Times New Roman" w:cs="Times New Roman"/>
                      <w:color w:val="auto"/>
                    </w:rPr>
                  </w:pPr>
                </w:p>
              </w:tc>
              <w:tc>
                <w:tcPr>
                  <w:tcW w:w="315" w:type="pct"/>
                  <w:vMerge w:val="continue"/>
                  <w:vAlign w:val="center"/>
                </w:tcPr>
                <w:p>
                  <w:pPr>
                    <w:pStyle w:val="23"/>
                    <w:rPr>
                      <w:rFonts w:hint="default" w:ascii="Times New Roman" w:hAnsi="Times New Roman" w:cs="Times New Roman"/>
                      <w:color w:val="auto"/>
                    </w:rPr>
                  </w:pPr>
                </w:p>
              </w:tc>
              <w:tc>
                <w:tcPr>
                  <w:tcW w:w="442"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折算浓度</w:t>
                  </w:r>
                </w:p>
              </w:tc>
              <w:tc>
                <w:tcPr>
                  <w:tcW w:w="463"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mg/ m</w:t>
                  </w:r>
                  <w:r>
                    <w:rPr>
                      <w:rFonts w:hint="default" w:ascii="Times New Roman" w:hAnsi="Times New Roman" w:cs="Times New Roman"/>
                      <w:color w:val="auto"/>
                      <w:vertAlign w:val="superscript"/>
                    </w:rPr>
                    <w:t>3</w:t>
                  </w:r>
                </w:p>
              </w:tc>
              <w:tc>
                <w:tcPr>
                  <w:tcW w:w="674"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 xml:space="preserve">4.5 </w:t>
                  </w:r>
                </w:p>
              </w:tc>
              <w:tc>
                <w:tcPr>
                  <w:tcW w:w="676"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 xml:space="preserve">5.8 </w:t>
                  </w:r>
                </w:p>
              </w:tc>
              <w:tc>
                <w:tcPr>
                  <w:tcW w:w="677"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 xml:space="preserve">4.5 </w:t>
                  </w:r>
                </w:p>
              </w:tc>
              <w:tc>
                <w:tcPr>
                  <w:tcW w:w="627"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 xml:space="preserve">4.9 </w:t>
                  </w:r>
                </w:p>
              </w:tc>
              <w:tc>
                <w:tcPr>
                  <w:tcW w:w="347"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1" w:type="pct"/>
                  <w:vMerge w:val="continue"/>
                  <w:vAlign w:val="center"/>
                </w:tcPr>
                <w:p>
                  <w:pPr>
                    <w:pStyle w:val="23"/>
                    <w:rPr>
                      <w:rFonts w:hint="default" w:ascii="Times New Roman" w:hAnsi="Times New Roman" w:cs="Times New Roman"/>
                      <w:color w:val="auto"/>
                    </w:rPr>
                  </w:pPr>
                </w:p>
              </w:tc>
              <w:tc>
                <w:tcPr>
                  <w:tcW w:w="494" w:type="pct"/>
                  <w:vMerge w:val="continue"/>
                  <w:vAlign w:val="center"/>
                </w:tcPr>
                <w:p>
                  <w:pPr>
                    <w:pStyle w:val="23"/>
                    <w:rPr>
                      <w:rFonts w:hint="default" w:ascii="Times New Roman" w:hAnsi="Times New Roman" w:cs="Times New Roman"/>
                      <w:color w:val="auto"/>
                    </w:rPr>
                  </w:pPr>
                </w:p>
              </w:tc>
              <w:tc>
                <w:tcPr>
                  <w:tcW w:w="315" w:type="pct"/>
                  <w:vMerge w:val="continue"/>
                  <w:vAlign w:val="center"/>
                </w:tcPr>
                <w:p>
                  <w:pPr>
                    <w:pStyle w:val="23"/>
                    <w:rPr>
                      <w:rFonts w:hint="default" w:ascii="Times New Roman" w:hAnsi="Times New Roman" w:cs="Times New Roman"/>
                      <w:color w:val="auto"/>
                    </w:rPr>
                  </w:pPr>
                </w:p>
              </w:tc>
              <w:tc>
                <w:tcPr>
                  <w:tcW w:w="442"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排放速率</w:t>
                  </w:r>
                </w:p>
              </w:tc>
              <w:tc>
                <w:tcPr>
                  <w:tcW w:w="463"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kg/h</w:t>
                  </w:r>
                </w:p>
              </w:tc>
              <w:tc>
                <w:tcPr>
                  <w:tcW w:w="674"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3.92×10</w:t>
                  </w:r>
                  <w:r>
                    <w:rPr>
                      <w:rFonts w:hint="default" w:ascii="Times New Roman" w:hAnsi="Times New Roman" w:cs="Times New Roman"/>
                      <w:color w:val="auto"/>
                      <w:vertAlign w:val="superscript"/>
                    </w:rPr>
                    <w:t>-3</w:t>
                  </w:r>
                </w:p>
              </w:tc>
              <w:tc>
                <w:tcPr>
                  <w:tcW w:w="676"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4.75×10</w:t>
                  </w:r>
                  <w:r>
                    <w:rPr>
                      <w:rFonts w:hint="default" w:ascii="Times New Roman" w:hAnsi="Times New Roman" w:cs="Times New Roman"/>
                      <w:color w:val="auto"/>
                      <w:vertAlign w:val="superscript"/>
                    </w:rPr>
                    <w:t>-3</w:t>
                  </w:r>
                </w:p>
              </w:tc>
              <w:tc>
                <w:tcPr>
                  <w:tcW w:w="677"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3.87×10</w:t>
                  </w:r>
                  <w:r>
                    <w:rPr>
                      <w:rFonts w:hint="default" w:ascii="Times New Roman" w:hAnsi="Times New Roman" w:cs="Times New Roman"/>
                      <w:color w:val="auto"/>
                      <w:vertAlign w:val="superscript"/>
                    </w:rPr>
                    <w:t>-3</w:t>
                  </w:r>
                </w:p>
              </w:tc>
              <w:tc>
                <w:tcPr>
                  <w:tcW w:w="627"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4.18×10</w:t>
                  </w:r>
                  <w:r>
                    <w:rPr>
                      <w:rFonts w:hint="default" w:ascii="Times New Roman" w:hAnsi="Times New Roman" w:cs="Times New Roman"/>
                      <w:color w:val="auto"/>
                      <w:vertAlign w:val="superscript"/>
                    </w:rPr>
                    <w:t>-3</w:t>
                  </w:r>
                </w:p>
              </w:tc>
              <w:tc>
                <w:tcPr>
                  <w:tcW w:w="347" w:type="pct"/>
                  <w:vAlign w:val="center"/>
                </w:tcPr>
                <w:p>
                  <w:pPr>
                    <w:pStyle w:val="23"/>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1" w:type="pct"/>
                  <w:vMerge w:val="continue"/>
                  <w:vAlign w:val="center"/>
                </w:tcPr>
                <w:p>
                  <w:pPr>
                    <w:pStyle w:val="23"/>
                    <w:rPr>
                      <w:rFonts w:hint="default" w:ascii="Times New Roman" w:hAnsi="Times New Roman" w:cs="Times New Roman"/>
                      <w:color w:val="auto"/>
                    </w:rPr>
                  </w:pPr>
                </w:p>
              </w:tc>
              <w:tc>
                <w:tcPr>
                  <w:tcW w:w="494" w:type="pct"/>
                  <w:vMerge w:val="continue"/>
                  <w:vAlign w:val="center"/>
                </w:tcPr>
                <w:p>
                  <w:pPr>
                    <w:pStyle w:val="23"/>
                    <w:rPr>
                      <w:rFonts w:hint="default" w:ascii="Times New Roman" w:hAnsi="Times New Roman" w:cs="Times New Roman"/>
                      <w:color w:val="auto"/>
                    </w:rPr>
                  </w:pPr>
                </w:p>
              </w:tc>
              <w:tc>
                <w:tcPr>
                  <w:tcW w:w="315" w:type="pct"/>
                  <w:vMerge w:val="restar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二氧化硫</w:t>
                  </w:r>
                </w:p>
              </w:tc>
              <w:tc>
                <w:tcPr>
                  <w:tcW w:w="442"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实测浓度</w:t>
                  </w:r>
                </w:p>
              </w:tc>
              <w:tc>
                <w:tcPr>
                  <w:tcW w:w="463"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mg/ m</w:t>
                  </w:r>
                  <w:r>
                    <w:rPr>
                      <w:rFonts w:hint="default" w:ascii="Times New Roman" w:hAnsi="Times New Roman" w:cs="Times New Roman"/>
                      <w:color w:val="auto"/>
                      <w:vertAlign w:val="superscript"/>
                    </w:rPr>
                    <w:t>3</w:t>
                  </w:r>
                </w:p>
              </w:tc>
              <w:tc>
                <w:tcPr>
                  <w:tcW w:w="674"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21</w:t>
                  </w:r>
                </w:p>
              </w:tc>
              <w:tc>
                <w:tcPr>
                  <w:tcW w:w="676"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18</w:t>
                  </w:r>
                </w:p>
              </w:tc>
              <w:tc>
                <w:tcPr>
                  <w:tcW w:w="677"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24</w:t>
                  </w:r>
                </w:p>
              </w:tc>
              <w:tc>
                <w:tcPr>
                  <w:tcW w:w="627"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 xml:space="preserve">21.0 </w:t>
                  </w:r>
                </w:p>
              </w:tc>
              <w:tc>
                <w:tcPr>
                  <w:tcW w:w="347" w:type="pct"/>
                  <w:vAlign w:val="center"/>
                </w:tcPr>
                <w:p>
                  <w:pPr>
                    <w:pStyle w:val="23"/>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1" w:type="pct"/>
                  <w:vMerge w:val="continue"/>
                  <w:vAlign w:val="center"/>
                </w:tcPr>
                <w:p>
                  <w:pPr>
                    <w:pStyle w:val="23"/>
                    <w:rPr>
                      <w:rFonts w:hint="default" w:ascii="Times New Roman" w:hAnsi="Times New Roman" w:cs="Times New Roman"/>
                      <w:color w:val="auto"/>
                    </w:rPr>
                  </w:pPr>
                </w:p>
              </w:tc>
              <w:tc>
                <w:tcPr>
                  <w:tcW w:w="494" w:type="pct"/>
                  <w:vMerge w:val="continue"/>
                  <w:vAlign w:val="center"/>
                </w:tcPr>
                <w:p>
                  <w:pPr>
                    <w:pStyle w:val="23"/>
                    <w:rPr>
                      <w:rFonts w:hint="default" w:ascii="Times New Roman" w:hAnsi="Times New Roman" w:cs="Times New Roman"/>
                      <w:color w:val="auto"/>
                    </w:rPr>
                  </w:pPr>
                </w:p>
              </w:tc>
              <w:tc>
                <w:tcPr>
                  <w:tcW w:w="315" w:type="pct"/>
                  <w:vMerge w:val="continue"/>
                  <w:vAlign w:val="center"/>
                </w:tcPr>
                <w:p>
                  <w:pPr>
                    <w:pStyle w:val="23"/>
                    <w:rPr>
                      <w:rFonts w:hint="default" w:ascii="Times New Roman" w:hAnsi="Times New Roman" w:cs="Times New Roman"/>
                      <w:color w:val="auto"/>
                    </w:rPr>
                  </w:pPr>
                </w:p>
              </w:tc>
              <w:tc>
                <w:tcPr>
                  <w:tcW w:w="442"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折算浓度</w:t>
                  </w:r>
                </w:p>
              </w:tc>
              <w:tc>
                <w:tcPr>
                  <w:tcW w:w="463"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mg/ m</w:t>
                  </w:r>
                  <w:r>
                    <w:rPr>
                      <w:rFonts w:hint="default" w:ascii="Times New Roman" w:hAnsi="Times New Roman" w:cs="Times New Roman"/>
                      <w:color w:val="auto"/>
                      <w:vertAlign w:val="superscript"/>
                    </w:rPr>
                    <w:t>3</w:t>
                  </w:r>
                </w:p>
              </w:tc>
              <w:tc>
                <w:tcPr>
                  <w:tcW w:w="674"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 xml:space="preserve">27 </w:t>
                  </w:r>
                </w:p>
              </w:tc>
              <w:tc>
                <w:tcPr>
                  <w:tcW w:w="676"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 xml:space="preserve">28 </w:t>
                  </w:r>
                </w:p>
              </w:tc>
              <w:tc>
                <w:tcPr>
                  <w:tcW w:w="677"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 xml:space="preserve">34 </w:t>
                  </w:r>
                </w:p>
              </w:tc>
              <w:tc>
                <w:tcPr>
                  <w:tcW w:w="627"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 xml:space="preserve">29.5 </w:t>
                  </w:r>
                </w:p>
              </w:tc>
              <w:tc>
                <w:tcPr>
                  <w:tcW w:w="347"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1" w:type="pct"/>
                  <w:vMerge w:val="continue"/>
                  <w:vAlign w:val="center"/>
                </w:tcPr>
                <w:p>
                  <w:pPr>
                    <w:pStyle w:val="23"/>
                    <w:rPr>
                      <w:rFonts w:hint="default" w:ascii="Times New Roman" w:hAnsi="Times New Roman" w:cs="Times New Roman"/>
                      <w:color w:val="auto"/>
                    </w:rPr>
                  </w:pPr>
                </w:p>
              </w:tc>
              <w:tc>
                <w:tcPr>
                  <w:tcW w:w="494" w:type="pct"/>
                  <w:vMerge w:val="continue"/>
                  <w:vAlign w:val="center"/>
                </w:tcPr>
                <w:p>
                  <w:pPr>
                    <w:pStyle w:val="23"/>
                    <w:rPr>
                      <w:rFonts w:hint="default" w:ascii="Times New Roman" w:hAnsi="Times New Roman" w:cs="Times New Roman"/>
                      <w:color w:val="auto"/>
                    </w:rPr>
                  </w:pPr>
                </w:p>
              </w:tc>
              <w:tc>
                <w:tcPr>
                  <w:tcW w:w="315" w:type="pct"/>
                  <w:vMerge w:val="continue"/>
                  <w:vAlign w:val="center"/>
                </w:tcPr>
                <w:p>
                  <w:pPr>
                    <w:pStyle w:val="23"/>
                    <w:rPr>
                      <w:rFonts w:hint="default" w:ascii="Times New Roman" w:hAnsi="Times New Roman" w:cs="Times New Roman"/>
                      <w:color w:val="auto"/>
                    </w:rPr>
                  </w:pPr>
                </w:p>
              </w:tc>
              <w:tc>
                <w:tcPr>
                  <w:tcW w:w="442"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排放速率</w:t>
                  </w:r>
                </w:p>
              </w:tc>
              <w:tc>
                <w:tcPr>
                  <w:tcW w:w="463"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kg/h</w:t>
                  </w:r>
                </w:p>
              </w:tc>
              <w:tc>
                <w:tcPr>
                  <w:tcW w:w="674"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2.35×10</w:t>
                  </w:r>
                  <w:r>
                    <w:rPr>
                      <w:rFonts w:hint="default" w:ascii="Times New Roman" w:hAnsi="Times New Roman" w:cs="Times New Roman"/>
                      <w:color w:val="auto"/>
                      <w:vertAlign w:val="superscript"/>
                    </w:rPr>
                    <w:t>-2</w:t>
                  </w:r>
                </w:p>
              </w:tc>
              <w:tc>
                <w:tcPr>
                  <w:tcW w:w="676"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2.25×10</w:t>
                  </w:r>
                  <w:r>
                    <w:rPr>
                      <w:rFonts w:hint="default" w:ascii="Times New Roman" w:hAnsi="Times New Roman" w:cs="Times New Roman"/>
                      <w:color w:val="auto"/>
                      <w:vertAlign w:val="superscript"/>
                    </w:rPr>
                    <w:t>-2</w:t>
                  </w:r>
                </w:p>
              </w:tc>
              <w:tc>
                <w:tcPr>
                  <w:tcW w:w="677"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2.90×10</w:t>
                  </w:r>
                  <w:r>
                    <w:rPr>
                      <w:rFonts w:hint="default" w:ascii="Times New Roman" w:hAnsi="Times New Roman" w:cs="Times New Roman"/>
                      <w:color w:val="auto"/>
                      <w:vertAlign w:val="superscript"/>
                    </w:rPr>
                    <w:t>-2</w:t>
                  </w:r>
                </w:p>
              </w:tc>
              <w:tc>
                <w:tcPr>
                  <w:tcW w:w="627"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2.50×10</w:t>
                  </w:r>
                  <w:r>
                    <w:rPr>
                      <w:rFonts w:hint="default" w:ascii="Times New Roman" w:hAnsi="Times New Roman" w:cs="Times New Roman"/>
                      <w:color w:val="auto"/>
                      <w:vertAlign w:val="superscript"/>
                    </w:rPr>
                    <w:t>-2</w:t>
                  </w:r>
                </w:p>
              </w:tc>
              <w:tc>
                <w:tcPr>
                  <w:tcW w:w="347" w:type="pct"/>
                  <w:vAlign w:val="center"/>
                </w:tcPr>
                <w:p>
                  <w:pPr>
                    <w:pStyle w:val="23"/>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1" w:type="pct"/>
                  <w:vMerge w:val="continue"/>
                  <w:vAlign w:val="center"/>
                </w:tcPr>
                <w:p>
                  <w:pPr>
                    <w:pStyle w:val="23"/>
                    <w:rPr>
                      <w:rFonts w:hint="default" w:ascii="Times New Roman" w:hAnsi="Times New Roman" w:cs="Times New Roman"/>
                      <w:color w:val="auto"/>
                    </w:rPr>
                  </w:pPr>
                </w:p>
              </w:tc>
              <w:tc>
                <w:tcPr>
                  <w:tcW w:w="494" w:type="pct"/>
                  <w:vMerge w:val="continue"/>
                  <w:vAlign w:val="center"/>
                </w:tcPr>
                <w:p>
                  <w:pPr>
                    <w:pStyle w:val="23"/>
                    <w:rPr>
                      <w:rFonts w:hint="default" w:ascii="Times New Roman" w:hAnsi="Times New Roman" w:cs="Times New Roman"/>
                      <w:color w:val="auto"/>
                    </w:rPr>
                  </w:pPr>
                </w:p>
              </w:tc>
              <w:tc>
                <w:tcPr>
                  <w:tcW w:w="315" w:type="pct"/>
                  <w:vMerge w:val="restar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氮氧化物</w:t>
                  </w:r>
                </w:p>
              </w:tc>
              <w:tc>
                <w:tcPr>
                  <w:tcW w:w="442"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实测浓度</w:t>
                  </w:r>
                </w:p>
              </w:tc>
              <w:tc>
                <w:tcPr>
                  <w:tcW w:w="463"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mg/ m</w:t>
                  </w:r>
                  <w:r>
                    <w:rPr>
                      <w:rFonts w:hint="default" w:ascii="Times New Roman" w:hAnsi="Times New Roman" w:cs="Times New Roman"/>
                      <w:color w:val="auto"/>
                      <w:vertAlign w:val="superscript"/>
                    </w:rPr>
                    <w:t>3</w:t>
                  </w:r>
                </w:p>
              </w:tc>
              <w:tc>
                <w:tcPr>
                  <w:tcW w:w="674"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108</w:t>
                  </w:r>
                </w:p>
              </w:tc>
              <w:tc>
                <w:tcPr>
                  <w:tcW w:w="676"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116</w:t>
                  </w:r>
                </w:p>
              </w:tc>
              <w:tc>
                <w:tcPr>
                  <w:tcW w:w="677"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121</w:t>
                  </w:r>
                </w:p>
              </w:tc>
              <w:tc>
                <w:tcPr>
                  <w:tcW w:w="627"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 xml:space="preserve">115 </w:t>
                  </w:r>
                </w:p>
              </w:tc>
              <w:tc>
                <w:tcPr>
                  <w:tcW w:w="347" w:type="pct"/>
                  <w:vAlign w:val="center"/>
                </w:tcPr>
                <w:p>
                  <w:pPr>
                    <w:pStyle w:val="23"/>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1" w:type="pct"/>
                  <w:vMerge w:val="continue"/>
                  <w:vAlign w:val="center"/>
                </w:tcPr>
                <w:p>
                  <w:pPr>
                    <w:pStyle w:val="23"/>
                    <w:rPr>
                      <w:rFonts w:hint="default" w:ascii="Times New Roman" w:hAnsi="Times New Roman" w:cs="Times New Roman"/>
                      <w:color w:val="auto"/>
                    </w:rPr>
                  </w:pPr>
                </w:p>
              </w:tc>
              <w:tc>
                <w:tcPr>
                  <w:tcW w:w="494" w:type="pct"/>
                  <w:vMerge w:val="continue"/>
                  <w:vAlign w:val="center"/>
                </w:tcPr>
                <w:p>
                  <w:pPr>
                    <w:pStyle w:val="23"/>
                    <w:rPr>
                      <w:rFonts w:hint="default" w:ascii="Times New Roman" w:hAnsi="Times New Roman" w:cs="Times New Roman"/>
                      <w:color w:val="auto"/>
                    </w:rPr>
                  </w:pPr>
                </w:p>
              </w:tc>
              <w:tc>
                <w:tcPr>
                  <w:tcW w:w="315" w:type="pct"/>
                  <w:vMerge w:val="continue"/>
                  <w:vAlign w:val="center"/>
                </w:tcPr>
                <w:p>
                  <w:pPr>
                    <w:pStyle w:val="23"/>
                    <w:rPr>
                      <w:rFonts w:hint="default" w:ascii="Times New Roman" w:hAnsi="Times New Roman" w:cs="Times New Roman"/>
                      <w:color w:val="auto"/>
                    </w:rPr>
                  </w:pPr>
                </w:p>
              </w:tc>
              <w:tc>
                <w:tcPr>
                  <w:tcW w:w="442"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折算浓度</w:t>
                  </w:r>
                </w:p>
              </w:tc>
              <w:tc>
                <w:tcPr>
                  <w:tcW w:w="463"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mg/ m</w:t>
                  </w:r>
                  <w:r>
                    <w:rPr>
                      <w:rFonts w:hint="default" w:ascii="Times New Roman" w:hAnsi="Times New Roman" w:cs="Times New Roman"/>
                      <w:color w:val="auto"/>
                      <w:vertAlign w:val="superscript"/>
                    </w:rPr>
                    <w:t>3</w:t>
                  </w:r>
                </w:p>
              </w:tc>
              <w:tc>
                <w:tcPr>
                  <w:tcW w:w="674"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 xml:space="preserve">138 </w:t>
                  </w:r>
                </w:p>
              </w:tc>
              <w:tc>
                <w:tcPr>
                  <w:tcW w:w="676"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 xml:space="preserve">178 </w:t>
                  </w:r>
                </w:p>
              </w:tc>
              <w:tc>
                <w:tcPr>
                  <w:tcW w:w="677"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 xml:space="preserve">171 </w:t>
                  </w:r>
                </w:p>
              </w:tc>
              <w:tc>
                <w:tcPr>
                  <w:tcW w:w="627"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 xml:space="preserve">162.4 </w:t>
                  </w:r>
                </w:p>
              </w:tc>
              <w:tc>
                <w:tcPr>
                  <w:tcW w:w="347"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1" w:type="pct"/>
                  <w:vMerge w:val="continue"/>
                  <w:vAlign w:val="center"/>
                </w:tcPr>
                <w:p>
                  <w:pPr>
                    <w:pStyle w:val="23"/>
                    <w:rPr>
                      <w:rFonts w:hint="default" w:ascii="Times New Roman" w:hAnsi="Times New Roman" w:cs="Times New Roman"/>
                      <w:color w:val="auto"/>
                    </w:rPr>
                  </w:pPr>
                </w:p>
              </w:tc>
              <w:tc>
                <w:tcPr>
                  <w:tcW w:w="494" w:type="pct"/>
                  <w:vMerge w:val="continue"/>
                  <w:vAlign w:val="center"/>
                </w:tcPr>
                <w:p>
                  <w:pPr>
                    <w:pStyle w:val="23"/>
                    <w:rPr>
                      <w:rFonts w:hint="default" w:ascii="Times New Roman" w:hAnsi="Times New Roman" w:cs="Times New Roman"/>
                      <w:color w:val="auto"/>
                    </w:rPr>
                  </w:pPr>
                </w:p>
              </w:tc>
              <w:tc>
                <w:tcPr>
                  <w:tcW w:w="315" w:type="pct"/>
                  <w:vMerge w:val="continue"/>
                  <w:vAlign w:val="center"/>
                </w:tcPr>
                <w:p>
                  <w:pPr>
                    <w:pStyle w:val="23"/>
                    <w:rPr>
                      <w:rFonts w:hint="default" w:ascii="Times New Roman" w:hAnsi="Times New Roman" w:cs="Times New Roman"/>
                      <w:color w:val="auto"/>
                    </w:rPr>
                  </w:pPr>
                </w:p>
              </w:tc>
              <w:tc>
                <w:tcPr>
                  <w:tcW w:w="442"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排放速率</w:t>
                  </w:r>
                </w:p>
              </w:tc>
              <w:tc>
                <w:tcPr>
                  <w:tcW w:w="463"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kg/h</w:t>
                  </w:r>
                </w:p>
              </w:tc>
              <w:tc>
                <w:tcPr>
                  <w:tcW w:w="674"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 xml:space="preserve">0.121 </w:t>
                  </w:r>
                </w:p>
              </w:tc>
              <w:tc>
                <w:tcPr>
                  <w:tcW w:w="676"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 xml:space="preserve">0.145 </w:t>
                  </w:r>
                </w:p>
              </w:tc>
              <w:tc>
                <w:tcPr>
                  <w:tcW w:w="677"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 xml:space="preserve">0.146 </w:t>
                  </w:r>
                </w:p>
              </w:tc>
              <w:tc>
                <w:tcPr>
                  <w:tcW w:w="627"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 xml:space="preserve">0.137 </w:t>
                  </w:r>
                </w:p>
              </w:tc>
              <w:tc>
                <w:tcPr>
                  <w:tcW w:w="347" w:type="pct"/>
                  <w:vAlign w:val="center"/>
                </w:tcPr>
                <w:p>
                  <w:pPr>
                    <w:pStyle w:val="23"/>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1" w:type="pct"/>
                  <w:vMerge w:val="continue"/>
                  <w:vAlign w:val="center"/>
                </w:tcPr>
                <w:p>
                  <w:pPr>
                    <w:pStyle w:val="23"/>
                    <w:rPr>
                      <w:rFonts w:hint="default" w:ascii="Times New Roman" w:hAnsi="Times New Roman" w:cs="Times New Roman"/>
                      <w:color w:val="auto"/>
                    </w:rPr>
                  </w:pPr>
                </w:p>
              </w:tc>
              <w:tc>
                <w:tcPr>
                  <w:tcW w:w="494" w:type="pct"/>
                  <w:vMerge w:val="continue"/>
                  <w:vAlign w:val="center"/>
                </w:tcPr>
                <w:p>
                  <w:pPr>
                    <w:pStyle w:val="23"/>
                    <w:rPr>
                      <w:rFonts w:hint="default" w:ascii="Times New Roman" w:hAnsi="Times New Roman" w:cs="Times New Roman"/>
                      <w:color w:val="auto"/>
                    </w:rPr>
                  </w:pPr>
                </w:p>
              </w:tc>
              <w:tc>
                <w:tcPr>
                  <w:tcW w:w="315" w:type="pct"/>
                  <w:vMerge w:val="restar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汞及其化合物</w:t>
                  </w:r>
                </w:p>
              </w:tc>
              <w:tc>
                <w:tcPr>
                  <w:tcW w:w="442"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实测浓度</w:t>
                  </w:r>
                </w:p>
              </w:tc>
              <w:tc>
                <w:tcPr>
                  <w:tcW w:w="463"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mg/ m</w:t>
                  </w:r>
                  <w:r>
                    <w:rPr>
                      <w:rFonts w:hint="default" w:ascii="Times New Roman" w:hAnsi="Times New Roman" w:cs="Times New Roman"/>
                      <w:color w:val="auto"/>
                      <w:vertAlign w:val="superscript"/>
                    </w:rPr>
                    <w:t>3</w:t>
                  </w:r>
                </w:p>
              </w:tc>
              <w:tc>
                <w:tcPr>
                  <w:tcW w:w="674"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&lt;0.0025</w:t>
                  </w:r>
                </w:p>
              </w:tc>
              <w:tc>
                <w:tcPr>
                  <w:tcW w:w="676"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&lt;0.0025</w:t>
                  </w:r>
                </w:p>
              </w:tc>
              <w:tc>
                <w:tcPr>
                  <w:tcW w:w="677"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&lt;0.0025</w:t>
                  </w:r>
                </w:p>
              </w:tc>
              <w:tc>
                <w:tcPr>
                  <w:tcW w:w="627"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&lt;0.0025</w:t>
                  </w:r>
                </w:p>
              </w:tc>
              <w:tc>
                <w:tcPr>
                  <w:tcW w:w="347"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1" w:type="pct"/>
                  <w:vMerge w:val="continue"/>
                  <w:vAlign w:val="center"/>
                </w:tcPr>
                <w:p>
                  <w:pPr>
                    <w:pStyle w:val="23"/>
                    <w:rPr>
                      <w:rFonts w:hint="default" w:ascii="Times New Roman" w:hAnsi="Times New Roman" w:cs="Times New Roman"/>
                      <w:color w:val="auto"/>
                    </w:rPr>
                  </w:pPr>
                </w:p>
              </w:tc>
              <w:tc>
                <w:tcPr>
                  <w:tcW w:w="494" w:type="pct"/>
                  <w:vMerge w:val="continue"/>
                  <w:vAlign w:val="center"/>
                </w:tcPr>
                <w:p>
                  <w:pPr>
                    <w:pStyle w:val="23"/>
                    <w:rPr>
                      <w:rFonts w:hint="default" w:ascii="Times New Roman" w:hAnsi="Times New Roman" w:cs="Times New Roman"/>
                      <w:color w:val="auto"/>
                    </w:rPr>
                  </w:pPr>
                </w:p>
              </w:tc>
              <w:tc>
                <w:tcPr>
                  <w:tcW w:w="315" w:type="pct"/>
                  <w:vMerge w:val="continue"/>
                  <w:vAlign w:val="center"/>
                </w:tcPr>
                <w:p>
                  <w:pPr>
                    <w:pStyle w:val="23"/>
                    <w:rPr>
                      <w:rFonts w:hint="default" w:ascii="Times New Roman" w:hAnsi="Times New Roman" w:cs="Times New Roman"/>
                      <w:color w:val="auto"/>
                    </w:rPr>
                  </w:pPr>
                </w:p>
              </w:tc>
              <w:tc>
                <w:tcPr>
                  <w:tcW w:w="442"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折算浓度</w:t>
                  </w:r>
                </w:p>
              </w:tc>
              <w:tc>
                <w:tcPr>
                  <w:tcW w:w="463"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mg/ m</w:t>
                  </w:r>
                  <w:r>
                    <w:rPr>
                      <w:rFonts w:hint="default" w:ascii="Times New Roman" w:hAnsi="Times New Roman" w:cs="Times New Roman"/>
                      <w:color w:val="auto"/>
                      <w:vertAlign w:val="superscript"/>
                    </w:rPr>
                    <w:t>3</w:t>
                  </w:r>
                </w:p>
              </w:tc>
              <w:tc>
                <w:tcPr>
                  <w:tcW w:w="674"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w:t>
                  </w:r>
                </w:p>
              </w:tc>
              <w:tc>
                <w:tcPr>
                  <w:tcW w:w="676"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w:t>
                  </w:r>
                </w:p>
              </w:tc>
              <w:tc>
                <w:tcPr>
                  <w:tcW w:w="677"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w:t>
                  </w:r>
                </w:p>
              </w:tc>
              <w:tc>
                <w:tcPr>
                  <w:tcW w:w="627"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w:t>
                  </w:r>
                </w:p>
              </w:tc>
              <w:tc>
                <w:tcPr>
                  <w:tcW w:w="347" w:type="pct"/>
                  <w:vAlign w:val="center"/>
                </w:tcPr>
                <w:p>
                  <w:pPr>
                    <w:pStyle w:val="23"/>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1" w:type="pct"/>
                  <w:vMerge w:val="continue"/>
                  <w:vAlign w:val="center"/>
                </w:tcPr>
                <w:p>
                  <w:pPr>
                    <w:pStyle w:val="23"/>
                    <w:rPr>
                      <w:rFonts w:hint="default" w:ascii="Times New Roman" w:hAnsi="Times New Roman" w:cs="Times New Roman"/>
                      <w:color w:val="auto"/>
                    </w:rPr>
                  </w:pPr>
                </w:p>
              </w:tc>
              <w:tc>
                <w:tcPr>
                  <w:tcW w:w="494" w:type="pct"/>
                  <w:vMerge w:val="continue"/>
                  <w:vAlign w:val="center"/>
                </w:tcPr>
                <w:p>
                  <w:pPr>
                    <w:pStyle w:val="23"/>
                    <w:rPr>
                      <w:rFonts w:hint="default" w:ascii="Times New Roman" w:hAnsi="Times New Roman" w:cs="Times New Roman"/>
                      <w:color w:val="auto"/>
                    </w:rPr>
                  </w:pPr>
                </w:p>
              </w:tc>
              <w:tc>
                <w:tcPr>
                  <w:tcW w:w="315" w:type="pct"/>
                  <w:vMerge w:val="continue"/>
                  <w:vAlign w:val="center"/>
                </w:tcPr>
                <w:p>
                  <w:pPr>
                    <w:pStyle w:val="23"/>
                    <w:rPr>
                      <w:rFonts w:hint="default" w:ascii="Times New Roman" w:hAnsi="Times New Roman" w:cs="Times New Roman"/>
                      <w:color w:val="auto"/>
                    </w:rPr>
                  </w:pPr>
                </w:p>
              </w:tc>
              <w:tc>
                <w:tcPr>
                  <w:tcW w:w="442"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排放速率</w:t>
                  </w:r>
                </w:p>
              </w:tc>
              <w:tc>
                <w:tcPr>
                  <w:tcW w:w="463"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kg/h</w:t>
                  </w:r>
                </w:p>
              </w:tc>
              <w:tc>
                <w:tcPr>
                  <w:tcW w:w="674"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w:t>
                  </w:r>
                </w:p>
              </w:tc>
              <w:tc>
                <w:tcPr>
                  <w:tcW w:w="676"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w:t>
                  </w:r>
                </w:p>
              </w:tc>
              <w:tc>
                <w:tcPr>
                  <w:tcW w:w="677"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w:t>
                  </w:r>
                </w:p>
              </w:tc>
              <w:tc>
                <w:tcPr>
                  <w:tcW w:w="627"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w:t>
                  </w:r>
                </w:p>
              </w:tc>
              <w:tc>
                <w:tcPr>
                  <w:tcW w:w="347" w:type="pct"/>
                  <w:vAlign w:val="center"/>
                </w:tcPr>
                <w:p>
                  <w:pPr>
                    <w:pStyle w:val="23"/>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1" w:type="pct"/>
                  <w:vMerge w:val="continue"/>
                  <w:vAlign w:val="center"/>
                </w:tcPr>
                <w:p>
                  <w:pPr>
                    <w:pStyle w:val="23"/>
                    <w:rPr>
                      <w:rFonts w:hint="default" w:ascii="Times New Roman" w:hAnsi="Times New Roman" w:cs="Times New Roman"/>
                      <w:color w:val="auto"/>
                    </w:rPr>
                  </w:pPr>
                </w:p>
              </w:tc>
              <w:tc>
                <w:tcPr>
                  <w:tcW w:w="494" w:type="pct"/>
                  <w:vMerge w:val="continue"/>
                  <w:vAlign w:val="center"/>
                </w:tcPr>
                <w:p>
                  <w:pPr>
                    <w:pStyle w:val="23"/>
                    <w:rPr>
                      <w:rFonts w:hint="default" w:ascii="Times New Roman" w:hAnsi="Times New Roman" w:cs="Times New Roman"/>
                      <w:color w:val="auto"/>
                    </w:rPr>
                  </w:pPr>
                </w:p>
              </w:tc>
              <w:tc>
                <w:tcPr>
                  <w:tcW w:w="757" w:type="pct"/>
                  <w:gridSpan w:val="2"/>
                  <w:vAlign w:val="center"/>
                </w:tcPr>
                <w:p>
                  <w:pPr>
                    <w:pStyle w:val="23"/>
                    <w:rPr>
                      <w:rFonts w:hint="default" w:ascii="Times New Roman" w:hAnsi="Times New Roman" w:cs="Times New Roman"/>
                      <w:color w:val="auto"/>
                    </w:rPr>
                  </w:pPr>
                  <w:r>
                    <w:rPr>
                      <w:rFonts w:hint="default" w:ascii="Times New Roman" w:hAnsi="Times New Roman" w:cs="Times New Roman"/>
                      <w:color w:val="auto"/>
                    </w:rPr>
                    <w:t>烟气黑度</w:t>
                  </w:r>
                </w:p>
              </w:tc>
              <w:tc>
                <w:tcPr>
                  <w:tcW w:w="463"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级</w:t>
                  </w:r>
                </w:p>
              </w:tc>
              <w:tc>
                <w:tcPr>
                  <w:tcW w:w="2654" w:type="pct"/>
                  <w:gridSpan w:val="4"/>
                  <w:vAlign w:val="center"/>
                </w:tcPr>
                <w:p>
                  <w:pPr>
                    <w:pStyle w:val="23"/>
                    <w:rPr>
                      <w:rFonts w:hint="default" w:ascii="Times New Roman" w:hAnsi="Times New Roman" w:cs="Times New Roman"/>
                      <w:color w:val="auto"/>
                    </w:rPr>
                  </w:pPr>
                  <w:r>
                    <w:rPr>
                      <w:rFonts w:hint="default" w:ascii="Times New Roman" w:hAnsi="Times New Roman" w:cs="Times New Roman"/>
                      <w:color w:val="auto"/>
                    </w:rPr>
                    <w:t>&lt;1</w:t>
                  </w:r>
                </w:p>
              </w:tc>
              <w:tc>
                <w:tcPr>
                  <w:tcW w:w="347"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81"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备注</w:t>
                  </w:r>
                </w:p>
              </w:tc>
              <w:tc>
                <w:tcPr>
                  <w:tcW w:w="4370" w:type="pct"/>
                  <w:gridSpan w:val="8"/>
                  <w:vAlign w:val="center"/>
                </w:tcPr>
                <w:p>
                  <w:pPr>
                    <w:pStyle w:val="23"/>
                    <w:rPr>
                      <w:rFonts w:hint="default" w:ascii="Times New Roman" w:hAnsi="Times New Roman" w:cs="Times New Roman"/>
                      <w:color w:val="auto"/>
                    </w:rPr>
                  </w:pPr>
                  <w:r>
                    <w:rPr>
                      <w:rFonts w:hint="default" w:ascii="Times New Roman" w:hAnsi="Times New Roman" w:cs="Times New Roman"/>
                      <w:color w:val="auto"/>
                    </w:rPr>
                    <w:t>锅炉燃料：生物质；排气筒高度：15m。</w:t>
                  </w:r>
                </w:p>
              </w:tc>
              <w:tc>
                <w:tcPr>
                  <w:tcW w:w="347" w:type="pct"/>
                  <w:vAlign w:val="center"/>
                </w:tcPr>
                <w:p>
                  <w:pPr>
                    <w:pStyle w:val="23"/>
                    <w:rPr>
                      <w:rFonts w:hint="default" w:ascii="Times New Roman" w:hAnsi="Times New Roman" w:cs="Times New Roman"/>
                      <w:color w:val="auto"/>
                    </w:rPr>
                  </w:pPr>
                </w:p>
              </w:tc>
            </w:tr>
          </w:tbl>
          <w:p>
            <w:pPr>
              <w:pStyle w:val="2"/>
              <w:ind w:firstLine="0" w:firstLineChars="0"/>
              <w:rPr>
                <w:rFonts w:hint="default" w:ascii="Times New Roman" w:hAnsi="Times New Roman" w:cs="Times New Roman"/>
                <w:color w:val="auto"/>
              </w:rPr>
            </w:pPr>
          </w:p>
          <w:p>
            <w:pPr>
              <w:numPr>
                <w:ilvl w:val="0"/>
                <w:numId w:val="3"/>
              </w:num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噪声：按照现有环评报告的噪声污染防治措施进行落实。根据2021年9月委托福建中科环境检测技术有限公司对厂界噪声的监测可知（检测结果详见表</w:t>
            </w:r>
            <w:r>
              <w:rPr>
                <w:rFonts w:hint="eastAsia" w:cs="Times New Roman"/>
                <w:color w:val="auto"/>
                <w:lang w:val="en-US" w:eastAsia="zh-CN"/>
              </w:rPr>
              <w:t>2.7-2</w:t>
            </w:r>
            <w:r>
              <w:rPr>
                <w:rFonts w:hint="default" w:ascii="Times New Roman" w:hAnsi="Times New Roman" w:cs="Times New Roman"/>
                <w:color w:val="auto"/>
              </w:rPr>
              <w:t>），项目厂界噪声能满足《工业企业厂界环境噪声排放标准》（GB12348-2008）中3类标准（昼间≤65dB，夜间≤55dB）排放限值要求。</w:t>
            </w:r>
          </w:p>
          <w:p>
            <w:pPr>
              <w:pStyle w:val="19"/>
              <w:rPr>
                <w:rFonts w:hint="default" w:ascii="Times New Roman" w:hAnsi="Times New Roman" w:cs="Times New Roman"/>
                <w:color w:val="auto"/>
              </w:rPr>
            </w:pPr>
            <w:r>
              <w:rPr>
                <w:rFonts w:hint="default" w:ascii="Times New Roman" w:hAnsi="Times New Roman" w:cs="Times New Roman"/>
                <w:color w:val="auto"/>
              </w:rPr>
              <w:t>表</w:t>
            </w:r>
            <w:r>
              <w:rPr>
                <w:rFonts w:hint="eastAsia" w:cs="Times New Roman"/>
                <w:color w:val="auto"/>
                <w:lang w:val="en-US" w:eastAsia="zh-CN"/>
              </w:rPr>
              <w:t>2.7-2</w:t>
            </w:r>
            <w:r>
              <w:rPr>
                <w:rFonts w:hint="default" w:ascii="Times New Roman" w:hAnsi="Times New Roman" w:cs="Times New Roman"/>
                <w:color w:val="auto"/>
              </w:rPr>
              <w:t xml:space="preserve"> </w:t>
            </w:r>
            <w:r>
              <w:rPr>
                <w:rFonts w:hint="eastAsia" w:cs="Times New Roman"/>
                <w:color w:val="auto"/>
                <w:lang w:val="en-US" w:eastAsia="zh-CN"/>
              </w:rPr>
              <w:t xml:space="preserve"> </w:t>
            </w:r>
            <w:r>
              <w:rPr>
                <w:rFonts w:hint="default" w:ascii="Times New Roman" w:hAnsi="Times New Roman" w:cs="Times New Roman"/>
                <w:color w:val="auto"/>
              </w:rPr>
              <w:t>项目环境噪声检测结果一览表</w:t>
            </w:r>
          </w:p>
          <w:tbl>
            <w:tblPr>
              <w:tblStyle w:val="15"/>
              <w:tblW w:w="81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72"/>
              <w:gridCol w:w="1432"/>
              <w:gridCol w:w="1131"/>
              <w:gridCol w:w="1301"/>
              <w:gridCol w:w="1301"/>
              <w:gridCol w:w="13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72" w:type="dxa"/>
                  <w:vMerge w:val="restart"/>
                  <w:vAlign w:val="center"/>
                </w:tcPr>
                <w:p>
                  <w:pPr>
                    <w:pStyle w:val="23"/>
                    <w:rPr>
                      <w:rFonts w:hint="default" w:ascii="Times New Roman" w:hAnsi="Times New Roman" w:cs="Times New Roman"/>
                      <w:b/>
                      <w:bCs/>
                      <w:color w:val="auto"/>
                    </w:rPr>
                  </w:pPr>
                  <w:r>
                    <w:rPr>
                      <w:rFonts w:hint="default" w:ascii="Times New Roman" w:hAnsi="Times New Roman" w:cs="Times New Roman"/>
                      <w:b/>
                      <w:bCs/>
                      <w:color w:val="auto"/>
                    </w:rPr>
                    <w:t>检测点位</w:t>
                  </w:r>
                </w:p>
              </w:tc>
              <w:tc>
                <w:tcPr>
                  <w:tcW w:w="1432" w:type="dxa"/>
                  <w:vMerge w:val="restart"/>
                  <w:vAlign w:val="center"/>
                </w:tcPr>
                <w:p>
                  <w:pPr>
                    <w:pStyle w:val="23"/>
                    <w:rPr>
                      <w:rFonts w:hint="default" w:ascii="Times New Roman" w:hAnsi="Times New Roman" w:cs="Times New Roman"/>
                      <w:b/>
                      <w:bCs/>
                      <w:color w:val="auto"/>
                    </w:rPr>
                  </w:pPr>
                  <w:r>
                    <w:rPr>
                      <w:rFonts w:hint="default" w:ascii="Times New Roman" w:hAnsi="Times New Roman" w:cs="Times New Roman"/>
                      <w:b/>
                      <w:bCs/>
                      <w:color w:val="auto"/>
                    </w:rPr>
                    <w:t>检测时间（2021.9.15）</w:t>
                  </w:r>
                </w:p>
              </w:tc>
              <w:tc>
                <w:tcPr>
                  <w:tcW w:w="3733" w:type="dxa"/>
                  <w:gridSpan w:val="3"/>
                  <w:vAlign w:val="center"/>
                </w:tcPr>
                <w:p>
                  <w:pPr>
                    <w:pStyle w:val="23"/>
                    <w:rPr>
                      <w:rFonts w:hint="default" w:ascii="Times New Roman" w:hAnsi="Times New Roman" w:cs="Times New Roman"/>
                      <w:b/>
                      <w:bCs/>
                      <w:color w:val="auto"/>
                    </w:rPr>
                  </w:pPr>
                  <w:r>
                    <w:rPr>
                      <w:rFonts w:hint="default" w:ascii="Times New Roman" w:hAnsi="Times New Roman" w:cs="Times New Roman"/>
                      <w:b/>
                      <w:bCs/>
                      <w:color w:val="auto"/>
                    </w:rPr>
                    <w:t>Leq（dB(A)）</w:t>
                  </w:r>
                </w:p>
              </w:tc>
              <w:tc>
                <w:tcPr>
                  <w:tcW w:w="1301" w:type="dxa"/>
                  <w:vMerge w:val="restart"/>
                  <w:vAlign w:val="center"/>
                </w:tcPr>
                <w:p>
                  <w:pPr>
                    <w:pStyle w:val="23"/>
                    <w:rPr>
                      <w:rFonts w:hint="default" w:ascii="Times New Roman" w:hAnsi="Times New Roman" w:cs="Times New Roman"/>
                      <w:b/>
                      <w:bCs/>
                      <w:color w:val="auto"/>
                    </w:rPr>
                  </w:pPr>
                  <w:r>
                    <w:rPr>
                      <w:rFonts w:hint="default" w:ascii="Times New Roman" w:hAnsi="Times New Roman" w:cs="Times New Roman"/>
                      <w:b/>
                      <w:bCs/>
                      <w:color w:val="auto"/>
                    </w:rPr>
                    <w:t>主要声源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72" w:type="dxa"/>
                  <w:vMerge w:val="continue"/>
                  <w:vAlign w:val="center"/>
                </w:tcPr>
                <w:p>
                  <w:pPr>
                    <w:pStyle w:val="23"/>
                    <w:rPr>
                      <w:rFonts w:hint="default" w:ascii="Times New Roman" w:hAnsi="Times New Roman" w:cs="Times New Roman"/>
                      <w:b/>
                      <w:bCs/>
                      <w:color w:val="auto"/>
                    </w:rPr>
                  </w:pPr>
                </w:p>
              </w:tc>
              <w:tc>
                <w:tcPr>
                  <w:tcW w:w="1432" w:type="dxa"/>
                  <w:vMerge w:val="continue"/>
                  <w:vAlign w:val="center"/>
                </w:tcPr>
                <w:p>
                  <w:pPr>
                    <w:pStyle w:val="23"/>
                    <w:rPr>
                      <w:rFonts w:hint="default" w:ascii="Times New Roman" w:hAnsi="Times New Roman" w:cs="Times New Roman"/>
                      <w:b/>
                      <w:bCs/>
                      <w:color w:val="auto"/>
                    </w:rPr>
                  </w:pPr>
                </w:p>
              </w:tc>
              <w:tc>
                <w:tcPr>
                  <w:tcW w:w="1131" w:type="dxa"/>
                  <w:vAlign w:val="center"/>
                </w:tcPr>
                <w:p>
                  <w:pPr>
                    <w:pStyle w:val="23"/>
                    <w:rPr>
                      <w:rFonts w:hint="default" w:ascii="Times New Roman" w:hAnsi="Times New Roman" w:cs="Times New Roman"/>
                      <w:b/>
                      <w:bCs/>
                      <w:color w:val="auto"/>
                    </w:rPr>
                  </w:pPr>
                  <w:r>
                    <w:rPr>
                      <w:rFonts w:hint="default" w:ascii="Times New Roman" w:hAnsi="Times New Roman" w:cs="Times New Roman"/>
                      <w:b/>
                      <w:bCs/>
                      <w:color w:val="auto"/>
                    </w:rPr>
                    <w:t>监测结果</w:t>
                  </w:r>
                </w:p>
              </w:tc>
              <w:tc>
                <w:tcPr>
                  <w:tcW w:w="1301" w:type="dxa"/>
                  <w:vAlign w:val="center"/>
                </w:tcPr>
                <w:p>
                  <w:pPr>
                    <w:pStyle w:val="23"/>
                    <w:rPr>
                      <w:rFonts w:hint="default" w:ascii="Times New Roman" w:hAnsi="Times New Roman" w:cs="Times New Roman"/>
                      <w:b/>
                      <w:bCs/>
                      <w:color w:val="auto"/>
                    </w:rPr>
                  </w:pPr>
                  <w:r>
                    <w:rPr>
                      <w:rFonts w:hint="default" w:ascii="Times New Roman" w:hAnsi="Times New Roman" w:cs="Times New Roman"/>
                      <w:b/>
                      <w:bCs/>
                      <w:color w:val="auto"/>
                    </w:rPr>
                    <w:t>标准限值</w:t>
                  </w:r>
                </w:p>
              </w:tc>
              <w:tc>
                <w:tcPr>
                  <w:tcW w:w="1301" w:type="dxa"/>
                  <w:vAlign w:val="center"/>
                </w:tcPr>
                <w:p>
                  <w:pPr>
                    <w:pStyle w:val="23"/>
                    <w:rPr>
                      <w:rFonts w:hint="default" w:ascii="Times New Roman" w:hAnsi="Times New Roman" w:cs="Times New Roman"/>
                      <w:b/>
                      <w:bCs/>
                      <w:color w:val="auto"/>
                    </w:rPr>
                  </w:pPr>
                  <w:r>
                    <w:rPr>
                      <w:rFonts w:hint="default" w:ascii="Times New Roman" w:hAnsi="Times New Roman" w:cs="Times New Roman"/>
                      <w:b/>
                      <w:bCs/>
                      <w:color w:val="auto"/>
                    </w:rPr>
                    <w:t>结果评价</w:t>
                  </w:r>
                </w:p>
              </w:tc>
              <w:tc>
                <w:tcPr>
                  <w:tcW w:w="1301" w:type="dxa"/>
                  <w:vMerge w:val="continue"/>
                  <w:vAlign w:val="center"/>
                </w:tcPr>
                <w:p>
                  <w:pPr>
                    <w:pStyle w:val="23"/>
                    <w:rPr>
                      <w:rFonts w:hint="default" w:ascii="Times New Roman" w:hAnsi="Times New Roman" w:cs="Times New Roman"/>
                      <w:b/>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72"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N1ZS-001</w:t>
                  </w:r>
                </w:p>
                <w:p>
                  <w:pPr>
                    <w:pStyle w:val="23"/>
                    <w:rPr>
                      <w:rFonts w:hint="default" w:ascii="Times New Roman" w:hAnsi="Times New Roman" w:cs="Times New Roman"/>
                      <w:color w:val="auto"/>
                    </w:rPr>
                  </w:pPr>
                  <w:r>
                    <w:rPr>
                      <w:rFonts w:hint="default" w:ascii="Times New Roman" w:hAnsi="Times New Roman" w:cs="Times New Roman"/>
                      <w:color w:val="auto"/>
                    </w:rPr>
                    <w:t>（西侧厂界）</w:t>
                  </w:r>
                </w:p>
              </w:tc>
              <w:tc>
                <w:tcPr>
                  <w:tcW w:w="1432"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09:34-09:44</w:t>
                  </w:r>
                </w:p>
              </w:tc>
              <w:tc>
                <w:tcPr>
                  <w:tcW w:w="113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61.7</w:t>
                  </w:r>
                </w:p>
              </w:tc>
              <w:tc>
                <w:tcPr>
                  <w:tcW w:w="130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65</w:t>
                  </w:r>
                </w:p>
              </w:tc>
              <w:tc>
                <w:tcPr>
                  <w:tcW w:w="130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达标</w:t>
                  </w:r>
                </w:p>
              </w:tc>
              <w:tc>
                <w:tcPr>
                  <w:tcW w:w="1301" w:type="dxa"/>
                  <w:vMerge w:val="restar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72"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N2ZS-002</w:t>
                  </w:r>
                </w:p>
                <w:p>
                  <w:pPr>
                    <w:pStyle w:val="23"/>
                    <w:rPr>
                      <w:rFonts w:hint="default" w:ascii="Times New Roman" w:hAnsi="Times New Roman" w:cs="Times New Roman"/>
                      <w:color w:val="auto"/>
                    </w:rPr>
                  </w:pPr>
                  <w:r>
                    <w:rPr>
                      <w:rFonts w:hint="default" w:ascii="Times New Roman" w:hAnsi="Times New Roman" w:cs="Times New Roman"/>
                      <w:color w:val="auto"/>
                    </w:rPr>
                    <w:t>（西南侧厂界）</w:t>
                  </w:r>
                </w:p>
              </w:tc>
              <w:tc>
                <w:tcPr>
                  <w:tcW w:w="1432"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09:47-09:57</w:t>
                  </w:r>
                </w:p>
              </w:tc>
              <w:tc>
                <w:tcPr>
                  <w:tcW w:w="113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62.2</w:t>
                  </w:r>
                </w:p>
              </w:tc>
              <w:tc>
                <w:tcPr>
                  <w:tcW w:w="130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65</w:t>
                  </w:r>
                </w:p>
              </w:tc>
              <w:tc>
                <w:tcPr>
                  <w:tcW w:w="130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达标</w:t>
                  </w:r>
                </w:p>
              </w:tc>
              <w:tc>
                <w:tcPr>
                  <w:tcW w:w="1301" w:type="dxa"/>
                  <w:vMerge w:val="continue"/>
                  <w:vAlign w:val="center"/>
                </w:tcPr>
                <w:p>
                  <w:pPr>
                    <w:pStyle w:val="23"/>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72"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N3ZS-003</w:t>
                  </w:r>
                </w:p>
                <w:p>
                  <w:pPr>
                    <w:pStyle w:val="23"/>
                    <w:rPr>
                      <w:rFonts w:hint="default" w:ascii="Times New Roman" w:hAnsi="Times New Roman" w:cs="Times New Roman"/>
                      <w:color w:val="auto"/>
                    </w:rPr>
                  </w:pPr>
                  <w:r>
                    <w:rPr>
                      <w:rFonts w:hint="default" w:ascii="Times New Roman" w:hAnsi="Times New Roman" w:cs="Times New Roman"/>
                      <w:color w:val="auto"/>
                    </w:rPr>
                    <w:t>（南侧1厂界）</w:t>
                  </w:r>
                </w:p>
              </w:tc>
              <w:tc>
                <w:tcPr>
                  <w:tcW w:w="1432"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10:01-10:11</w:t>
                  </w:r>
                </w:p>
              </w:tc>
              <w:tc>
                <w:tcPr>
                  <w:tcW w:w="113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59.4</w:t>
                  </w:r>
                </w:p>
              </w:tc>
              <w:tc>
                <w:tcPr>
                  <w:tcW w:w="130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65</w:t>
                  </w:r>
                </w:p>
              </w:tc>
              <w:tc>
                <w:tcPr>
                  <w:tcW w:w="130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达标</w:t>
                  </w:r>
                </w:p>
              </w:tc>
              <w:tc>
                <w:tcPr>
                  <w:tcW w:w="1301" w:type="dxa"/>
                  <w:vMerge w:val="continue"/>
                  <w:vAlign w:val="center"/>
                </w:tcPr>
                <w:p>
                  <w:pPr>
                    <w:pStyle w:val="23"/>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72"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N4ZS-004</w:t>
                  </w:r>
                </w:p>
                <w:p>
                  <w:pPr>
                    <w:pStyle w:val="23"/>
                    <w:rPr>
                      <w:rFonts w:hint="default" w:ascii="Times New Roman" w:hAnsi="Times New Roman" w:cs="Times New Roman"/>
                      <w:color w:val="auto"/>
                    </w:rPr>
                  </w:pPr>
                  <w:r>
                    <w:rPr>
                      <w:rFonts w:hint="default" w:ascii="Times New Roman" w:hAnsi="Times New Roman" w:cs="Times New Roman"/>
                      <w:color w:val="auto"/>
                    </w:rPr>
                    <w:t>（南侧2厂界）</w:t>
                  </w:r>
                </w:p>
              </w:tc>
              <w:tc>
                <w:tcPr>
                  <w:tcW w:w="1432"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10:15-10:25</w:t>
                  </w:r>
                </w:p>
              </w:tc>
              <w:tc>
                <w:tcPr>
                  <w:tcW w:w="113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58.9</w:t>
                  </w:r>
                </w:p>
              </w:tc>
              <w:tc>
                <w:tcPr>
                  <w:tcW w:w="130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65</w:t>
                  </w:r>
                </w:p>
              </w:tc>
              <w:tc>
                <w:tcPr>
                  <w:tcW w:w="130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达标</w:t>
                  </w:r>
                </w:p>
              </w:tc>
              <w:tc>
                <w:tcPr>
                  <w:tcW w:w="1301" w:type="dxa"/>
                  <w:vMerge w:val="continue"/>
                  <w:vAlign w:val="center"/>
                </w:tcPr>
                <w:p>
                  <w:pPr>
                    <w:pStyle w:val="23"/>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72"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N5ZS-005</w:t>
                  </w:r>
                </w:p>
                <w:p>
                  <w:pPr>
                    <w:pStyle w:val="23"/>
                    <w:rPr>
                      <w:rFonts w:hint="default" w:ascii="Times New Roman" w:hAnsi="Times New Roman" w:cs="Times New Roman"/>
                      <w:color w:val="auto"/>
                    </w:rPr>
                  </w:pPr>
                  <w:r>
                    <w:rPr>
                      <w:rFonts w:hint="default" w:ascii="Times New Roman" w:hAnsi="Times New Roman" w:cs="Times New Roman"/>
                      <w:color w:val="auto"/>
                    </w:rPr>
                    <w:t>（东南侧厂界）</w:t>
                  </w:r>
                </w:p>
              </w:tc>
              <w:tc>
                <w:tcPr>
                  <w:tcW w:w="1432"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10:29-10:39</w:t>
                  </w:r>
                </w:p>
              </w:tc>
              <w:tc>
                <w:tcPr>
                  <w:tcW w:w="113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58.1</w:t>
                  </w:r>
                </w:p>
              </w:tc>
              <w:tc>
                <w:tcPr>
                  <w:tcW w:w="130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65</w:t>
                  </w:r>
                </w:p>
              </w:tc>
              <w:tc>
                <w:tcPr>
                  <w:tcW w:w="130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达标</w:t>
                  </w:r>
                </w:p>
              </w:tc>
              <w:tc>
                <w:tcPr>
                  <w:tcW w:w="1301" w:type="dxa"/>
                  <w:vMerge w:val="continue"/>
                  <w:vAlign w:val="center"/>
                </w:tcPr>
                <w:p>
                  <w:pPr>
                    <w:pStyle w:val="23"/>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72"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N6ZS-006</w:t>
                  </w:r>
                </w:p>
                <w:p>
                  <w:pPr>
                    <w:pStyle w:val="23"/>
                    <w:rPr>
                      <w:rFonts w:hint="default" w:ascii="Times New Roman" w:hAnsi="Times New Roman" w:cs="Times New Roman"/>
                      <w:color w:val="auto"/>
                    </w:rPr>
                  </w:pPr>
                  <w:r>
                    <w:rPr>
                      <w:rFonts w:hint="default" w:ascii="Times New Roman" w:hAnsi="Times New Roman" w:cs="Times New Roman"/>
                      <w:color w:val="auto"/>
                    </w:rPr>
                    <w:t>（东侧厂界）</w:t>
                  </w:r>
                </w:p>
              </w:tc>
              <w:tc>
                <w:tcPr>
                  <w:tcW w:w="1432"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10:42-10:52</w:t>
                  </w:r>
                </w:p>
              </w:tc>
              <w:tc>
                <w:tcPr>
                  <w:tcW w:w="113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lang w:val="en-US" w:eastAsia="zh-CN"/>
                    </w:rPr>
                    <w:t>5</w:t>
                  </w:r>
                  <w:r>
                    <w:rPr>
                      <w:rFonts w:hint="default" w:ascii="Times New Roman" w:hAnsi="Times New Roman" w:cs="Times New Roman"/>
                      <w:color w:val="auto"/>
                    </w:rPr>
                    <w:t>8.8</w:t>
                  </w:r>
                </w:p>
              </w:tc>
              <w:tc>
                <w:tcPr>
                  <w:tcW w:w="130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65</w:t>
                  </w:r>
                </w:p>
              </w:tc>
              <w:tc>
                <w:tcPr>
                  <w:tcW w:w="130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达标</w:t>
                  </w:r>
                </w:p>
              </w:tc>
              <w:tc>
                <w:tcPr>
                  <w:tcW w:w="1301" w:type="dxa"/>
                  <w:vMerge w:val="continue"/>
                  <w:vAlign w:val="center"/>
                </w:tcPr>
                <w:p>
                  <w:pPr>
                    <w:pStyle w:val="23"/>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72"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N7ZS-007</w:t>
                  </w:r>
                </w:p>
                <w:p>
                  <w:pPr>
                    <w:pStyle w:val="23"/>
                    <w:rPr>
                      <w:rFonts w:hint="default" w:ascii="Times New Roman" w:hAnsi="Times New Roman" w:cs="Times New Roman"/>
                      <w:color w:val="auto"/>
                    </w:rPr>
                  </w:pPr>
                  <w:r>
                    <w:rPr>
                      <w:rFonts w:hint="default" w:ascii="Times New Roman" w:hAnsi="Times New Roman" w:cs="Times New Roman"/>
                      <w:color w:val="auto"/>
                    </w:rPr>
                    <w:t>（北侧1厂界）</w:t>
                  </w:r>
                </w:p>
              </w:tc>
              <w:tc>
                <w:tcPr>
                  <w:tcW w:w="1432"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10:57-11:07</w:t>
                  </w:r>
                </w:p>
              </w:tc>
              <w:tc>
                <w:tcPr>
                  <w:tcW w:w="113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59.2</w:t>
                  </w:r>
                </w:p>
              </w:tc>
              <w:tc>
                <w:tcPr>
                  <w:tcW w:w="130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65</w:t>
                  </w:r>
                </w:p>
              </w:tc>
              <w:tc>
                <w:tcPr>
                  <w:tcW w:w="130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达标</w:t>
                  </w:r>
                </w:p>
              </w:tc>
              <w:tc>
                <w:tcPr>
                  <w:tcW w:w="1301" w:type="dxa"/>
                  <w:vMerge w:val="continue"/>
                  <w:vAlign w:val="center"/>
                </w:tcPr>
                <w:p>
                  <w:pPr>
                    <w:pStyle w:val="23"/>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72"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N8ZS-008</w:t>
                  </w:r>
                </w:p>
                <w:p>
                  <w:pPr>
                    <w:pStyle w:val="23"/>
                    <w:rPr>
                      <w:rFonts w:hint="default" w:ascii="Times New Roman" w:hAnsi="Times New Roman" w:cs="Times New Roman"/>
                      <w:color w:val="auto"/>
                    </w:rPr>
                  </w:pPr>
                  <w:r>
                    <w:rPr>
                      <w:rFonts w:hint="default" w:ascii="Times New Roman" w:hAnsi="Times New Roman" w:cs="Times New Roman"/>
                      <w:color w:val="auto"/>
                    </w:rPr>
                    <w:t>（北侧2厂界）</w:t>
                  </w:r>
                </w:p>
              </w:tc>
              <w:tc>
                <w:tcPr>
                  <w:tcW w:w="1432"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11:11-11:21</w:t>
                  </w:r>
                </w:p>
              </w:tc>
              <w:tc>
                <w:tcPr>
                  <w:tcW w:w="113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59.7</w:t>
                  </w:r>
                </w:p>
              </w:tc>
              <w:tc>
                <w:tcPr>
                  <w:tcW w:w="130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65</w:t>
                  </w:r>
                </w:p>
              </w:tc>
              <w:tc>
                <w:tcPr>
                  <w:tcW w:w="130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达标</w:t>
                  </w:r>
                </w:p>
              </w:tc>
              <w:tc>
                <w:tcPr>
                  <w:tcW w:w="1301" w:type="dxa"/>
                  <w:vMerge w:val="continue"/>
                  <w:vAlign w:val="center"/>
                </w:tcPr>
                <w:p>
                  <w:pPr>
                    <w:pStyle w:val="23"/>
                    <w:rPr>
                      <w:rFonts w:hint="default" w:ascii="Times New Roman" w:hAnsi="Times New Roman" w:cs="Times New Roman"/>
                      <w:color w:val="auto"/>
                    </w:rPr>
                  </w:pPr>
                </w:p>
              </w:tc>
            </w:tr>
          </w:tbl>
          <w:p>
            <w:pPr>
              <w:ind w:firstLine="0" w:firstLineChars="0"/>
              <w:rPr>
                <w:rFonts w:hint="default" w:ascii="Times New Roman" w:hAnsi="Times New Roman" w:cs="Times New Roman"/>
                <w:color w:val="auto"/>
              </w:rPr>
            </w:pPr>
          </w:p>
          <w:p>
            <w:pPr>
              <w:pStyle w:val="2"/>
              <w:ind w:firstLine="0" w:firstLineChars="0"/>
              <w:rPr>
                <w:rFonts w:hint="default" w:ascii="Times New Roman" w:hAnsi="Times New Roman" w:cs="Times New Roman"/>
                <w:color w:val="auto"/>
              </w:rPr>
            </w:pPr>
            <w:r>
              <w:rPr>
                <w:rFonts w:hint="default" w:ascii="Times New Roman" w:hAnsi="Times New Roman" w:cs="Times New Roman"/>
                <w:color w:val="auto"/>
              </w:rPr>
              <w:drawing>
                <wp:inline distT="0" distB="0" distL="0" distR="0">
                  <wp:extent cx="5156835" cy="2776855"/>
                  <wp:effectExtent l="0" t="0" r="5715" b="444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19"/>
                          <a:stretch>
                            <a:fillRect/>
                          </a:stretch>
                        </pic:blipFill>
                        <pic:spPr>
                          <a:xfrm>
                            <a:off x="0" y="0"/>
                            <a:ext cx="5156835" cy="2776855"/>
                          </a:xfrm>
                          <a:prstGeom prst="rect">
                            <a:avLst/>
                          </a:prstGeom>
                        </pic:spPr>
                      </pic:pic>
                    </a:graphicData>
                  </a:graphic>
                </wp:inline>
              </w:drawing>
            </w:r>
          </w:p>
          <w:p>
            <w:pPr>
              <w:ind w:firstLine="482"/>
              <w:jc w:val="center"/>
              <w:rPr>
                <w:rFonts w:hint="default" w:ascii="Times New Roman" w:hAnsi="Times New Roman" w:cs="Times New Roman"/>
                <w:b/>
                <w:color w:val="auto"/>
              </w:rPr>
            </w:pPr>
            <w:r>
              <w:rPr>
                <w:rFonts w:hint="default" w:ascii="Times New Roman" w:hAnsi="Times New Roman" w:cs="Times New Roman"/>
                <w:b/>
                <w:color w:val="auto"/>
              </w:rPr>
              <w:t>图</w:t>
            </w:r>
            <w:r>
              <w:rPr>
                <w:rFonts w:hint="eastAsia" w:cs="Times New Roman"/>
                <w:b/>
                <w:color w:val="auto"/>
                <w:lang w:val="en-US" w:eastAsia="zh-CN"/>
              </w:rPr>
              <w:t>2.7-1</w:t>
            </w:r>
            <w:r>
              <w:rPr>
                <w:rFonts w:hint="default" w:ascii="Times New Roman" w:hAnsi="Times New Roman" w:cs="Times New Roman"/>
                <w:b/>
                <w:color w:val="auto"/>
              </w:rPr>
              <w:t xml:space="preserve">  噪声监测点位图</w:t>
            </w:r>
          </w:p>
          <w:p>
            <w:pPr>
              <w:pBdr>
                <w:top w:val="none" w:color="auto" w:sz="0" w:space="1"/>
                <w:left w:val="none" w:color="auto" w:sz="0" w:space="4"/>
                <w:bottom w:val="none" w:color="auto" w:sz="0" w:space="1"/>
                <w:right w:val="none" w:color="auto" w:sz="0" w:space="4"/>
              </w:pBdr>
              <w:ind w:firstLine="720" w:firstLineChars="300"/>
              <w:rPr>
                <w:rFonts w:hint="default" w:ascii="Times New Roman" w:hAnsi="Times New Roman" w:cs="Times New Roman"/>
                <w:color w:val="auto"/>
              </w:rPr>
            </w:pPr>
            <w:r>
              <w:rPr>
                <w:rFonts w:hint="default" w:ascii="Times New Roman" w:hAnsi="Times New Roman" w:cs="Times New Roman"/>
                <w:color w:val="auto"/>
              </w:rPr>
              <w:t>（4）固体废物：项目药渣收集后委托福建兴顺饲料有限公司回收处理；制剂工艺废包装材料收集后运至垃圾处理场填埋处理；锅炉炉渣及除尘灰渣经收集后，用作绿化土质改良；生活垃圾收集后由当地环卫部门清运处理。</w:t>
            </w:r>
          </w:p>
          <w:p>
            <w:pPr>
              <w:pStyle w:val="4"/>
              <w:rPr>
                <w:rFonts w:hint="default" w:ascii="Times New Roman" w:hAnsi="Times New Roman" w:cs="Times New Roman"/>
                <w:color w:val="auto"/>
              </w:rPr>
            </w:pPr>
            <w:bookmarkStart w:id="23" w:name="_Toc12259"/>
            <w:r>
              <w:rPr>
                <w:rFonts w:hint="default" w:ascii="Times New Roman" w:hAnsi="Times New Roman" w:cs="Times New Roman"/>
                <w:color w:val="auto"/>
              </w:rPr>
              <w:t>现有项目存在的问题</w:t>
            </w:r>
            <w:bookmarkEnd w:id="23"/>
          </w:p>
          <w:p>
            <w:pPr>
              <w:ind w:firstLine="480"/>
              <w:rPr>
                <w:rFonts w:hint="default" w:ascii="Times New Roman" w:hAnsi="Times New Roman" w:cs="Times New Roman"/>
                <w:color w:val="auto"/>
              </w:rPr>
            </w:pPr>
            <w:r>
              <w:rPr>
                <w:rFonts w:hint="default" w:ascii="Times New Roman" w:hAnsi="Times New Roman" w:cs="Times New Roman"/>
                <w:color w:val="auto"/>
              </w:rPr>
              <w:t>现有工程已通过环评审批，完成排污许可登记管理申报，废水、废气防治设施正常运行，现项目已通过环境保护竣工验收，符合“三同时”制度。</w:t>
            </w:r>
          </w:p>
          <w:p>
            <w:pPr>
              <w:ind w:firstLine="480"/>
              <w:rPr>
                <w:rFonts w:hint="default" w:ascii="Times New Roman" w:hAnsi="Times New Roman" w:cs="Times New Roman"/>
                <w:color w:val="auto"/>
              </w:rPr>
            </w:pPr>
            <w:r>
              <w:rPr>
                <w:rFonts w:hint="default" w:ascii="Times New Roman" w:hAnsi="Times New Roman" w:cs="Times New Roman"/>
                <w:color w:val="auto"/>
              </w:rPr>
              <w:t>根据现场调查，</w:t>
            </w:r>
            <w:r>
              <w:rPr>
                <w:rFonts w:hint="default" w:ascii="Times New Roman" w:hAnsi="Times New Roman" w:cs="Times New Roman"/>
                <w:color w:val="auto"/>
                <w:lang w:val="en-US" w:eastAsia="zh-CN"/>
              </w:rPr>
              <w:t>现有</w:t>
            </w:r>
            <w:r>
              <w:rPr>
                <w:rFonts w:hint="default" w:ascii="Times New Roman" w:hAnsi="Times New Roman" w:cs="Times New Roman"/>
                <w:color w:val="auto"/>
              </w:rPr>
              <w:t>项目存在的主要</w:t>
            </w:r>
            <w:r>
              <w:rPr>
                <w:rFonts w:hint="default" w:ascii="Times New Roman" w:hAnsi="Times New Roman" w:cs="Times New Roman"/>
                <w:color w:val="auto"/>
                <w:lang w:val="en-US" w:eastAsia="zh-CN"/>
              </w:rPr>
              <w:t>环保</w:t>
            </w:r>
            <w:r>
              <w:rPr>
                <w:rFonts w:hint="default" w:ascii="Times New Roman" w:hAnsi="Times New Roman" w:cs="Times New Roman"/>
                <w:color w:val="auto"/>
              </w:rPr>
              <w:t>问题为：生物质锅炉排气筒高度未达到审批要求（30m）。</w:t>
            </w: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p>
        </w:tc>
      </w:tr>
      <w:bookmarkEnd w:id="20"/>
    </w:tbl>
    <w:p>
      <w:pPr>
        <w:ind w:firstLine="480"/>
        <w:rPr>
          <w:rFonts w:hint="default" w:ascii="Times New Roman" w:hAnsi="Times New Roman" w:cs="Times New Roman"/>
          <w:color w:val="auto"/>
        </w:rPr>
        <w:sectPr>
          <w:pgSz w:w="11906" w:h="16838"/>
          <w:pgMar w:top="1701" w:right="1531" w:bottom="1701" w:left="1531" w:header="851" w:footer="851" w:gutter="0"/>
          <w:cols w:space="720" w:num="1"/>
          <w:docGrid w:linePitch="312" w:charSpace="0"/>
        </w:sectPr>
      </w:pPr>
    </w:p>
    <w:p>
      <w:pPr>
        <w:pStyle w:val="3"/>
        <w:ind w:firstLineChars="0"/>
        <w:rPr>
          <w:rFonts w:hint="default" w:ascii="Times New Roman" w:hAnsi="Times New Roman" w:cs="Times New Roman"/>
          <w:color w:val="auto"/>
        </w:rPr>
      </w:pPr>
      <w:bookmarkStart w:id="24" w:name="_Toc5875"/>
      <w:r>
        <w:rPr>
          <w:rFonts w:hint="default" w:ascii="Times New Roman" w:hAnsi="Times New Roman" w:cs="Times New Roman"/>
          <w:color w:val="auto"/>
        </w:rPr>
        <w:t>区域环境质量现状、环境保护目标及评价标准</w:t>
      </w:r>
      <w:bookmarkEnd w:id="17"/>
      <w:bookmarkEnd w:id="24"/>
    </w:p>
    <w:tbl>
      <w:tblPr>
        <w:tblStyle w:val="1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113" w:type="dxa"/>
          <w:left w:w="108" w:type="dxa"/>
          <w:bottom w:w="113" w:type="dxa"/>
          <w:right w:w="108" w:type="dxa"/>
        </w:tblCellMar>
      </w:tblPr>
      <w:tblGrid>
        <w:gridCol w:w="724"/>
        <w:gridCol w:w="833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113" w:type="dxa"/>
            <w:left w:w="108" w:type="dxa"/>
            <w:bottom w:w="113" w:type="dxa"/>
            <w:right w:w="108" w:type="dxa"/>
          </w:tblCellMar>
        </w:tblPrEx>
        <w:trPr>
          <w:trHeight w:val="5750" w:hRule="atLeast"/>
          <w:jc w:val="center"/>
        </w:trPr>
        <w:tc>
          <w:tcPr>
            <w:tcW w:w="724" w:type="dxa"/>
            <w:vAlign w:val="center"/>
          </w:tcPr>
          <w:p>
            <w:pPr>
              <w:pStyle w:val="4"/>
              <w:numPr>
                <w:ilvl w:val="1"/>
                <w:numId w:val="0"/>
              </w:numPr>
              <w:jc w:val="both"/>
              <w:rPr>
                <w:rFonts w:hint="default" w:ascii="Times New Roman" w:hAnsi="Times New Roman" w:cs="Times New Roman"/>
                <w:color w:val="auto"/>
                <w:kern w:val="0"/>
                <w:szCs w:val="21"/>
              </w:rPr>
            </w:pPr>
            <w:bookmarkStart w:id="25" w:name="_Toc28711"/>
            <w:r>
              <w:rPr>
                <w:rFonts w:hint="default" w:ascii="Times New Roman" w:hAnsi="Times New Roman" w:cs="Times New Roman"/>
                <w:b w:val="0"/>
                <w:bCs/>
                <w:color w:val="auto"/>
                <w:sz w:val="24"/>
              </w:rPr>
              <w:t>区域环境质量现状</w:t>
            </w:r>
            <w:bookmarkEnd w:id="25"/>
          </w:p>
        </w:tc>
        <w:tc>
          <w:tcPr>
            <w:tcW w:w="8337" w:type="dxa"/>
          </w:tcPr>
          <w:p>
            <w:pPr>
              <w:pStyle w:val="4"/>
              <w:spacing w:before="140"/>
              <w:rPr>
                <w:rFonts w:hint="default" w:ascii="Times New Roman" w:hAnsi="Times New Roman" w:cs="Times New Roman"/>
                <w:color w:val="auto"/>
              </w:rPr>
            </w:pPr>
            <w:bookmarkStart w:id="26" w:name="_Toc15439"/>
            <w:bookmarkStart w:id="27" w:name="_Toc23393"/>
            <w:r>
              <w:rPr>
                <w:rFonts w:hint="default" w:ascii="Times New Roman" w:hAnsi="Times New Roman" w:cs="Times New Roman"/>
                <w:color w:val="auto"/>
              </w:rPr>
              <w:t>环境质量现状</w:t>
            </w:r>
            <w:bookmarkEnd w:id="26"/>
          </w:p>
          <w:p>
            <w:pPr>
              <w:ind w:firstLine="0" w:firstLineChars="0"/>
              <w:outlineLvl w:val="2"/>
              <w:rPr>
                <w:rFonts w:hint="default" w:ascii="Times New Roman" w:hAnsi="Times New Roman" w:cs="Times New Roman"/>
                <w:b/>
                <w:color w:val="auto"/>
                <w:sz w:val="30"/>
                <w:szCs w:val="30"/>
              </w:rPr>
            </w:pPr>
            <w:bookmarkStart w:id="28" w:name="_Toc1980"/>
            <w:r>
              <w:rPr>
                <w:rFonts w:hint="default" w:ascii="Times New Roman" w:hAnsi="Times New Roman" w:cs="Times New Roman"/>
                <w:b/>
                <w:color w:val="auto"/>
                <w:sz w:val="30"/>
                <w:szCs w:val="30"/>
              </w:rPr>
              <w:t>3.1.1大气环境质量现状</w:t>
            </w:r>
            <w:bookmarkEnd w:id="28"/>
          </w:p>
          <w:p>
            <w:pPr>
              <w:ind w:firstLine="480"/>
              <w:rPr>
                <w:rFonts w:hint="default" w:ascii="Times New Roman" w:hAnsi="Times New Roman" w:cs="Times New Roman"/>
                <w:color w:val="auto"/>
                <w:kern w:val="0"/>
                <w:szCs w:val="20"/>
              </w:rPr>
            </w:pPr>
            <w:r>
              <w:rPr>
                <w:rFonts w:hint="default" w:ascii="Times New Roman" w:hAnsi="Times New Roman" w:cs="Times New Roman"/>
                <w:color w:val="auto"/>
                <w:kern w:val="0"/>
                <w:szCs w:val="20"/>
              </w:rPr>
              <w:t>本评价根据福州市闽侯县人民政府网站公布的</w:t>
            </w:r>
            <w:r>
              <w:rPr>
                <w:rFonts w:hint="default" w:ascii="Times New Roman" w:hAnsi="Times New Roman" w:cs="Times New Roman"/>
                <w:color w:val="auto"/>
                <w:szCs w:val="20"/>
              </w:rPr>
              <w:t>《闽侯县县城2021年03月空气质量月报》</w:t>
            </w:r>
            <w:r>
              <w:rPr>
                <w:rFonts w:hint="default" w:ascii="Times New Roman" w:hAnsi="Times New Roman" w:cs="Times New Roman"/>
                <w:color w:val="auto"/>
                <w:kern w:val="0"/>
                <w:szCs w:val="20"/>
              </w:rPr>
              <w:t>，对闽侯县进行大气监测的数据来说明项目所在地空气质量现状，详见</w:t>
            </w:r>
            <w:r>
              <w:rPr>
                <w:rFonts w:hint="default" w:ascii="Times New Roman" w:hAnsi="Times New Roman" w:cs="Times New Roman"/>
                <w:color w:val="auto"/>
                <w:szCs w:val="20"/>
              </w:rPr>
              <w:t>图3.1-1网站截图</w:t>
            </w:r>
            <w:r>
              <w:rPr>
                <w:rFonts w:hint="default" w:ascii="Times New Roman" w:hAnsi="Times New Roman" w:cs="Times New Roman"/>
                <w:color w:val="auto"/>
                <w:kern w:val="0"/>
                <w:szCs w:val="20"/>
              </w:rPr>
              <w:t>。</w:t>
            </w:r>
          </w:p>
          <w:p>
            <w:pPr>
              <w:ind w:firstLine="0" w:firstLineChars="0"/>
              <w:rPr>
                <w:rFonts w:hint="default" w:ascii="Times New Roman" w:hAnsi="Times New Roman" w:cs="Times New Roman"/>
                <w:color w:val="auto"/>
                <w:kern w:val="0"/>
                <w:szCs w:val="20"/>
              </w:rPr>
            </w:pPr>
            <w:r>
              <w:rPr>
                <w:rFonts w:hint="default" w:ascii="Times New Roman" w:hAnsi="Times New Roman" w:cs="Times New Roman"/>
                <w:color w:val="auto"/>
                <w:kern w:val="0"/>
                <w:szCs w:val="20"/>
              </w:rPr>
              <w:drawing>
                <wp:inline distT="0" distB="0" distL="0" distR="0">
                  <wp:extent cx="5069205" cy="2971165"/>
                  <wp:effectExtent l="0" t="0" r="0" b="635"/>
                  <wp:docPr id="33" name="图片 33" descr="微信截图_20210411162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微信截图_2021041116292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5078042" cy="2976783"/>
                          </a:xfrm>
                          <a:prstGeom prst="rect">
                            <a:avLst/>
                          </a:prstGeom>
                          <a:noFill/>
                          <a:ln>
                            <a:noFill/>
                          </a:ln>
                          <a:effectLst/>
                        </pic:spPr>
                      </pic:pic>
                    </a:graphicData>
                  </a:graphic>
                </wp:inline>
              </w:drawing>
            </w:r>
          </w:p>
          <w:p>
            <w:pPr>
              <w:ind w:firstLine="482"/>
              <w:jc w:val="center"/>
              <w:rPr>
                <w:rFonts w:hint="default" w:ascii="Times New Roman" w:hAnsi="Times New Roman" w:cs="Times New Roman"/>
                <w:b/>
                <w:bCs/>
                <w:color w:val="auto"/>
                <w:kern w:val="0"/>
                <w:szCs w:val="20"/>
              </w:rPr>
            </w:pPr>
            <w:r>
              <w:rPr>
                <w:rFonts w:hint="default" w:ascii="Times New Roman" w:hAnsi="Times New Roman" w:cs="Times New Roman"/>
                <w:b/>
                <w:bCs/>
                <w:color w:val="auto"/>
                <w:kern w:val="44"/>
                <w:szCs w:val="20"/>
              </w:rPr>
              <w:t xml:space="preserve">图3.1-1  </w:t>
            </w:r>
            <w:r>
              <w:rPr>
                <w:rFonts w:hint="default" w:ascii="Times New Roman" w:hAnsi="Times New Roman" w:cs="Times New Roman"/>
                <w:b/>
                <w:bCs/>
                <w:color w:val="auto"/>
                <w:kern w:val="0"/>
                <w:szCs w:val="20"/>
              </w:rPr>
              <w:t>闽侯县人民政府</w:t>
            </w:r>
            <w:r>
              <w:rPr>
                <w:rFonts w:hint="default" w:ascii="Times New Roman" w:hAnsi="Times New Roman" w:cs="Times New Roman"/>
                <w:b/>
                <w:bCs/>
                <w:color w:val="auto"/>
                <w:kern w:val="44"/>
                <w:szCs w:val="20"/>
              </w:rPr>
              <w:t>网站截图</w:t>
            </w:r>
          </w:p>
          <w:p>
            <w:pPr>
              <w:shd w:val="clear" w:color="auto" w:fill="FCFCFC"/>
              <w:ind w:firstLine="480"/>
              <w:rPr>
                <w:rFonts w:hint="default" w:ascii="Times New Roman" w:hAnsi="Times New Roman" w:cs="Times New Roman"/>
                <w:color w:val="auto"/>
              </w:rPr>
            </w:pPr>
            <w:r>
              <w:rPr>
                <w:rFonts w:hint="default" w:ascii="Times New Roman" w:hAnsi="Times New Roman" w:cs="Times New Roman"/>
                <w:color w:val="auto"/>
                <w:shd w:val="clear" w:color="auto" w:fill="FCFCFC"/>
                <w:lang w:bidi="ar"/>
              </w:rPr>
              <w:t>据县环境监测站公益性常规监测数据统计，2021年03月份我县县城环境空气质量继续保持良好，达到规定的相应功能区标准。</w:t>
            </w:r>
          </w:p>
          <w:p>
            <w:pPr>
              <w:shd w:val="clear" w:color="auto" w:fill="FCFCFC"/>
              <w:ind w:firstLine="480"/>
              <w:rPr>
                <w:rFonts w:hint="default" w:ascii="Times New Roman" w:hAnsi="Times New Roman" w:cs="Times New Roman"/>
                <w:color w:val="auto"/>
                <w:shd w:val="clear" w:color="auto" w:fill="FCFCFC"/>
                <w:lang w:bidi="ar"/>
              </w:rPr>
            </w:pPr>
            <w:r>
              <w:rPr>
                <w:rFonts w:hint="default" w:ascii="Times New Roman" w:hAnsi="Times New Roman" w:cs="Times New Roman"/>
                <w:color w:val="auto"/>
                <w:shd w:val="clear" w:color="auto" w:fill="FCFCFC"/>
                <w:lang w:bidi="ar"/>
              </w:rPr>
              <w:t>闽侯县2021年03月份县城空气质量SO</w:t>
            </w:r>
            <w:r>
              <w:rPr>
                <w:rFonts w:hint="default" w:ascii="Times New Roman" w:hAnsi="Times New Roman" w:cs="Times New Roman"/>
                <w:color w:val="auto"/>
                <w:shd w:val="clear" w:color="auto" w:fill="FCFCFC"/>
                <w:vertAlign w:val="subscript"/>
                <w:lang w:bidi="ar"/>
              </w:rPr>
              <w:t>2</w:t>
            </w:r>
            <w:r>
              <w:rPr>
                <w:rFonts w:hint="default" w:ascii="Times New Roman" w:hAnsi="Times New Roman" w:cs="Times New Roman"/>
                <w:color w:val="auto"/>
                <w:shd w:val="clear" w:color="auto" w:fill="FCFCFC"/>
                <w:lang w:bidi="ar"/>
              </w:rPr>
              <w:t>、NO</w:t>
            </w:r>
            <w:r>
              <w:rPr>
                <w:rFonts w:hint="default" w:ascii="Times New Roman" w:hAnsi="Times New Roman" w:cs="Times New Roman"/>
                <w:color w:val="auto"/>
                <w:shd w:val="clear" w:color="auto" w:fill="FCFCFC"/>
                <w:vertAlign w:val="subscript"/>
                <w:lang w:bidi="ar"/>
              </w:rPr>
              <w:t>2</w:t>
            </w:r>
            <w:r>
              <w:rPr>
                <w:rFonts w:hint="default" w:ascii="Times New Roman" w:hAnsi="Times New Roman" w:cs="Times New Roman"/>
                <w:color w:val="auto"/>
                <w:shd w:val="clear" w:color="auto" w:fill="FCFCFC"/>
                <w:lang w:bidi="ar"/>
              </w:rPr>
              <w:t>、PM</w:t>
            </w:r>
            <w:r>
              <w:rPr>
                <w:rFonts w:hint="default" w:ascii="Times New Roman" w:hAnsi="Times New Roman" w:cs="Times New Roman"/>
                <w:color w:val="auto"/>
                <w:shd w:val="clear" w:color="auto" w:fill="FCFCFC"/>
                <w:vertAlign w:val="subscript"/>
                <w:lang w:bidi="ar"/>
              </w:rPr>
              <w:t>10</w:t>
            </w:r>
            <w:r>
              <w:rPr>
                <w:rFonts w:hint="default" w:ascii="Times New Roman" w:hAnsi="Times New Roman" w:cs="Times New Roman"/>
                <w:color w:val="auto"/>
                <w:shd w:val="clear" w:color="auto" w:fill="FCFCFC"/>
                <w:lang w:bidi="ar"/>
              </w:rPr>
              <w:t>、CO、O</w:t>
            </w:r>
            <w:r>
              <w:rPr>
                <w:rFonts w:hint="default" w:ascii="Times New Roman" w:hAnsi="Times New Roman" w:cs="Times New Roman"/>
                <w:color w:val="auto"/>
                <w:shd w:val="clear" w:color="auto" w:fill="FCFCFC"/>
                <w:vertAlign w:val="subscript"/>
                <w:lang w:bidi="ar"/>
              </w:rPr>
              <w:t>3</w:t>
            </w:r>
            <w:r>
              <w:rPr>
                <w:rFonts w:hint="default" w:ascii="Times New Roman" w:hAnsi="Times New Roman" w:cs="Times New Roman"/>
                <w:color w:val="auto"/>
                <w:shd w:val="clear" w:color="auto" w:fill="FCFCFC"/>
                <w:lang w:bidi="ar"/>
              </w:rPr>
              <w:t>、PM</w:t>
            </w:r>
            <w:r>
              <w:rPr>
                <w:rFonts w:hint="default" w:ascii="Times New Roman" w:hAnsi="Times New Roman" w:cs="Times New Roman"/>
                <w:color w:val="auto"/>
                <w:shd w:val="clear" w:color="auto" w:fill="FCFCFC"/>
                <w:vertAlign w:val="subscript"/>
                <w:lang w:bidi="ar"/>
              </w:rPr>
              <w:t>2.5</w:t>
            </w:r>
            <w:r>
              <w:rPr>
                <w:rFonts w:hint="default" w:ascii="Times New Roman" w:hAnsi="Times New Roman" w:cs="Times New Roman"/>
                <w:color w:val="auto"/>
                <w:shd w:val="clear" w:color="auto" w:fill="FCFCFC"/>
                <w:lang w:bidi="ar"/>
              </w:rPr>
              <w:t>等6项污染物浓度指标的24小时均值（其中O</w:t>
            </w:r>
            <w:r>
              <w:rPr>
                <w:rFonts w:hint="default" w:ascii="Times New Roman" w:hAnsi="Times New Roman" w:cs="Times New Roman"/>
                <w:color w:val="auto"/>
                <w:shd w:val="clear" w:color="auto" w:fill="FCFCFC"/>
                <w:vertAlign w:val="subscript"/>
                <w:lang w:bidi="ar"/>
              </w:rPr>
              <w:t>3</w:t>
            </w:r>
            <w:r>
              <w:rPr>
                <w:rFonts w:hint="default" w:ascii="Times New Roman" w:hAnsi="Times New Roman" w:cs="Times New Roman"/>
                <w:color w:val="auto"/>
                <w:shd w:val="clear" w:color="auto" w:fill="FCFCFC"/>
                <w:lang w:bidi="ar"/>
              </w:rPr>
              <w:t>为日最大8小时平均）达到国家环境空气质量标准（GB 3095-2012）二级水平, 2021年3月份县城首要污染物为O</w:t>
            </w:r>
            <w:r>
              <w:rPr>
                <w:rFonts w:hint="default" w:ascii="Times New Roman" w:hAnsi="Times New Roman" w:cs="Times New Roman"/>
                <w:color w:val="auto"/>
                <w:shd w:val="clear" w:color="auto" w:fill="FCFCFC"/>
                <w:vertAlign w:val="subscript"/>
                <w:lang w:bidi="ar"/>
              </w:rPr>
              <w:t>3</w:t>
            </w:r>
            <w:r>
              <w:rPr>
                <w:rFonts w:hint="default" w:ascii="Times New Roman" w:hAnsi="Times New Roman" w:cs="Times New Roman"/>
                <w:color w:val="auto"/>
                <w:shd w:val="clear" w:color="auto" w:fill="FCFCFC"/>
                <w:lang w:bidi="ar"/>
              </w:rPr>
              <w:t>。</w:t>
            </w:r>
          </w:p>
          <w:p>
            <w:pPr>
              <w:shd w:val="clear" w:color="auto" w:fill="FCFCFC"/>
              <w:ind w:firstLine="480"/>
              <w:rPr>
                <w:rFonts w:hint="default" w:ascii="Times New Roman" w:hAnsi="Times New Roman" w:cs="Times New Roman"/>
                <w:color w:val="auto"/>
              </w:rPr>
            </w:pPr>
            <w:r>
              <w:rPr>
                <w:rFonts w:hint="default" w:ascii="Times New Roman" w:hAnsi="Times New Roman" w:cs="Times New Roman"/>
                <w:color w:val="auto"/>
              </w:rPr>
              <w:t>由此可分析，评价区域环境空气质量现状良好，可满足《环境空气质量标准》(GB3095-2012)中二级标准限值要求和相关标准要求。</w:t>
            </w:r>
          </w:p>
          <w:p>
            <w:pPr>
              <w:ind w:firstLine="0" w:firstLineChars="0"/>
              <w:outlineLvl w:val="2"/>
              <w:rPr>
                <w:rFonts w:hint="default" w:ascii="Times New Roman" w:hAnsi="Times New Roman" w:cs="Times New Roman"/>
                <w:b/>
                <w:color w:val="auto"/>
                <w:sz w:val="30"/>
                <w:szCs w:val="30"/>
              </w:rPr>
            </w:pPr>
            <w:bookmarkStart w:id="29" w:name="_Toc12345"/>
            <w:r>
              <w:rPr>
                <w:rFonts w:hint="default" w:ascii="Times New Roman" w:hAnsi="Times New Roman" w:cs="Times New Roman"/>
                <w:b/>
                <w:color w:val="auto"/>
                <w:sz w:val="30"/>
                <w:szCs w:val="30"/>
              </w:rPr>
              <w:t>3.1.2水环境质量现状</w:t>
            </w:r>
            <w:bookmarkEnd w:id="29"/>
          </w:p>
          <w:p>
            <w:pPr>
              <w:ind w:firstLine="480"/>
              <w:rPr>
                <w:rFonts w:hint="default" w:ascii="Times New Roman" w:hAnsi="Times New Roman" w:cs="Times New Roman"/>
                <w:color w:val="auto"/>
              </w:rPr>
            </w:pPr>
            <w:r>
              <w:rPr>
                <w:rFonts w:hint="default" w:ascii="Times New Roman" w:hAnsi="Times New Roman" w:cs="Times New Roman"/>
                <w:color w:val="auto"/>
              </w:rPr>
              <w:t>本项目附近主要地表水体为闽江（闽侯竹岐段）。根据福州市环保局网站公布的《2018年12月福州市重点河流断面水质状况》，闽江（闽侯竹岐段）的断面现状水质达到Ⅱ类水质标准。详见网站截图3.1-2。</w:t>
            </w:r>
          </w:p>
          <w:p>
            <w:pPr>
              <w:widowControl/>
              <w:ind w:firstLine="0" w:firstLineChars="0"/>
              <w:jc w:val="left"/>
              <w:rPr>
                <w:rFonts w:hint="default" w:ascii="Times New Roman" w:hAnsi="Times New Roman" w:cs="Times New Roman"/>
                <w:color w:val="auto"/>
              </w:rPr>
            </w:pPr>
            <w:r>
              <w:rPr>
                <w:rFonts w:hint="default" w:ascii="Times New Roman" w:hAnsi="Times New Roman" w:cs="Times New Roman"/>
                <w:color w:val="auto"/>
              </w:rPr>
              <mc:AlternateContent>
                <mc:Choice Requires="wps">
                  <w:drawing>
                    <wp:anchor distT="0" distB="0" distL="114300" distR="114300" simplePos="0" relativeHeight="251661312" behindDoc="0" locked="0" layoutInCell="1" allowOverlap="1">
                      <wp:simplePos x="0" y="0"/>
                      <wp:positionH relativeFrom="column">
                        <wp:posOffset>396240</wp:posOffset>
                      </wp:positionH>
                      <wp:positionV relativeFrom="paragraph">
                        <wp:posOffset>2196465</wp:posOffset>
                      </wp:positionV>
                      <wp:extent cx="3949065" cy="243840"/>
                      <wp:effectExtent l="0" t="0" r="13335" b="22860"/>
                      <wp:wrapNone/>
                      <wp:docPr id="34" name="流程图: 过程 34"/>
                      <wp:cNvGraphicFramePr/>
                      <a:graphic xmlns:a="http://schemas.openxmlformats.org/drawingml/2006/main">
                        <a:graphicData uri="http://schemas.microsoft.com/office/word/2010/wordprocessingShape">
                          <wps:wsp>
                            <wps:cNvSpPr>
                              <a:spLocks noChangeArrowheads="1"/>
                            </wps:cNvSpPr>
                            <wps:spPr bwMode="auto">
                              <a:xfrm>
                                <a:off x="0" y="0"/>
                                <a:ext cx="3949065" cy="243840"/>
                              </a:xfrm>
                              <a:prstGeom prst="flowChartProcess">
                                <a:avLst/>
                              </a:prstGeom>
                              <a:noFill/>
                              <a:ln w="19050">
                                <a:solidFill>
                                  <a:srgbClr val="C00000"/>
                                </a:solidFill>
                                <a:miter lim="800000"/>
                              </a:ln>
                            </wps:spPr>
                            <wps:bodyPr rot="0" vert="horz" wrap="square" lIns="91440" tIns="45720" rIns="91440" bIns="45720" anchor="t" anchorCtr="0" upright="1">
                              <a:noAutofit/>
                            </wps:bodyPr>
                          </wps:wsp>
                        </a:graphicData>
                      </a:graphic>
                    </wp:anchor>
                  </w:drawing>
                </mc:Choice>
                <mc:Fallback>
                  <w:pict>
                    <v:shape id="_x0000_s1026" o:spid="_x0000_s1026" o:spt="109" type="#_x0000_t109" style="position:absolute;left:0pt;margin-left:31.2pt;margin-top:172.95pt;height:19.2pt;width:310.95pt;z-index:251661312;mso-width-relative:page;mso-height-relative:page;" filled="f" stroked="t" coordsize="21600,21600" o:gfxdata="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8Soth2gAAAAoBAAAPAAAAAAAA&#10;AAEAIAAAACIAAABkcnMvZG93bnJldi54bWxQSwECFAAUAAAACACHTuJALJuhZkkCAABgBAAADgAA&#10;AAAAAAABACAAAAApAQAAZHJzL2Uyb0RvYy54bWxQSwUGAAAAAAYABgBZAQAA5AUAAAAA&#10;">
                      <v:fill on="f" focussize="0,0"/>
                      <v:stroke weight="1.5pt" color="#C00000" miterlimit="8" joinstyle="miter"/>
                      <v:imagedata o:title=""/>
                      <o:lock v:ext="edit" aspectratio="f"/>
                    </v:shape>
                  </w:pict>
                </mc:Fallback>
              </mc:AlternateContent>
            </w:r>
            <w:r>
              <w:rPr>
                <w:rFonts w:hint="default" w:ascii="Times New Roman" w:hAnsi="Times New Roman" w:cs="Times New Roman"/>
                <w:color w:val="auto"/>
                <w:kern w:val="0"/>
              </w:rPr>
              <w:fldChar w:fldCharType="begin"/>
            </w:r>
            <w:r>
              <w:rPr>
                <w:rFonts w:hint="default" w:ascii="Times New Roman" w:hAnsi="Times New Roman" w:cs="Times New Roman"/>
                <w:color w:val="auto"/>
                <w:kern w:val="0"/>
              </w:rPr>
              <w:instrText xml:space="preserve"> INCLUDEPICTURE  "F:\\91、众安药业锅炉改建\\Users\\Administrator\\AppData\\Roaming\\Tencent\\Users\\349206422\\QQ\\WinTemp\\RichOle\\F{UPVYU@3B3EFUPUV{80)XT.png" \* MERGEFORMATINET </w:instrText>
            </w:r>
            <w:r>
              <w:rPr>
                <w:rFonts w:hint="default" w:ascii="Times New Roman" w:hAnsi="Times New Roman" w:cs="Times New Roman"/>
                <w:color w:val="auto"/>
                <w:kern w:val="0"/>
              </w:rPr>
              <w:fldChar w:fldCharType="separate"/>
            </w:r>
            <w:r>
              <w:rPr>
                <w:rFonts w:hint="default" w:ascii="Times New Roman" w:hAnsi="Times New Roman" w:cs="Times New Roman"/>
                <w:color w:val="auto"/>
                <w:kern w:val="0"/>
              </w:rPr>
              <w:pict>
                <v:shape id="_x0000_i1025" o:spt="75" type="#_x0000_t75" style="height:307.35pt;width:408.35pt;" filled="f" o:preferrelative="t" stroked="f" coordsize="21600,21600">
                  <v:path/>
                  <v:fill on="f" focussize="0,0"/>
                  <v:stroke on="f" joinstyle="miter"/>
                  <v:imagedata r:id="rId21" r:href="rId22" o:title=""/>
                  <o:lock v:ext="edit" aspectratio="t"/>
                  <w10:wrap type="none"/>
                  <w10:anchorlock/>
                </v:shape>
              </w:pict>
            </w:r>
            <w:r>
              <w:rPr>
                <w:rFonts w:hint="default" w:ascii="Times New Roman" w:hAnsi="Times New Roman" w:cs="Times New Roman"/>
                <w:color w:val="auto"/>
                <w:kern w:val="0"/>
              </w:rPr>
              <w:fldChar w:fldCharType="end"/>
            </w:r>
          </w:p>
          <w:p>
            <w:pPr>
              <w:ind w:firstLine="482"/>
              <w:jc w:val="center"/>
              <w:rPr>
                <w:rFonts w:hint="default" w:ascii="Times New Roman" w:hAnsi="Times New Roman" w:cs="Times New Roman"/>
                <w:b/>
                <w:bCs/>
                <w:color w:val="auto"/>
              </w:rPr>
            </w:pPr>
            <w:r>
              <w:rPr>
                <w:rFonts w:hint="default" w:ascii="Times New Roman" w:hAnsi="Times New Roman" w:cs="Times New Roman"/>
                <w:b/>
                <w:bCs/>
                <w:color w:val="auto"/>
              </w:rPr>
              <w:t>图3.1-2  闽江（闽侯竹岐段）水质状况</w:t>
            </w:r>
          </w:p>
          <w:p>
            <w:pPr>
              <w:ind w:firstLine="0" w:firstLineChars="0"/>
              <w:outlineLvl w:val="2"/>
              <w:rPr>
                <w:rFonts w:hint="default" w:ascii="Times New Roman" w:hAnsi="Times New Roman" w:cs="Times New Roman"/>
                <w:b/>
                <w:color w:val="auto"/>
                <w:sz w:val="30"/>
                <w:szCs w:val="30"/>
              </w:rPr>
            </w:pPr>
            <w:bookmarkStart w:id="30" w:name="_Toc1829"/>
            <w:r>
              <w:rPr>
                <w:rFonts w:hint="default" w:ascii="Times New Roman" w:hAnsi="Times New Roman" w:cs="Times New Roman"/>
                <w:b/>
                <w:color w:val="auto"/>
                <w:sz w:val="30"/>
                <w:szCs w:val="30"/>
              </w:rPr>
              <w:t>3.1.3声环境质量现状</w:t>
            </w:r>
            <w:bookmarkEnd w:id="30"/>
          </w:p>
          <w:p>
            <w:pPr>
              <w:ind w:firstLine="480"/>
              <w:rPr>
                <w:rFonts w:hint="default" w:ascii="Times New Roman" w:hAnsi="Times New Roman" w:cs="Times New Roman"/>
                <w:color w:val="auto"/>
              </w:rPr>
            </w:pPr>
            <w:r>
              <w:rPr>
                <w:rFonts w:hint="default" w:ascii="Times New Roman" w:hAnsi="Times New Roman" w:cs="Times New Roman"/>
                <w:color w:val="auto"/>
              </w:rPr>
              <w:t>根据《建设项目环境影响报告表编制技术指南（污染影响类）》（试行）中要求，项目需对厂界外周边50米范围的声环境保护目标进行声环境质量现状监测；为此我司技术人员经现场踏勘得知，项目厂界外周边50米范围内无声环境保护目标。</w:t>
            </w:r>
          </w:p>
          <w:p>
            <w:pPr>
              <w:ind w:firstLine="480"/>
              <w:rPr>
                <w:rFonts w:hint="default" w:ascii="Times New Roman" w:hAnsi="Times New Roman" w:cs="Times New Roman"/>
                <w:color w:val="auto"/>
              </w:rPr>
            </w:pPr>
            <w:r>
              <w:rPr>
                <w:rFonts w:hint="default" w:ascii="Times New Roman" w:hAnsi="Times New Roman" w:cs="Times New Roman"/>
                <w:color w:val="auto"/>
              </w:rPr>
              <w:t>福建中科环境检测技术有限公司于2021年9月</w:t>
            </w:r>
            <w:r>
              <w:rPr>
                <w:rFonts w:hint="eastAsia" w:cs="Times New Roman"/>
                <w:color w:val="auto"/>
                <w:lang w:val="en-US" w:eastAsia="zh-CN"/>
              </w:rPr>
              <w:t>26</w:t>
            </w:r>
            <w:r>
              <w:rPr>
                <w:rFonts w:hint="default" w:ascii="Times New Roman" w:hAnsi="Times New Roman" w:cs="Times New Roman"/>
                <w:color w:val="auto"/>
              </w:rPr>
              <w:t>日对项目区声环境质量现状进行监测，检测报告见附件</w:t>
            </w:r>
            <w:r>
              <w:rPr>
                <w:rFonts w:hint="eastAsia" w:cs="Times New Roman"/>
                <w:color w:val="auto"/>
                <w:lang w:val="en-US" w:eastAsia="zh-CN"/>
              </w:rPr>
              <w:t>11</w:t>
            </w:r>
            <w:r>
              <w:rPr>
                <w:rFonts w:hint="default" w:ascii="Times New Roman" w:hAnsi="Times New Roman" w:cs="Times New Roman"/>
                <w:color w:val="auto"/>
              </w:rPr>
              <w:t>。检测结果详见表3.1-1。</w:t>
            </w:r>
          </w:p>
          <w:p>
            <w:pPr>
              <w:pStyle w:val="19"/>
              <w:rPr>
                <w:rFonts w:hint="default" w:ascii="Times New Roman" w:hAnsi="Times New Roman" w:cs="Times New Roman"/>
                <w:color w:val="auto"/>
              </w:rPr>
            </w:pPr>
          </w:p>
          <w:p>
            <w:pPr>
              <w:pStyle w:val="19"/>
              <w:rPr>
                <w:rFonts w:hint="default" w:ascii="Times New Roman" w:hAnsi="Times New Roman" w:cs="Times New Roman"/>
                <w:color w:val="auto"/>
              </w:rPr>
            </w:pPr>
          </w:p>
          <w:p>
            <w:pPr>
              <w:pStyle w:val="19"/>
              <w:rPr>
                <w:rFonts w:hint="default" w:ascii="Times New Roman" w:hAnsi="Times New Roman" w:eastAsia="宋体" w:cs="Times New Roman"/>
                <w:color w:val="auto"/>
                <w:lang w:val="en-US" w:eastAsia="zh-CN"/>
              </w:rPr>
            </w:pPr>
            <w:r>
              <w:rPr>
                <w:rFonts w:hint="default" w:ascii="Times New Roman" w:hAnsi="Times New Roman" w:cs="Times New Roman"/>
                <w:color w:val="auto"/>
              </w:rPr>
              <w:t>表3.1-1 项目环境噪声检测结果一览表</w:t>
            </w:r>
            <w:r>
              <w:rPr>
                <w:rFonts w:hint="eastAsia" w:cs="Times New Roman"/>
                <w:color w:val="auto"/>
                <w:lang w:val="en-US" w:eastAsia="zh-CN"/>
              </w:rPr>
              <w:t xml:space="preserve">  </w:t>
            </w:r>
            <w:r>
              <w:rPr>
                <w:color w:val="auto"/>
              </w:rPr>
              <w:t>单位：dB(A)</w:t>
            </w:r>
          </w:p>
          <w:tbl>
            <w:tblPr>
              <w:tblStyle w:val="1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81"/>
              <w:gridCol w:w="1174"/>
              <w:gridCol w:w="1116"/>
              <w:gridCol w:w="1256"/>
              <w:gridCol w:w="1228"/>
              <w:gridCol w:w="12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3" w:type="pct"/>
                  <w:vMerge w:val="restart"/>
                  <w:vAlign w:val="center"/>
                </w:tcPr>
                <w:p>
                  <w:pPr>
                    <w:pStyle w:val="23"/>
                    <w:rPr>
                      <w:rFonts w:hint="default" w:ascii="Times New Roman" w:hAnsi="Times New Roman" w:cs="Times New Roman"/>
                      <w:b/>
                      <w:bCs/>
                      <w:color w:val="auto"/>
                    </w:rPr>
                  </w:pPr>
                  <w:r>
                    <w:rPr>
                      <w:rFonts w:hint="default" w:ascii="Times New Roman" w:hAnsi="Times New Roman" w:cs="Times New Roman"/>
                      <w:b/>
                      <w:bCs/>
                      <w:color w:val="auto"/>
                    </w:rPr>
                    <w:t>检测点位</w:t>
                  </w:r>
                </w:p>
              </w:tc>
              <w:tc>
                <w:tcPr>
                  <w:tcW w:w="1412" w:type="pct"/>
                  <w:gridSpan w:val="2"/>
                  <w:vAlign w:val="center"/>
                </w:tcPr>
                <w:p>
                  <w:pPr>
                    <w:pStyle w:val="23"/>
                    <w:rPr>
                      <w:rFonts w:hint="default" w:ascii="Times New Roman" w:hAnsi="Times New Roman" w:eastAsia="宋体" w:cs="Times New Roman"/>
                      <w:b/>
                      <w:bCs/>
                      <w:color w:val="auto"/>
                      <w:lang w:val="en-US" w:eastAsia="zh-CN"/>
                    </w:rPr>
                  </w:pPr>
                  <w:r>
                    <w:rPr>
                      <w:rFonts w:hint="eastAsia" w:cs="Times New Roman"/>
                      <w:b/>
                      <w:bCs/>
                      <w:color w:val="auto"/>
                      <w:lang w:val="en-US" w:eastAsia="zh-CN"/>
                    </w:rPr>
                    <w:t>昼间</w:t>
                  </w:r>
                </w:p>
              </w:tc>
              <w:tc>
                <w:tcPr>
                  <w:tcW w:w="1531" w:type="pct"/>
                  <w:gridSpan w:val="2"/>
                  <w:vAlign w:val="center"/>
                </w:tcPr>
                <w:p>
                  <w:pPr>
                    <w:pStyle w:val="23"/>
                    <w:rPr>
                      <w:rFonts w:hint="eastAsia" w:ascii="Times New Roman" w:hAnsi="Times New Roman" w:eastAsia="宋体" w:cs="Times New Roman"/>
                      <w:b/>
                      <w:bCs/>
                      <w:color w:val="auto"/>
                      <w:lang w:val="en-US" w:eastAsia="zh-CN"/>
                    </w:rPr>
                  </w:pPr>
                  <w:r>
                    <w:rPr>
                      <w:rFonts w:hint="eastAsia" w:cs="Times New Roman"/>
                      <w:b/>
                      <w:bCs/>
                      <w:color w:val="auto"/>
                      <w:lang w:val="en-US" w:eastAsia="zh-CN"/>
                    </w:rPr>
                    <w:t>夜间</w:t>
                  </w:r>
                </w:p>
              </w:tc>
              <w:tc>
                <w:tcPr>
                  <w:tcW w:w="772" w:type="pct"/>
                  <w:vMerge w:val="restart"/>
                  <w:vAlign w:val="center"/>
                </w:tcPr>
                <w:p>
                  <w:pPr>
                    <w:pStyle w:val="23"/>
                    <w:ind w:firstLine="0" w:firstLineChars="0"/>
                    <w:rPr>
                      <w:rFonts w:hint="default" w:ascii="Times New Roman" w:hAnsi="Times New Roman" w:cs="Times New Roman"/>
                      <w:b/>
                      <w:bCs/>
                      <w:color w:val="auto"/>
                    </w:rPr>
                  </w:pPr>
                  <w:r>
                    <w:rPr>
                      <w:rFonts w:hint="default" w:ascii="Times New Roman" w:hAnsi="Times New Roman" w:cs="Times New Roman"/>
                      <w:b/>
                      <w:bCs/>
                      <w:color w:val="auto"/>
                    </w:rPr>
                    <w:t>结果评价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3" w:type="pct"/>
                  <w:vMerge w:val="continue"/>
                  <w:vAlign w:val="center"/>
                </w:tcPr>
                <w:p>
                  <w:pPr>
                    <w:pStyle w:val="23"/>
                    <w:rPr>
                      <w:rFonts w:hint="default" w:ascii="Times New Roman" w:hAnsi="Times New Roman" w:cs="Times New Roman"/>
                      <w:b/>
                      <w:bCs/>
                      <w:color w:val="auto"/>
                    </w:rPr>
                  </w:pPr>
                </w:p>
              </w:tc>
              <w:tc>
                <w:tcPr>
                  <w:tcW w:w="723" w:type="pct"/>
                  <w:vAlign w:val="center"/>
                </w:tcPr>
                <w:p>
                  <w:pPr>
                    <w:pStyle w:val="23"/>
                    <w:rPr>
                      <w:rFonts w:hint="default" w:ascii="Times New Roman" w:hAnsi="Times New Roman" w:cs="Times New Roman"/>
                      <w:b/>
                      <w:bCs/>
                      <w:color w:val="auto"/>
                    </w:rPr>
                  </w:pPr>
                  <w:r>
                    <w:rPr>
                      <w:rFonts w:hint="default" w:ascii="Times New Roman" w:hAnsi="Times New Roman" w:cs="Times New Roman"/>
                      <w:b/>
                      <w:bCs/>
                      <w:color w:val="auto"/>
                    </w:rPr>
                    <w:t>监测结果</w:t>
                  </w:r>
                </w:p>
              </w:tc>
              <w:tc>
                <w:tcPr>
                  <w:tcW w:w="688" w:type="pct"/>
                  <w:vAlign w:val="center"/>
                </w:tcPr>
                <w:p>
                  <w:pPr>
                    <w:pStyle w:val="23"/>
                    <w:rPr>
                      <w:rFonts w:hint="default" w:ascii="Times New Roman" w:hAnsi="Times New Roman" w:cs="Times New Roman"/>
                      <w:b/>
                      <w:bCs/>
                      <w:color w:val="auto"/>
                    </w:rPr>
                  </w:pPr>
                  <w:r>
                    <w:rPr>
                      <w:rFonts w:hint="default" w:ascii="Times New Roman" w:hAnsi="Times New Roman" w:cs="Times New Roman"/>
                      <w:b/>
                      <w:bCs/>
                      <w:color w:val="auto"/>
                    </w:rPr>
                    <w:t>标准限值</w:t>
                  </w:r>
                </w:p>
              </w:tc>
              <w:tc>
                <w:tcPr>
                  <w:tcW w:w="774" w:type="pct"/>
                  <w:vAlign w:val="center"/>
                </w:tcPr>
                <w:p>
                  <w:pPr>
                    <w:pStyle w:val="23"/>
                    <w:ind w:firstLine="0" w:firstLineChars="0"/>
                    <w:rPr>
                      <w:rFonts w:hint="default" w:ascii="Times New Roman" w:hAnsi="Times New Roman" w:cs="Times New Roman"/>
                      <w:b/>
                      <w:bCs/>
                      <w:color w:val="auto"/>
                    </w:rPr>
                  </w:pPr>
                  <w:r>
                    <w:rPr>
                      <w:rFonts w:hint="default" w:ascii="Times New Roman" w:hAnsi="Times New Roman" w:cs="Times New Roman"/>
                      <w:b/>
                      <w:bCs/>
                      <w:color w:val="auto"/>
                    </w:rPr>
                    <w:t>监测结果</w:t>
                  </w:r>
                </w:p>
              </w:tc>
              <w:tc>
                <w:tcPr>
                  <w:tcW w:w="757" w:type="pct"/>
                  <w:vAlign w:val="center"/>
                </w:tcPr>
                <w:p>
                  <w:pPr>
                    <w:pStyle w:val="23"/>
                    <w:ind w:firstLine="0" w:firstLineChars="0"/>
                    <w:rPr>
                      <w:rFonts w:hint="default" w:ascii="Times New Roman" w:hAnsi="Times New Roman" w:cs="Times New Roman"/>
                      <w:b/>
                      <w:bCs/>
                      <w:color w:val="auto"/>
                    </w:rPr>
                  </w:pPr>
                  <w:r>
                    <w:rPr>
                      <w:rFonts w:hint="default" w:ascii="Times New Roman" w:hAnsi="Times New Roman" w:cs="Times New Roman"/>
                      <w:b/>
                      <w:bCs/>
                      <w:color w:val="auto"/>
                    </w:rPr>
                    <w:t>标准限值</w:t>
                  </w:r>
                </w:p>
              </w:tc>
              <w:tc>
                <w:tcPr>
                  <w:tcW w:w="772" w:type="pct"/>
                  <w:vMerge w:val="continue"/>
                  <w:vAlign w:val="center"/>
                </w:tcPr>
                <w:p>
                  <w:pPr>
                    <w:pStyle w:val="23"/>
                    <w:ind w:firstLine="0" w:firstLineChars="0"/>
                    <w:rPr>
                      <w:rFonts w:hint="default" w:ascii="Times New Roman" w:hAnsi="Times New Roman" w:cs="Times New Roman"/>
                      <w:b/>
                      <w:bCs/>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3"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N1</w:t>
                  </w:r>
                </w:p>
                <w:p>
                  <w:pPr>
                    <w:pStyle w:val="23"/>
                    <w:rPr>
                      <w:rFonts w:hint="default" w:ascii="Times New Roman" w:hAnsi="Times New Roman" w:cs="Times New Roman"/>
                      <w:color w:val="auto"/>
                    </w:rPr>
                  </w:pPr>
                  <w:r>
                    <w:rPr>
                      <w:rFonts w:hint="default" w:ascii="Times New Roman" w:hAnsi="Times New Roman" w:cs="Times New Roman"/>
                      <w:color w:val="auto"/>
                    </w:rPr>
                    <w:t>西侧厂界</w:t>
                  </w:r>
                  <w:r>
                    <w:rPr>
                      <w:rFonts w:hint="eastAsia"/>
                      <w:color w:val="auto"/>
                      <w:szCs w:val="21"/>
                    </w:rPr>
                    <w:t>外1m</w:t>
                  </w:r>
                </w:p>
              </w:tc>
              <w:tc>
                <w:tcPr>
                  <w:tcW w:w="723" w:type="pct"/>
                  <w:vAlign w:val="center"/>
                </w:tcPr>
                <w:p>
                  <w:pPr>
                    <w:pStyle w:val="23"/>
                    <w:rPr>
                      <w:rFonts w:hint="default" w:ascii="Times New Roman" w:hAnsi="Times New Roman" w:eastAsia="宋体" w:cs="Times New Roman"/>
                      <w:color w:val="auto"/>
                      <w:lang w:val="en-US" w:eastAsia="zh-CN"/>
                    </w:rPr>
                  </w:pPr>
                  <w:r>
                    <w:rPr>
                      <w:rFonts w:hint="eastAsia" w:cs="Times New Roman"/>
                      <w:color w:val="auto"/>
                      <w:lang w:val="en-US" w:eastAsia="zh-CN"/>
                    </w:rPr>
                    <w:t>59.1</w:t>
                  </w:r>
                </w:p>
              </w:tc>
              <w:tc>
                <w:tcPr>
                  <w:tcW w:w="688"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65</w:t>
                  </w:r>
                </w:p>
              </w:tc>
              <w:tc>
                <w:tcPr>
                  <w:tcW w:w="774" w:type="pct"/>
                  <w:vAlign w:val="center"/>
                </w:tcPr>
                <w:p>
                  <w:pPr>
                    <w:pStyle w:val="23"/>
                    <w:rPr>
                      <w:rFonts w:hint="default" w:ascii="Times New Roman" w:hAnsi="Times New Roman" w:eastAsia="宋体" w:cs="Times New Roman"/>
                      <w:color w:val="auto"/>
                      <w:lang w:val="en-US" w:eastAsia="zh-CN"/>
                    </w:rPr>
                  </w:pPr>
                  <w:r>
                    <w:rPr>
                      <w:rFonts w:hint="eastAsia" w:cs="Times New Roman"/>
                      <w:color w:val="auto"/>
                      <w:lang w:val="en-US" w:eastAsia="zh-CN"/>
                    </w:rPr>
                    <w:t>51.2</w:t>
                  </w:r>
                </w:p>
              </w:tc>
              <w:tc>
                <w:tcPr>
                  <w:tcW w:w="757" w:type="pct"/>
                  <w:vAlign w:val="center"/>
                </w:tcPr>
                <w:p>
                  <w:pPr>
                    <w:pStyle w:val="23"/>
                    <w:rPr>
                      <w:rFonts w:hint="default" w:ascii="Times New Roman" w:hAnsi="Times New Roman" w:eastAsia="宋体" w:cs="Times New Roman"/>
                      <w:color w:val="auto"/>
                      <w:lang w:val="en-US" w:eastAsia="zh-CN"/>
                    </w:rPr>
                  </w:pPr>
                  <w:r>
                    <w:rPr>
                      <w:rFonts w:hint="eastAsia" w:cs="Times New Roman"/>
                      <w:color w:val="auto"/>
                      <w:lang w:val="en-US" w:eastAsia="zh-CN"/>
                    </w:rPr>
                    <w:t>55</w:t>
                  </w:r>
                </w:p>
              </w:tc>
              <w:tc>
                <w:tcPr>
                  <w:tcW w:w="772" w:type="pct"/>
                  <w:vAlign w:val="center"/>
                </w:tcPr>
                <w:p>
                  <w:pPr>
                    <w:pStyle w:val="23"/>
                    <w:ind w:firstLine="0" w:firstLineChars="0"/>
                    <w:rPr>
                      <w:rFonts w:hint="default" w:ascii="Times New Roman" w:hAnsi="Times New Roman" w:cs="Times New Roman"/>
                      <w:color w:val="auto"/>
                    </w:rPr>
                  </w:pPr>
                  <w:r>
                    <w:rPr>
                      <w:rFonts w:hint="default" w:ascii="Times New Roman" w:hAnsi="Times New Roman" w:cs="Times New Roman"/>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3"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N2</w:t>
                  </w:r>
                </w:p>
                <w:p>
                  <w:pPr>
                    <w:pStyle w:val="23"/>
                    <w:rPr>
                      <w:rFonts w:hint="default" w:ascii="Times New Roman" w:hAnsi="Times New Roman" w:cs="Times New Roman"/>
                      <w:color w:val="auto"/>
                    </w:rPr>
                  </w:pPr>
                  <w:r>
                    <w:rPr>
                      <w:rFonts w:hint="default" w:ascii="Times New Roman" w:hAnsi="Times New Roman" w:cs="Times New Roman"/>
                      <w:color w:val="auto"/>
                    </w:rPr>
                    <w:t>西南侧厂界</w:t>
                  </w:r>
                  <w:r>
                    <w:rPr>
                      <w:rFonts w:hint="eastAsia"/>
                      <w:color w:val="auto"/>
                      <w:szCs w:val="21"/>
                    </w:rPr>
                    <w:t>外1m</w:t>
                  </w:r>
                </w:p>
              </w:tc>
              <w:tc>
                <w:tcPr>
                  <w:tcW w:w="723" w:type="pct"/>
                  <w:vAlign w:val="center"/>
                </w:tcPr>
                <w:p>
                  <w:pPr>
                    <w:pStyle w:val="23"/>
                    <w:rPr>
                      <w:rFonts w:hint="default" w:ascii="Times New Roman" w:hAnsi="Times New Roman" w:eastAsia="宋体" w:cs="Times New Roman"/>
                      <w:color w:val="auto"/>
                      <w:lang w:val="en-US" w:eastAsia="zh-CN"/>
                    </w:rPr>
                  </w:pPr>
                  <w:r>
                    <w:rPr>
                      <w:rFonts w:hint="eastAsia" w:cs="Times New Roman"/>
                      <w:color w:val="auto"/>
                      <w:lang w:val="en-US" w:eastAsia="zh-CN"/>
                    </w:rPr>
                    <w:t>58.7</w:t>
                  </w:r>
                </w:p>
              </w:tc>
              <w:tc>
                <w:tcPr>
                  <w:tcW w:w="688"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65</w:t>
                  </w:r>
                </w:p>
              </w:tc>
              <w:tc>
                <w:tcPr>
                  <w:tcW w:w="774" w:type="pct"/>
                  <w:vAlign w:val="center"/>
                </w:tcPr>
                <w:p>
                  <w:pPr>
                    <w:pStyle w:val="23"/>
                    <w:rPr>
                      <w:rFonts w:hint="default" w:ascii="Times New Roman" w:hAnsi="Times New Roman" w:eastAsia="宋体" w:cs="Times New Roman"/>
                      <w:color w:val="auto"/>
                      <w:lang w:val="en-US" w:eastAsia="zh-CN"/>
                    </w:rPr>
                  </w:pPr>
                  <w:r>
                    <w:rPr>
                      <w:rFonts w:hint="eastAsia" w:cs="Times New Roman"/>
                      <w:color w:val="auto"/>
                      <w:lang w:val="en-US" w:eastAsia="zh-CN"/>
                    </w:rPr>
                    <w:t>52.4</w:t>
                  </w:r>
                </w:p>
              </w:tc>
              <w:tc>
                <w:tcPr>
                  <w:tcW w:w="757" w:type="pct"/>
                  <w:vAlign w:val="center"/>
                </w:tcPr>
                <w:p>
                  <w:pPr>
                    <w:pStyle w:val="23"/>
                    <w:rPr>
                      <w:rFonts w:hint="default" w:ascii="Times New Roman" w:hAnsi="Times New Roman" w:cs="Times New Roman"/>
                      <w:color w:val="auto"/>
                    </w:rPr>
                  </w:pPr>
                  <w:r>
                    <w:rPr>
                      <w:rFonts w:hint="eastAsia" w:cs="Times New Roman"/>
                      <w:color w:val="auto"/>
                      <w:lang w:val="en-US" w:eastAsia="zh-CN"/>
                    </w:rPr>
                    <w:t>55</w:t>
                  </w:r>
                </w:p>
              </w:tc>
              <w:tc>
                <w:tcPr>
                  <w:tcW w:w="772" w:type="pct"/>
                  <w:vAlign w:val="center"/>
                </w:tcPr>
                <w:p>
                  <w:pPr>
                    <w:pStyle w:val="23"/>
                    <w:ind w:firstLine="0" w:firstLineChars="0"/>
                    <w:rPr>
                      <w:rFonts w:hint="default" w:ascii="Times New Roman" w:hAnsi="Times New Roman" w:cs="Times New Roman"/>
                      <w:color w:val="auto"/>
                    </w:rPr>
                  </w:pPr>
                  <w:r>
                    <w:rPr>
                      <w:rFonts w:hint="default" w:ascii="Times New Roman" w:hAnsi="Times New Roman" w:cs="Times New Roman"/>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3"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N3</w:t>
                  </w:r>
                </w:p>
                <w:p>
                  <w:pPr>
                    <w:pStyle w:val="23"/>
                    <w:rPr>
                      <w:rFonts w:hint="default" w:ascii="Times New Roman" w:hAnsi="Times New Roman" w:cs="Times New Roman"/>
                      <w:color w:val="auto"/>
                    </w:rPr>
                  </w:pPr>
                  <w:r>
                    <w:rPr>
                      <w:rFonts w:hint="default" w:ascii="Times New Roman" w:hAnsi="Times New Roman" w:cs="Times New Roman"/>
                      <w:color w:val="auto"/>
                    </w:rPr>
                    <w:t>南侧1厂界</w:t>
                  </w:r>
                  <w:r>
                    <w:rPr>
                      <w:rFonts w:hint="eastAsia"/>
                      <w:color w:val="auto"/>
                      <w:szCs w:val="21"/>
                    </w:rPr>
                    <w:t>外1m</w:t>
                  </w:r>
                </w:p>
              </w:tc>
              <w:tc>
                <w:tcPr>
                  <w:tcW w:w="723" w:type="pct"/>
                  <w:vAlign w:val="center"/>
                </w:tcPr>
                <w:p>
                  <w:pPr>
                    <w:pStyle w:val="23"/>
                    <w:rPr>
                      <w:rFonts w:hint="default" w:ascii="Times New Roman" w:hAnsi="Times New Roman" w:eastAsia="宋体" w:cs="Times New Roman"/>
                      <w:color w:val="auto"/>
                      <w:lang w:val="en-US" w:eastAsia="zh-CN"/>
                    </w:rPr>
                  </w:pPr>
                  <w:r>
                    <w:rPr>
                      <w:rFonts w:hint="eastAsia" w:cs="Times New Roman"/>
                      <w:color w:val="auto"/>
                      <w:lang w:val="en-US" w:eastAsia="zh-CN"/>
                    </w:rPr>
                    <w:t>53.4</w:t>
                  </w:r>
                </w:p>
              </w:tc>
              <w:tc>
                <w:tcPr>
                  <w:tcW w:w="688"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65</w:t>
                  </w:r>
                </w:p>
              </w:tc>
              <w:tc>
                <w:tcPr>
                  <w:tcW w:w="774" w:type="pct"/>
                  <w:vAlign w:val="center"/>
                </w:tcPr>
                <w:p>
                  <w:pPr>
                    <w:pStyle w:val="23"/>
                    <w:rPr>
                      <w:rFonts w:hint="default" w:ascii="Times New Roman" w:hAnsi="Times New Roman" w:eastAsia="宋体" w:cs="Times New Roman"/>
                      <w:color w:val="auto"/>
                      <w:lang w:val="en-US" w:eastAsia="zh-CN"/>
                    </w:rPr>
                  </w:pPr>
                  <w:r>
                    <w:rPr>
                      <w:rFonts w:hint="eastAsia" w:cs="Times New Roman"/>
                      <w:color w:val="auto"/>
                      <w:lang w:val="en-US" w:eastAsia="zh-CN"/>
                    </w:rPr>
                    <w:t>44.6</w:t>
                  </w:r>
                </w:p>
              </w:tc>
              <w:tc>
                <w:tcPr>
                  <w:tcW w:w="757" w:type="pct"/>
                  <w:vAlign w:val="center"/>
                </w:tcPr>
                <w:p>
                  <w:pPr>
                    <w:pStyle w:val="23"/>
                    <w:rPr>
                      <w:rFonts w:hint="default" w:ascii="Times New Roman" w:hAnsi="Times New Roman" w:cs="Times New Roman"/>
                      <w:color w:val="auto"/>
                    </w:rPr>
                  </w:pPr>
                  <w:r>
                    <w:rPr>
                      <w:rFonts w:hint="eastAsia" w:cs="Times New Roman"/>
                      <w:color w:val="auto"/>
                      <w:lang w:val="en-US" w:eastAsia="zh-CN"/>
                    </w:rPr>
                    <w:t>55</w:t>
                  </w:r>
                </w:p>
              </w:tc>
              <w:tc>
                <w:tcPr>
                  <w:tcW w:w="772" w:type="pct"/>
                  <w:vAlign w:val="center"/>
                </w:tcPr>
                <w:p>
                  <w:pPr>
                    <w:pStyle w:val="23"/>
                    <w:ind w:firstLine="0" w:firstLineChars="0"/>
                    <w:rPr>
                      <w:rFonts w:hint="default" w:ascii="Times New Roman" w:hAnsi="Times New Roman" w:cs="Times New Roman"/>
                      <w:color w:val="auto"/>
                    </w:rPr>
                  </w:pPr>
                  <w:r>
                    <w:rPr>
                      <w:rFonts w:hint="default" w:ascii="Times New Roman" w:hAnsi="Times New Roman" w:cs="Times New Roman"/>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3"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N4</w:t>
                  </w:r>
                </w:p>
                <w:p>
                  <w:pPr>
                    <w:pStyle w:val="23"/>
                    <w:rPr>
                      <w:rFonts w:hint="default" w:ascii="Times New Roman" w:hAnsi="Times New Roman" w:cs="Times New Roman"/>
                      <w:color w:val="auto"/>
                    </w:rPr>
                  </w:pPr>
                  <w:r>
                    <w:rPr>
                      <w:rFonts w:hint="default" w:ascii="Times New Roman" w:hAnsi="Times New Roman" w:cs="Times New Roman"/>
                      <w:color w:val="auto"/>
                    </w:rPr>
                    <w:t>南侧2厂界</w:t>
                  </w:r>
                  <w:r>
                    <w:rPr>
                      <w:rFonts w:hint="eastAsia"/>
                      <w:color w:val="auto"/>
                      <w:szCs w:val="21"/>
                    </w:rPr>
                    <w:t>外1m</w:t>
                  </w:r>
                </w:p>
              </w:tc>
              <w:tc>
                <w:tcPr>
                  <w:tcW w:w="723" w:type="pct"/>
                  <w:vAlign w:val="center"/>
                </w:tcPr>
                <w:p>
                  <w:pPr>
                    <w:pStyle w:val="23"/>
                    <w:rPr>
                      <w:rFonts w:hint="default" w:ascii="Times New Roman" w:hAnsi="Times New Roman" w:eastAsia="宋体" w:cs="Times New Roman"/>
                      <w:color w:val="auto"/>
                      <w:lang w:val="en-US" w:eastAsia="zh-CN"/>
                    </w:rPr>
                  </w:pPr>
                  <w:r>
                    <w:rPr>
                      <w:rFonts w:hint="eastAsia" w:cs="Times New Roman"/>
                      <w:color w:val="auto"/>
                      <w:lang w:val="en-US" w:eastAsia="zh-CN"/>
                    </w:rPr>
                    <w:t>54.1</w:t>
                  </w:r>
                </w:p>
              </w:tc>
              <w:tc>
                <w:tcPr>
                  <w:tcW w:w="688"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65</w:t>
                  </w:r>
                </w:p>
              </w:tc>
              <w:tc>
                <w:tcPr>
                  <w:tcW w:w="774" w:type="pct"/>
                  <w:vAlign w:val="center"/>
                </w:tcPr>
                <w:p>
                  <w:pPr>
                    <w:pStyle w:val="23"/>
                    <w:rPr>
                      <w:rFonts w:hint="default" w:ascii="Times New Roman" w:hAnsi="Times New Roman" w:eastAsia="宋体" w:cs="Times New Roman"/>
                      <w:color w:val="auto"/>
                      <w:lang w:val="en-US" w:eastAsia="zh-CN"/>
                    </w:rPr>
                  </w:pPr>
                  <w:r>
                    <w:rPr>
                      <w:rFonts w:hint="eastAsia" w:cs="Times New Roman"/>
                      <w:color w:val="auto"/>
                      <w:lang w:val="en-US" w:eastAsia="zh-CN"/>
                    </w:rPr>
                    <w:t>45.2</w:t>
                  </w:r>
                </w:p>
              </w:tc>
              <w:tc>
                <w:tcPr>
                  <w:tcW w:w="757" w:type="pct"/>
                  <w:vAlign w:val="center"/>
                </w:tcPr>
                <w:p>
                  <w:pPr>
                    <w:pStyle w:val="23"/>
                    <w:rPr>
                      <w:rFonts w:hint="default" w:ascii="Times New Roman" w:hAnsi="Times New Roman" w:cs="Times New Roman"/>
                      <w:color w:val="auto"/>
                    </w:rPr>
                  </w:pPr>
                  <w:r>
                    <w:rPr>
                      <w:rFonts w:hint="eastAsia" w:cs="Times New Roman"/>
                      <w:color w:val="auto"/>
                      <w:lang w:val="en-US" w:eastAsia="zh-CN"/>
                    </w:rPr>
                    <w:t>55</w:t>
                  </w:r>
                </w:p>
              </w:tc>
              <w:tc>
                <w:tcPr>
                  <w:tcW w:w="772" w:type="pct"/>
                  <w:vAlign w:val="center"/>
                </w:tcPr>
                <w:p>
                  <w:pPr>
                    <w:pStyle w:val="23"/>
                    <w:ind w:firstLine="0" w:firstLineChars="0"/>
                    <w:rPr>
                      <w:rFonts w:hint="default" w:ascii="Times New Roman" w:hAnsi="Times New Roman" w:cs="Times New Roman"/>
                      <w:color w:val="auto"/>
                    </w:rPr>
                  </w:pPr>
                  <w:r>
                    <w:rPr>
                      <w:rFonts w:hint="default" w:ascii="Times New Roman" w:hAnsi="Times New Roman" w:cs="Times New Roman"/>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3"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N5</w:t>
                  </w:r>
                </w:p>
                <w:p>
                  <w:pPr>
                    <w:pStyle w:val="23"/>
                    <w:rPr>
                      <w:rFonts w:hint="default" w:ascii="Times New Roman" w:hAnsi="Times New Roman" w:cs="Times New Roman"/>
                      <w:color w:val="auto"/>
                    </w:rPr>
                  </w:pPr>
                  <w:r>
                    <w:rPr>
                      <w:rFonts w:hint="default" w:ascii="Times New Roman" w:hAnsi="Times New Roman" w:cs="Times New Roman"/>
                      <w:color w:val="auto"/>
                    </w:rPr>
                    <w:t>东南侧厂界</w:t>
                  </w:r>
                  <w:r>
                    <w:rPr>
                      <w:rFonts w:hint="eastAsia"/>
                      <w:color w:val="auto"/>
                      <w:szCs w:val="21"/>
                    </w:rPr>
                    <w:t>外1m</w:t>
                  </w:r>
                </w:p>
              </w:tc>
              <w:tc>
                <w:tcPr>
                  <w:tcW w:w="723" w:type="pct"/>
                  <w:vAlign w:val="center"/>
                </w:tcPr>
                <w:p>
                  <w:pPr>
                    <w:pStyle w:val="23"/>
                    <w:rPr>
                      <w:rFonts w:hint="default" w:ascii="Times New Roman" w:hAnsi="Times New Roman" w:eastAsia="宋体" w:cs="Times New Roman"/>
                      <w:color w:val="auto"/>
                      <w:lang w:val="en-US" w:eastAsia="zh-CN"/>
                    </w:rPr>
                  </w:pPr>
                  <w:r>
                    <w:rPr>
                      <w:rFonts w:hint="eastAsia" w:cs="Times New Roman"/>
                      <w:color w:val="auto"/>
                      <w:lang w:val="en-US" w:eastAsia="zh-CN"/>
                    </w:rPr>
                    <w:t>53.5</w:t>
                  </w:r>
                </w:p>
              </w:tc>
              <w:tc>
                <w:tcPr>
                  <w:tcW w:w="688"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65</w:t>
                  </w:r>
                </w:p>
              </w:tc>
              <w:tc>
                <w:tcPr>
                  <w:tcW w:w="774" w:type="pct"/>
                  <w:vAlign w:val="center"/>
                </w:tcPr>
                <w:p>
                  <w:pPr>
                    <w:pStyle w:val="23"/>
                    <w:rPr>
                      <w:rFonts w:hint="default" w:ascii="Times New Roman" w:hAnsi="Times New Roman" w:eastAsia="宋体" w:cs="Times New Roman"/>
                      <w:color w:val="auto"/>
                      <w:lang w:val="en-US" w:eastAsia="zh-CN"/>
                    </w:rPr>
                  </w:pPr>
                  <w:r>
                    <w:rPr>
                      <w:rFonts w:hint="eastAsia" w:cs="Times New Roman"/>
                      <w:color w:val="auto"/>
                      <w:lang w:val="en-US" w:eastAsia="zh-CN"/>
                    </w:rPr>
                    <w:t>43.9</w:t>
                  </w:r>
                </w:p>
              </w:tc>
              <w:tc>
                <w:tcPr>
                  <w:tcW w:w="757" w:type="pct"/>
                  <w:vAlign w:val="center"/>
                </w:tcPr>
                <w:p>
                  <w:pPr>
                    <w:pStyle w:val="23"/>
                    <w:rPr>
                      <w:rFonts w:hint="default" w:ascii="Times New Roman" w:hAnsi="Times New Roman" w:cs="Times New Roman"/>
                      <w:color w:val="auto"/>
                    </w:rPr>
                  </w:pPr>
                  <w:r>
                    <w:rPr>
                      <w:rFonts w:hint="eastAsia" w:cs="Times New Roman"/>
                      <w:color w:val="auto"/>
                      <w:lang w:val="en-US" w:eastAsia="zh-CN"/>
                    </w:rPr>
                    <w:t>55</w:t>
                  </w:r>
                </w:p>
              </w:tc>
              <w:tc>
                <w:tcPr>
                  <w:tcW w:w="772" w:type="pct"/>
                  <w:vAlign w:val="center"/>
                </w:tcPr>
                <w:p>
                  <w:pPr>
                    <w:pStyle w:val="23"/>
                    <w:ind w:firstLine="0" w:firstLineChars="0"/>
                    <w:rPr>
                      <w:rFonts w:hint="default" w:ascii="Times New Roman" w:hAnsi="Times New Roman" w:cs="Times New Roman"/>
                      <w:color w:val="auto"/>
                    </w:rPr>
                  </w:pPr>
                  <w:r>
                    <w:rPr>
                      <w:rFonts w:hint="default" w:ascii="Times New Roman" w:hAnsi="Times New Roman" w:cs="Times New Roman"/>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3"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N6</w:t>
                  </w:r>
                </w:p>
                <w:p>
                  <w:pPr>
                    <w:pStyle w:val="23"/>
                    <w:rPr>
                      <w:rFonts w:hint="default" w:ascii="Times New Roman" w:hAnsi="Times New Roman" w:cs="Times New Roman"/>
                      <w:color w:val="auto"/>
                    </w:rPr>
                  </w:pPr>
                  <w:r>
                    <w:rPr>
                      <w:rFonts w:hint="default" w:ascii="Times New Roman" w:hAnsi="Times New Roman" w:cs="Times New Roman"/>
                      <w:color w:val="auto"/>
                    </w:rPr>
                    <w:t>东侧厂界</w:t>
                  </w:r>
                  <w:r>
                    <w:rPr>
                      <w:rFonts w:hint="eastAsia"/>
                      <w:color w:val="auto"/>
                      <w:szCs w:val="21"/>
                    </w:rPr>
                    <w:t>外1m</w:t>
                  </w:r>
                </w:p>
              </w:tc>
              <w:tc>
                <w:tcPr>
                  <w:tcW w:w="723" w:type="pct"/>
                  <w:vAlign w:val="center"/>
                </w:tcPr>
                <w:p>
                  <w:pPr>
                    <w:pStyle w:val="23"/>
                    <w:rPr>
                      <w:rFonts w:hint="default" w:ascii="Times New Roman" w:hAnsi="Times New Roman" w:eastAsia="宋体" w:cs="Times New Roman"/>
                      <w:color w:val="auto"/>
                      <w:lang w:val="en-US" w:eastAsia="zh-CN"/>
                    </w:rPr>
                  </w:pPr>
                  <w:r>
                    <w:rPr>
                      <w:rFonts w:hint="eastAsia" w:cs="Times New Roman"/>
                      <w:color w:val="auto"/>
                      <w:lang w:val="en-US" w:eastAsia="zh-CN"/>
                    </w:rPr>
                    <w:t>52.9</w:t>
                  </w:r>
                </w:p>
              </w:tc>
              <w:tc>
                <w:tcPr>
                  <w:tcW w:w="688"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65</w:t>
                  </w:r>
                </w:p>
              </w:tc>
              <w:tc>
                <w:tcPr>
                  <w:tcW w:w="774" w:type="pct"/>
                  <w:vAlign w:val="center"/>
                </w:tcPr>
                <w:p>
                  <w:pPr>
                    <w:pStyle w:val="23"/>
                    <w:rPr>
                      <w:rFonts w:hint="default" w:ascii="Times New Roman" w:hAnsi="Times New Roman" w:eastAsia="宋体" w:cs="Times New Roman"/>
                      <w:color w:val="auto"/>
                      <w:lang w:val="en-US" w:eastAsia="zh-CN"/>
                    </w:rPr>
                  </w:pPr>
                  <w:r>
                    <w:rPr>
                      <w:rFonts w:hint="eastAsia" w:cs="Times New Roman"/>
                      <w:color w:val="auto"/>
                      <w:lang w:val="en-US" w:eastAsia="zh-CN"/>
                    </w:rPr>
                    <w:t>46.1</w:t>
                  </w:r>
                </w:p>
              </w:tc>
              <w:tc>
                <w:tcPr>
                  <w:tcW w:w="757" w:type="pct"/>
                  <w:vAlign w:val="center"/>
                </w:tcPr>
                <w:p>
                  <w:pPr>
                    <w:pStyle w:val="23"/>
                    <w:rPr>
                      <w:rFonts w:hint="default" w:ascii="Times New Roman" w:hAnsi="Times New Roman" w:cs="Times New Roman"/>
                      <w:color w:val="auto"/>
                    </w:rPr>
                  </w:pPr>
                  <w:r>
                    <w:rPr>
                      <w:rFonts w:hint="eastAsia" w:cs="Times New Roman"/>
                      <w:color w:val="auto"/>
                      <w:lang w:val="en-US" w:eastAsia="zh-CN"/>
                    </w:rPr>
                    <w:t>55</w:t>
                  </w:r>
                </w:p>
              </w:tc>
              <w:tc>
                <w:tcPr>
                  <w:tcW w:w="772" w:type="pct"/>
                  <w:vAlign w:val="center"/>
                </w:tcPr>
                <w:p>
                  <w:pPr>
                    <w:pStyle w:val="23"/>
                    <w:ind w:firstLine="0" w:firstLineChars="0"/>
                    <w:rPr>
                      <w:rFonts w:hint="default" w:ascii="Times New Roman" w:hAnsi="Times New Roman" w:cs="Times New Roman"/>
                      <w:color w:val="auto"/>
                    </w:rPr>
                  </w:pPr>
                  <w:r>
                    <w:rPr>
                      <w:rFonts w:hint="default" w:ascii="Times New Roman" w:hAnsi="Times New Roman" w:cs="Times New Roman"/>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3"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N7</w:t>
                  </w:r>
                </w:p>
                <w:p>
                  <w:pPr>
                    <w:pStyle w:val="23"/>
                    <w:rPr>
                      <w:rFonts w:hint="default" w:ascii="Times New Roman" w:hAnsi="Times New Roman" w:cs="Times New Roman"/>
                      <w:color w:val="auto"/>
                    </w:rPr>
                  </w:pPr>
                  <w:r>
                    <w:rPr>
                      <w:rFonts w:hint="default" w:ascii="Times New Roman" w:hAnsi="Times New Roman" w:cs="Times New Roman"/>
                      <w:color w:val="auto"/>
                    </w:rPr>
                    <w:t>北侧1厂界</w:t>
                  </w:r>
                  <w:r>
                    <w:rPr>
                      <w:rFonts w:hint="eastAsia"/>
                      <w:color w:val="auto"/>
                      <w:szCs w:val="21"/>
                    </w:rPr>
                    <w:t>外1m</w:t>
                  </w:r>
                </w:p>
              </w:tc>
              <w:tc>
                <w:tcPr>
                  <w:tcW w:w="723" w:type="pct"/>
                  <w:vAlign w:val="center"/>
                </w:tcPr>
                <w:p>
                  <w:pPr>
                    <w:pStyle w:val="23"/>
                    <w:rPr>
                      <w:rFonts w:hint="default" w:ascii="Times New Roman" w:hAnsi="Times New Roman" w:eastAsia="宋体" w:cs="Times New Roman"/>
                      <w:color w:val="auto"/>
                      <w:lang w:val="en-US" w:eastAsia="zh-CN"/>
                    </w:rPr>
                  </w:pPr>
                  <w:r>
                    <w:rPr>
                      <w:rFonts w:hint="eastAsia" w:cs="Times New Roman"/>
                      <w:color w:val="auto"/>
                      <w:lang w:val="en-US" w:eastAsia="zh-CN"/>
                    </w:rPr>
                    <w:t>53.6</w:t>
                  </w:r>
                </w:p>
              </w:tc>
              <w:tc>
                <w:tcPr>
                  <w:tcW w:w="688"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65</w:t>
                  </w:r>
                </w:p>
              </w:tc>
              <w:tc>
                <w:tcPr>
                  <w:tcW w:w="774" w:type="pct"/>
                  <w:vAlign w:val="center"/>
                </w:tcPr>
                <w:p>
                  <w:pPr>
                    <w:pStyle w:val="23"/>
                    <w:rPr>
                      <w:rFonts w:hint="default" w:ascii="Times New Roman" w:hAnsi="Times New Roman" w:eastAsia="宋体" w:cs="Times New Roman"/>
                      <w:color w:val="auto"/>
                      <w:lang w:val="en-US" w:eastAsia="zh-CN"/>
                    </w:rPr>
                  </w:pPr>
                  <w:r>
                    <w:rPr>
                      <w:rFonts w:hint="eastAsia" w:cs="Times New Roman"/>
                      <w:color w:val="auto"/>
                      <w:lang w:val="en-US" w:eastAsia="zh-CN"/>
                    </w:rPr>
                    <w:t>44.4</w:t>
                  </w:r>
                </w:p>
              </w:tc>
              <w:tc>
                <w:tcPr>
                  <w:tcW w:w="757" w:type="pct"/>
                  <w:vAlign w:val="center"/>
                </w:tcPr>
                <w:p>
                  <w:pPr>
                    <w:pStyle w:val="23"/>
                    <w:rPr>
                      <w:rFonts w:hint="default" w:ascii="Times New Roman" w:hAnsi="Times New Roman" w:cs="Times New Roman"/>
                      <w:color w:val="auto"/>
                    </w:rPr>
                  </w:pPr>
                  <w:r>
                    <w:rPr>
                      <w:rFonts w:hint="eastAsia" w:cs="Times New Roman"/>
                      <w:color w:val="auto"/>
                      <w:lang w:val="en-US" w:eastAsia="zh-CN"/>
                    </w:rPr>
                    <w:t>55</w:t>
                  </w:r>
                </w:p>
              </w:tc>
              <w:tc>
                <w:tcPr>
                  <w:tcW w:w="772" w:type="pct"/>
                  <w:vAlign w:val="center"/>
                </w:tcPr>
                <w:p>
                  <w:pPr>
                    <w:pStyle w:val="23"/>
                    <w:ind w:firstLine="0" w:firstLineChars="0"/>
                    <w:rPr>
                      <w:rFonts w:hint="default" w:ascii="Times New Roman" w:hAnsi="Times New Roman" w:cs="Times New Roman"/>
                      <w:color w:val="auto"/>
                    </w:rPr>
                  </w:pPr>
                  <w:r>
                    <w:rPr>
                      <w:rFonts w:hint="default" w:ascii="Times New Roman" w:hAnsi="Times New Roman" w:cs="Times New Roman"/>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3"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N8</w:t>
                  </w:r>
                </w:p>
                <w:p>
                  <w:pPr>
                    <w:pStyle w:val="23"/>
                    <w:rPr>
                      <w:rFonts w:hint="default" w:ascii="Times New Roman" w:hAnsi="Times New Roman" w:cs="Times New Roman"/>
                      <w:color w:val="auto"/>
                    </w:rPr>
                  </w:pPr>
                  <w:r>
                    <w:rPr>
                      <w:rFonts w:hint="default" w:ascii="Times New Roman" w:hAnsi="Times New Roman" w:cs="Times New Roman"/>
                      <w:color w:val="auto"/>
                    </w:rPr>
                    <w:t>北侧2厂界</w:t>
                  </w:r>
                  <w:r>
                    <w:rPr>
                      <w:rFonts w:hint="eastAsia"/>
                      <w:color w:val="auto"/>
                      <w:szCs w:val="21"/>
                    </w:rPr>
                    <w:t>外1m</w:t>
                  </w:r>
                </w:p>
              </w:tc>
              <w:tc>
                <w:tcPr>
                  <w:tcW w:w="723" w:type="pct"/>
                  <w:vAlign w:val="center"/>
                </w:tcPr>
                <w:p>
                  <w:pPr>
                    <w:pStyle w:val="23"/>
                    <w:rPr>
                      <w:rFonts w:hint="default" w:ascii="Times New Roman" w:hAnsi="Times New Roman" w:eastAsia="宋体" w:cs="Times New Roman"/>
                      <w:color w:val="auto"/>
                      <w:lang w:val="en-US" w:eastAsia="zh-CN"/>
                    </w:rPr>
                  </w:pPr>
                  <w:r>
                    <w:rPr>
                      <w:rFonts w:hint="eastAsia" w:cs="Times New Roman"/>
                      <w:color w:val="auto"/>
                      <w:lang w:val="en-US" w:eastAsia="zh-CN"/>
                    </w:rPr>
                    <w:t>54.4</w:t>
                  </w:r>
                </w:p>
              </w:tc>
              <w:tc>
                <w:tcPr>
                  <w:tcW w:w="688"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65</w:t>
                  </w:r>
                </w:p>
              </w:tc>
              <w:tc>
                <w:tcPr>
                  <w:tcW w:w="774" w:type="pct"/>
                  <w:vAlign w:val="center"/>
                </w:tcPr>
                <w:p>
                  <w:pPr>
                    <w:pStyle w:val="23"/>
                    <w:rPr>
                      <w:rFonts w:hint="default" w:ascii="Times New Roman" w:hAnsi="Times New Roman" w:eastAsia="宋体" w:cs="Times New Roman"/>
                      <w:color w:val="auto"/>
                      <w:lang w:val="en-US" w:eastAsia="zh-CN"/>
                    </w:rPr>
                  </w:pPr>
                  <w:r>
                    <w:rPr>
                      <w:rFonts w:hint="eastAsia" w:cs="Times New Roman"/>
                      <w:color w:val="auto"/>
                      <w:lang w:val="en-US" w:eastAsia="zh-CN"/>
                    </w:rPr>
                    <w:t>45.7</w:t>
                  </w:r>
                </w:p>
              </w:tc>
              <w:tc>
                <w:tcPr>
                  <w:tcW w:w="757" w:type="pct"/>
                  <w:vAlign w:val="center"/>
                </w:tcPr>
                <w:p>
                  <w:pPr>
                    <w:pStyle w:val="23"/>
                    <w:rPr>
                      <w:rFonts w:hint="default" w:ascii="Times New Roman" w:hAnsi="Times New Roman" w:cs="Times New Roman"/>
                      <w:color w:val="auto"/>
                    </w:rPr>
                  </w:pPr>
                  <w:r>
                    <w:rPr>
                      <w:rFonts w:hint="eastAsia" w:cs="Times New Roman"/>
                      <w:color w:val="auto"/>
                      <w:lang w:val="en-US" w:eastAsia="zh-CN"/>
                    </w:rPr>
                    <w:t>55</w:t>
                  </w:r>
                </w:p>
              </w:tc>
              <w:tc>
                <w:tcPr>
                  <w:tcW w:w="772" w:type="pct"/>
                  <w:vAlign w:val="center"/>
                </w:tcPr>
                <w:p>
                  <w:pPr>
                    <w:pStyle w:val="23"/>
                    <w:ind w:firstLine="0" w:firstLineChars="0"/>
                    <w:rPr>
                      <w:rFonts w:hint="default" w:ascii="Times New Roman" w:hAnsi="Times New Roman" w:cs="Times New Roman"/>
                      <w:color w:val="auto"/>
                    </w:rPr>
                  </w:pPr>
                  <w:r>
                    <w:rPr>
                      <w:rFonts w:hint="default" w:ascii="Times New Roman" w:hAnsi="Times New Roman" w:cs="Times New Roman"/>
                      <w:color w:val="auto"/>
                    </w:rPr>
                    <w:t>达标</w:t>
                  </w:r>
                </w:p>
              </w:tc>
            </w:tr>
          </w:tbl>
          <w:p>
            <w:pPr>
              <w:ind w:firstLine="0" w:firstLineChars="0"/>
              <w:rPr>
                <w:rFonts w:hint="default" w:ascii="Times New Roman" w:hAnsi="Times New Roman" w:cs="Times New Roman"/>
                <w:color w:val="auto"/>
              </w:rPr>
            </w:pPr>
          </w:p>
          <w:p>
            <w:pPr>
              <w:pStyle w:val="2"/>
              <w:ind w:left="0" w:leftChars="0" w:firstLine="0" w:firstLineChars="0"/>
              <w:rPr>
                <w:rFonts w:hint="default"/>
              </w:rPr>
            </w:pPr>
            <w:r>
              <w:drawing>
                <wp:inline distT="0" distB="0" distL="114300" distR="114300">
                  <wp:extent cx="5169535" cy="2800985"/>
                  <wp:effectExtent l="0" t="0" r="12065" b="18415"/>
                  <wp:docPr id="2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5"/>
                          <pic:cNvPicPr>
                            <a:picLocks noChangeAspect="1"/>
                          </pic:cNvPicPr>
                        </pic:nvPicPr>
                        <pic:blipFill>
                          <a:blip r:embed="rId23"/>
                          <a:stretch>
                            <a:fillRect/>
                          </a:stretch>
                        </pic:blipFill>
                        <pic:spPr>
                          <a:xfrm>
                            <a:off x="0" y="0"/>
                            <a:ext cx="5169535" cy="2800985"/>
                          </a:xfrm>
                          <a:prstGeom prst="rect">
                            <a:avLst/>
                          </a:prstGeom>
                          <a:noFill/>
                          <a:ln>
                            <a:noFill/>
                          </a:ln>
                        </pic:spPr>
                      </pic:pic>
                    </a:graphicData>
                  </a:graphic>
                </wp:inline>
              </w:drawing>
            </w:r>
          </w:p>
          <w:p>
            <w:pPr>
              <w:pStyle w:val="2"/>
              <w:ind w:firstLine="0" w:firstLineChars="0"/>
              <w:rPr>
                <w:rFonts w:hint="default" w:ascii="Times New Roman" w:hAnsi="Times New Roman" w:cs="Times New Roman"/>
                <w:color w:val="auto"/>
              </w:rPr>
            </w:pPr>
          </w:p>
          <w:p>
            <w:pPr>
              <w:ind w:firstLine="482"/>
              <w:jc w:val="center"/>
              <w:rPr>
                <w:rFonts w:hint="default" w:ascii="Times New Roman" w:hAnsi="Times New Roman" w:cs="Times New Roman"/>
                <w:b/>
                <w:color w:val="auto"/>
              </w:rPr>
            </w:pPr>
            <w:r>
              <w:rPr>
                <w:rFonts w:hint="default" w:ascii="Times New Roman" w:hAnsi="Times New Roman" w:cs="Times New Roman"/>
                <w:b/>
                <w:color w:val="auto"/>
              </w:rPr>
              <w:t>图3.1-3  噪声监测点位图</w:t>
            </w:r>
          </w:p>
          <w:p>
            <w:pPr>
              <w:ind w:firstLine="480"/>
              <w:rPr>
                <w:rFonts w:hint="default" w:ascii="Times New Roman" w:hAnsi="Times New Roman" w:cs="Times New Roman"/>
                <w:color w:val="auto"/>
              </w:rPr>
            </w:pPr>
            <w:r>
              <w:rPr>
                <w:rFonts w:hint="default" w:ascii="Times New Roman" w:hAnsi="Times New Roman" w:cs="Times New Roman"/>
                <w:color w:val="auto"/>
              </w:rPr>
              <w:t>由表3.1-1检测结果表明：项目厂界各侧监测点噪声现状昼间</w:t>
            </w:r>
            <w:r>
              <w:rPr>
                <w:rFonts w:hint="eastAsia" w:cs="Times New Roman"/>
                <w:color w:val="auto"/>
                <w:lang w:eastAsia="zh-CN"/>
              </w:rPr>
              <w:t>、</w:t>
            </w:r>
            <w:r>
              <w:rPr>
                <w:rFonts w:hint="eastAsia" w:cs="Times New Roman"/>
                <w:color w:val="auto"/>
                <w:lang w:val="en-US" w:eastAsia="zh-CN"/>
              </w:rPr>
              <w:t>夜间</w:t>
            </w:r>
            <w:r>
              <w:rPr>
                <w:rFonts w:hint="default" w:ascii="Times New Roman" w:hAnsi="Times New Roman" w:cs="Times New Roman"/>
                <w:color w:val="auto"/>
              </w:rPr>
              <w:t>均能够达到《声环境质量标准》（GB3096-2008）3类标准要求。项目所在区域声环境质量现状良好。综上所述，项目所在区域声环境质量良好。</w:t>
            </w:r>
            <w:bookmarkEnd w:id="27"/>
          </w:p>
          <w:p>
            <w:pPr>
              <w:pStyle w:val="2"/>
              <w:ind w:firstLine="360"/>
              <w:rPr>
                <w:rFonts w:hint="default" w:ascii="Times New Roman" w:hAnsi="Times New Roman" w:cs="Times New Roman"/>
                <w:color w:val="auto"/>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113" w:type="dxa"/>
            <w:left w:w="108" w:type="dxa"/>
            <w:bottom w:w="113" w:type="dxa"/>
            <w:right w:w="108" w:type="dxa"/>
          </w:tblCellMar>
        </w:tblPrEx>
        <w:trPr>
          <w:trHeight w:val="5750" w:hRule="atLeast"/>
          <w:jc w:val="center"/>
        </w:trPr>
        <w:tc>
          <w:tcPr>
            <w:tcW w:w="724" w:type="dxa"/>
            <w:vAlign w:val="center"/>
          </w:tcPr>
          <w:p>
            <w:pPr>
              <w:pStyle w:val="4"/>
              <w:numPr>
                <w:ilvl w:val="1"/>
                <w:numId w:val="0"/>
              </w:numPr>
              <w:jc w:val="center"/>
              <w:rPr>
                <w:rFonts w:hint="default" w:ascii="Times New Roman" w:hAnsi="Times New Roman" w:cs="Times New Roman"/>
                <w:color w:val="auto"/>
                <w:kern w:val="0"/>
                <w:szCs w:val="21"/>
              </w:rPr>
            </w:pPr>
            <w:bookmarkStart w:id="31" w:name="_Toc32553"/>
            <w:r>
              <w:rPr>
                <w:rFonts w:hint="default" w:ascii="Times New Roman" w:hAnsi="Times New Roman" w:cs="Times New Roman"/>
                <w:b w:val="0"/>
                <w:bCs/>
                <w:color w:val="auto"/>
                <w:sz w:val="24"/>
              </w:rPr>
              <w:t>环境保护目标</w:t>
            </w:r>
            <w:bookmarkEnd w:id="31"/>
          </w:p>
        </w:tc>
        <w:tc>
          <w:tcPr>
            <w:tcW w:w="8337" w:type="dxa"/>
          </w:tcPr>
          <w:p>
            <w:pPr>
              <w:pStyle w:val="4"/>
              <w:spacing w:before="20"/>
              <w:rPr>
                <w:rFonts w:hint="default" w:ascii="Times New Roman" w:hAnsi="Times New Roman" w:cs="Times New Roman"/>
                <w:color w:val="auto"/>
              </w:rPr>
            </w:pPr>
            <w:bookmarkStart w:id="32" w:name="_Toc5879"/>
            <w:r>
              <w:rPr>
                <w:rFonts w:hint="default" w:ascii="Times New Roman" w:hAnsi="Times New Roman" w:cs="Times New Roman"/>
                <w:color w:val="auto"/>
              </w:rPr>
              <w:t>环境保护目标</w:t>
            </w:r>
            <w:bookmarkEnd w:id="32"/>
          </w:p>
          <w:p>
            <w:pPr>
              <w:ind w:firstLine="480"/>
              <w:rPr>
                <w:rFonts w:hint="default" w:ascii="Times New Roman" w:hAnsi="Times New Roman" w:cs="Times New Roman"/>
                <w:color w:val="auto"/>
              </w:rPr>
            </w:pPr>
            <w:r>
              <w:rPr>
                <w:rFonts w:hint="default" w:ascii="Times New Roman" w:hAnsi="Times New Roman" w:cs="Times New Roman"/>
                <w:color w:val="auto"/>
              </w:rPr>
              <w:t>（1）大气环境</w:t>
            </w:r>
          </w:p>
          <w:p>
            <w:pPr>
              <w:pStyle w:val="26"/>
              <w:ind w:firstLine="480"/>
              <w:rPr>
                <w:rFonts w:hint="default" w:ascii="Times New Roman" w:hAnsi="Times New Roman" w:cs="Times New Roman"/>
                <w:color w:val="auto"/>
              </w:rPr>
            </w:pPr>
            <w:r>
              <w:rPr>
                <w:rFonts w:hint="default" w:ascii="Times New Roman" w:hAnsi="Times New Roman" w:cs="Times New Roman"/>
                <w:color w:val="auto"/>
              </w:rPr>
              <w:t>本项目厂界外500米范围内无自然保护区、风景名胜区、文化区和农村地区中人群较集中的区域等保护目标。距离本项目最近的敏感目标为</w:t>
            </w:r>
            <w:r>
              <w:rPr>
                <w:rFonts w:hint="eastAsia" w:cs="Times New Roman"/>
                <w:color w:val="auto"/>
                <w:lang w:val="en-US" w:eastAsia="zh-CN"/>
              </w:rPr>
              <w:t>东</w:t>
            </w:r>
            <w:r>
              <w:rPr>
                <w:rFonts w:hint="default" w:ascii="Times New Roman" w:hAnsi="Times New Roman" w:cs="Times New Roman"/>
                <w:color w:val="auto"/>
              </w:rPr>
              <w:t>南侧500米的南山村。</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（2）声环境</w:t>
            </w:r>
          </w:p>
          <w:p>
            <w:pPr>
              <w:pStyle w:val="26"/>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本项目厂界外50米范围内无声环境保护目标。</w:t>
            </w:r>
          </w:p>
          <w:p>
            <w:pPr>
              <w:pStyle w:val="26"/>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（3）地下水</w:t>
            </w:r>
          </w:p>
          <w:p>
            <w:pPr>
              <w:ind w:firstLine="480"/>
              <w:rPr>
                <w:rFonts w:hint="default" w:ascii="Times New Roman" w:hAnsi="Times New Roman" w:cs="Times New Roman"/>
                <w:color w:val="auto"/>
              </w:rPr>
            </w:pPr>
            <w:r>
              <w:rPr>
                <w:rFonts w:hint="default" w:ascii="Times New Roman" w:hAnsi="Times New Roman" w:cs="Times New Roman"/>
                <w:color w:val="auto"/>
              </w:rPr>
              <w:t>厂界外500米范围内无地下水集中式饮用水水源和热水、矿泉水、泉水等特殊地下水资源。</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（4）生态环境</w:t>
            </w:r>
          </w:p>
          <w:p>
            <w:pPr>
              <w:pBdr>
                <w:top w:val="none" w:color="auto" w:sz="0" w:space="1"/>
                <w:left w:val="none" w:color="auto" w:sz="0" w:space="4"/>
                <w:bottom w:val="none" w:color="auto" w:sz="0" w:space="1"/>
                <w:right w:val="none" w:color="auto" w:sz="0" w:space="4"/>
              </w:pBdr>
              <w:ind w:firstLine="480"/>
              <w:rPr>
                <w:rFonts w:hint="eastAsia" w:ascii="Times New Roman" w:hAnsi="Times New Roman" w:eastAsia="宋体" w:cs="Times New Roman"/>
                <w:color w:val="auto"/>
                <w:lang w:eastAsia="zh-CN"/>
              </w:rPr>
            </w:pPr>
            <w:r>
              <w:rPr>
                <w:rFonts w:hint="default" w:ascii="Times New Roman" w:hAnsi="Times New Roman" w:cs="Times New Roman"/>
                <w:color w:val="auto"/>
              </w:rPr>
              <w:t>本项目用地性质属于工业项目用地，且为已建厂房，故无生态环境保护目标</w:t>
            </w:r>
            <w:r>
              <w:rPr>
                <w:rFonts w:hint="eastAsia" w:cs="Times New Roman"/>
                <w:color w:val="auto"/>
                <w:lang w:eastAsia="zh-CN"/>
              </w:rPr>
              <w:t>。</w:t>
            </w:r>
          </w:p>
          <w:p>
            <w:pPr>
              <w:pStyle w:val="19"/>
              <w:widowControl w:val="0"/>
              <w:rPr>
                <w:rFonts w:hint="default" w:ascii="Times New Roman" w:hAnsi="Times New Roman" w:cs="Times New Roman"/>
                <w:color w:val="auto"/>
              </w:rPr>
            </w:pPr>
            <w:r>
              <w:rPr>
                <w:rFonts w:hint="default" w:ascii="Times New Roman" w:hAnsi="Times New Roman" w:cs="Times New Roman"/>
                <w:color w:val="auto"/>
              </w:rPr>
              <w:t>表3.2-1 项目周边主要环境保护目标一览表</w:t>
            </w:r>
          </w:p>
          <w:tbl>
            <w:tblPr>
              <w:tblStyle w:val="14"/>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51"/>
              <w:gridCol w:w="1078"/>
              <w:gridCol w:w="853"/>
              <w:gridCol w:w="1494"/>
              <w:gridCol w:w="1562"/>
              <w:gridCol w:w="208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7" w:type="pct"/>
                  <w:tcBorders>
                    <w:top w:val="single" w:color="auto" w:sz="12" w:space="0"/>
                    <w:left w:val="nil"/>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环境要素</w:t>
                  </w:r>
                </w:p>
              </w:tc>
              <w:tc>
                <w:tcPr>
                  <w:tcW w:w="664" w:type="pct"/>
                  <w:tcBorders>
                    <w:top w:val="single" w:color="auto" w:sz="12"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环境保护目标名称</w:t>
                  </w:r>
                </w:p>
              </w:tc>
              <w:tc>
                <w:tcPr>
                  <w:tcW w:w="525" w:type="pct"/>
                  <w:tcBorders>
                    <w:top w:val="single" w:color="auto" w:sz="12"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方位</w:t>
                  </w:r>
                </w:p>
              </w:tc>
              <w:tc>
                <w:tcPr>
                  <w:tcW w:w="920" w:type="pct"/>
                  <w:tcBorders>
                    <w:top w:val="single" w:color="auto" w:sz="12"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至项目厂界最近距离（米）</w:t>
                  </w:r>
                </w:p>
              </w:tc>
              <w:tc>
                <w:tcPr>
                  <w:tcW w:w="962" w:type="pct"/>
                  <w:tcBorders>
                    <w:top w:val="single" w:color="auto" w:sz="12"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环境功能</w:t>
                  </w:r>
                </w:p>
              </w:tc>
              <w:tc>
                <w:tcPr>
                  <w:tcW w:w="1282" w:type="pct"/>
                  <w:tcBorders>
                    <w:top w:val="single" w:color="auto" w:sz="12" w:space="0"/>
                    <w:left w:val="single" w:color="auto" w:sz="4" w:space="0"/>
                    <w:bottom w:val="single" w:color="auto" w:sz="4" w:space="0"/>
                    <w:right w:val="nil"/>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保护级别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7" w:type="pct"/>
                  <w:vMerge w:val="restart"/>
                  <w:tcBorders>
                    <w:top w:val="single" w:color="auto" w:sz="4" w:space="0"/>
                    <w:left w:val="nil"/>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大气环</w:t>
                  </w:r>
                  <w:r>
                    <w:rPr>
                      <w:rFonts w:hint="default" w:ascii="Times New Roman" w:hAnsi="Times New Roman" w:eastAsia="MS Mincho" w:cs="Times New Roman"/>
                      <w:color w:val="auto"/>
                      <w:kern w:val="0"/>
                      <w:sz w:val="21"/>
                      <w:szCs w:val="21"/>
                    </w:rPr>
                    <w:t>境</w:t>
                  </w:r>
                </w:p>
              </w:tc>
              <w:tc>
                <w:tcPr>
                  <w:tcW w:w="664"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南山村</w:t>
                  </w:r>
                </w:p>
              </w:tc>
              <w:tc>
                <w:tcPr>
                  <w:tcW w:w="525"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ES</w:t>
                  </w:r>
                </w:p>
              </w:tc>
              <w:tc>
                <w:tcPr>
                  <w:tcW w:w="92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500</w:t>
                  </w:r>
                </w:p>
              </w:tc>
              <w:tc>
                <w:tcPr>
                  <w:tcW w:w="962" w:type="pct"/>
                  <w:vMerge w:val="restar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居住区</w:t>
                  </w:r>
                </w:p>
              </w:tc>
              <w:tc>
                <w:tcPr>
                  <w:tcW w:w="1282" w:type="pct"/>
                  <w:vMerge w:val="restart"/>
                  <w:tcBorders>
                    <w:top w:val="single" w:color="auto" w:sz="4" w:space="0"/>
                    <w:left w:val="single" w:color="auto" w:sz="4" w:space="0"/>
                    <w:bottom w:val="single" w:color="auto" w:sz="4" w:space="0"/>
                    <w:right w:val="nil"/>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环境空气质量二类功能区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7" w:type="pct"/>
                  <w:vMerge w:val="continue"/>
                  <w:tcBorders>
                    <w:top w:val="single" w:color="auto" w:sz="4" w:space="0"/>
                    <w:left w:val="nil"/>
                    <w:bottom w:val="single" w:color="auto" w:sz="4" w:space="0"/>
                    <w:right w:val="single" w:color="auto" w:sz="4" w:space="0"/>
                  </w:tcBorders>
                  <w:vAlign w:val="center"/>
                </w:tcPr>
                <w:p>
                  <w:pPr>
                    <w:widowControl/>
                    <w:spacing w:line="240" w:lineRule="auto"/>
                    <w:ind w:firstLine="0" w:firstLineChars="0"/>
                    <w:jc w:val="center"/>
                    <w:rPr>
                      <w:rFonts w:hint="default" w:ascii="Times New Roman" w:hAnsi="Times New Roman" w:cs="Times New Roman"/>
                      <w:color w:val="auto"/>
                      <w:sz w:val="21"/>
                      <w:szCs w:val="21"/>
                    </w:rPr>
                  </w:pPr>
                </w:p>
              </w:tc>
              <w:tc>
                <w:tcPr>
                  <w:tcW w:w="664"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昙石村</w:t>
                  </w:r>
                </w:p>
              </w:tc>
              <w:tc>
                <w:tcPr>
                  <w:tcW w:w="525"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S</w:t>
                  </w:r>
                </w:p>
              </w:tc>
              <w:tc>
                <w:tcPr>
                  <w:tcW w:w="92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1200</w:t>
                  </w:r>
                </w:p>
              </w:tc>
              <w:tc>
                <w:tcPr>
                  <w:tcW w:w="962"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hint="default" w:ascii="Times New Roman" w:hAnsi="Times New Roman" w:cs="Times New Roman"/>
                      <w:color w:val="auto"/>
                      <w:sz w:val="21"/>
                      <w:szCs w:val="21"/>
                    </w:rPr>
                  </w:pPr>
                </w:p>
              </w:tc>
              <w:tc>
                <w:tcPr>
                  <w:tcW w:w="1282" w:type="pct"/>
                  <w:vMerge w:val="continue"/>
                  <w:tcBorders>
                    <w:top w:val="single" w:color="auto" w:sz="4" w:space="0"/>
                    <w:left w:val="single" w:color="auto" w:sz="4" w:space="0"/>
                    <w:bottom w:val="single" w:color="auto" w:sz="4" w:space="0"/>
                    <w:right w:val="nil"/>
                  </w:tcBorders>
                  <w:vAlign w:val="center"/>
                </w:tcPr>
                <w:p>
                  <w:pPr>
                    <w:widowControl/>
                    <w:spacing w:line="240" w:lineRule="auto"/>
                    <w:ind w:firstLine="0" w:firstLineChars="0"/>
                    <w:jc w:val="center"/>
                    <w:rPr>
                      <w:rFonts w:hint="default" w:ascii="Times New Roman" w:hAnsi="Times New Roman"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647" w:type="pct"/>
                  <w:vMerge w:val="continue"/>
                  <w:tcBorders>
                    <w:top w:val="single" w:color="auto" w:sz="4" w:space="0"/>
                    <w:left w:val="nil"/>
                    <w:bottom w:val="single" w:color="auto" w:sz="4" w:space="0"/>
                    <w:right w:val="single" w:color="auto" w:sz="4" w:space="0"/>
                  </w:tcBorders>
                  <w:vAlign w:val="center"/>
                </w:tcPr>
                <w:p>
                  <w:pPr>
                    <w:widowControl/>
                    <w:spacing w:line="240" w:lineRule="auto"/>
                    <w:ind w:firstLine="0" w:firstLineChars="0"/>
                    <w:jc w:val="center"/>
                    <w:rPr>
                      <w:rFonts w:hint="default" w:ascii="Times New Roman" w:hAnsi="Times New Roman" w:cs="Times New Roman"/>
                      <w:color w:val="auto"/>
                      <w:sz w:val="21"/>
                      <w:szCs w:val="21"/>
                    </w:rPr>
                  </w:pPr>
                </w:p>
              </w:tc>
              <w:tc>
                <w:tcPr>
                  <w:tcW w:w="664"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三英村</w:t>
                  </w:r>
                </w:p>
              </w:tc>
              <w:tc>
                <w:tcPr>
                  <w:tcW w:w="525"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S</w:t>
                  </w:r>
                </w:p>
              </w:tc>
              <w:tc>
                <w:tcPr>
                  <w:tcW w:w="92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1400</w:t>
                  </w:r>
                </w:p>
              </w:tc>
              <w:tc>
                <w:tcPr>
                  <w:tcW w:w="962"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hint="default" w:ascii="Times New Roman" w:hAnsi="Times New Roman" w:cs="Times New Roman"/>
                      <w:color w:val="auto"/>
                      <w:sz w:val="21"/>
                      <w:szCs w:val="21"/>
                    </w:rPr>
                  </w:pPr>
                </w:p>
              </w:tc>
              <w:tc>
                <w:tcPr>
                  <w:tcW w:w="1282" w:type="pct"/>
                  <w:vMerge w:val="continue"/>
                  <w:tcBorders>
                    <w:top w:val="single" w:color="auto" w:sz="4" w:space="0"/>
                    <w:left w:val="single" w:color="auto" w:sz="4" w:space="0"/>
                    <w:bottom w:val="single" w:color="auto" w:sz="4" w:space="0"/>
                    <w:right w:val="nil"/>
                  </w:tcBorders>
                  <w:vAlign w:val="center"/>
                </w:tcPr>
                <w:p>
                  <w:pPr>
                    <w:widowControl/>
                    <w:spacing w:line="240" w:lineRule="auto"/>
                    <w:ind w:firstLine="0" w:firstLineChars="0"/>
                    <w:jc w:val="center"/>
                    <w:rPr>
                      <w:rFonts w:hint="default" w:ascii="Times New Roman" w:hAnsi="Times New Roman"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7" w:type="pct"/>
                  <w:vMerge w:val="continue"/>
                  <w:tcBorders>
                    <w:top w:val="single" w:color="auto" w:sz="4" w:space="0"/>
                    <w:left w:val="nil"/>
                    <w:bottom w:val="single" w:color="auto" w:sz="4" w:space="0"/>
                    <w:right w:val="single" w:color="auto" w:sz="4" w:space="0"/>
                  </w:tcBorders>
                  <w:vAlign w:val="center"/>
                </w:tcPr>
                <w:p>
                  <w:pPr>
                    <w:widowControl/>
                    <w:spacing w:line="240" w:lineRule="auto"/>
                    <w:ind w:firstLine="0" w:firstLineChars="0"/>
                    <w:jc w:val="center"/>
                    <w:rPr>
                      <w:rFonts w:hint="default" w:ascii="Times New Roman" w:hAnsi="Times New Roman" w:cs="Times New Roman"/>
                      <w:color w:val="auto"/>
                      <w:sz w:val="21"/>
                      <w:szCs w:val="21"/>
                    </w:rPr>
                  </w:pPr>
                </w:p>
              </w:tc>
              <w:tc>
                <w:tcPr>
                  <w:tcW w:w="664"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双池村</w:t>
                  </w:r>
                </w:p>
              </w:tc>
              <w:tc>
                <w:tcPr>
                  <w:tcW w:w="525"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WS</w:t>
                  </w:r>
                </w:p>
              </w:tc>
              <w:tc>
                <w:tcPr>
                  <w:tcW w:w="92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1800</w:t>
                  </w:r>
                </w:p>
              </w:tc>
              <w:tc>
                <w:tcPr>
                  <w:tcW w:w="962"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hint="default" w:ascii="Times New Roman" w:hAnsi="Times New Roman" w:cs="Times New Roman"/>
                      <w:color w:val="auto"/>
                      <w:sz w:val="21"/>
                      <w:szCs w:val="21"/>
                    </w:rPr>
                  </w:pPr>
                </w:p>
              </w:tc>
              <w:tc>
                <w:tcPr>
                  <w:tcW w:w="1282" w:type="pct"/>
                  <w:vMerge w:val="continue"/>
                  <w:tcBorders>
                    <w:top w:val="single" w:color="auto" w:sz="4" w:space="0"/>
                    <w:left w:val="single" w:color="auto" w:sz="4" w:space="0"/>
                    <w:bottom w:val="single" w:color="auto" w:sz="4" w:space="0"/>
                    <w:right w:val="nil"/>
                  </w:tcBorders>
                  <w:vAlign w:val="center"/>
                </w:tcPr>
                <w:p>
                  <w:pPr>
                    <w:widowControl/>
                    <w:spacing w:line="240" w:lineRule="auto"/>
                    <w:ind w:firstLine="0" w:firstLineChars="0"/>
                    <w:jc w:val="center"/>
                    <w:rPr>
                      <w:rFonts w:hint="default" w:ascii="Times New Roman" w:hAnsi="Times New Roman"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7" w:type="pct"/>
                  <w:vMerge w:val="continue"/>
                  <w:tcBorders>
                    <w:top w:val="single" w:color="auto" w:sz="4" w:space="0"/>
                    <w:left w:val="nil"/>
                    <w:bottom w:val="single" w:color="auto" w:sz="4" w:space="0"/>
                    <w:right w:val="single" w:color="auto" w:sz="4" w:space="0"/>
                  </w:tcBorders>
                  <w:vAlign w:val="center"/>
                </w:tcPr>
                <w:p>
                  <w:pPr>
                    <w:widowControl/>
                    <w:spacing w:line="240" w:lineRule="auto"/>
                    <w:ind w:firstLine="0" w:firstLineChars="0"/>
                    <w:jc w:val="center"/>
                    <w:rPr>
                      <w:rFonts w:hint="default" w:ascii="Times New Roman" w:hAnsi="Times New Roman" w:cs="Times New Roman"/>
                      <w:color w:val="auto"/>
                      <w:sz w:val="21"/>
                      <w:szCs w:val="21"/>
                    </w:rPr>
                  </w:pPr>
                </w:p>
              </w:tc>
              <w:tc>
                <w:tcPr>
                  <w:tcW w:w="664"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化龙村</w:t>
                  </w:r>
                </w:p>
              </w:tc>
              <w:tc>
                <w:tcPr>
                  <w:tcW w:w="525"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WS</w:t>
                  </w:r>
                </w:p>
              </w:tc>
              <w:tc>
                <w:tcPr>
                  <w:tcW w:w="92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1200</w:t>
                  </w:r>
                </w:p>
              </w:tc>
              <w:tc>
                <w:tcPr>
                  <w:tcW w:w="962"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hint="default" w:ascii="Times New Roman" w:hAnsi="Times New Roman" w:cs="Times New Roman"/>
                      <w:color w:val="auto"/>
                      <w:sz w:val="21"/>
                      <w:szCs w:val="21"/>
                    </w:rPr>
                  </w:pPr>
                </w:p>
              </w:tc>
              <w:tc>
                <w:tcPr>
                  <w:tcW w:w="1282" w:type="pct"/>
                  <w:vMerge w:val="continue"/>
                  <w:tcBorders>
                    <w:top w:val="single" w:color="auto" w:sz="4" w:space="0"/>
                    <w:left w:val="single" w:color="auto" w:sz="4" w:space="0"/>
                    <w:bottom w:val="single" w:color="auto" w:sz="4" w:space="0"/>
                    <w:right w:val="nil"/>
                  </w:tcBorders>
                  <w:vAlign w:val="center"/>
                </w:tcPr>
                <w:p>
                  <w:pPr>
                    <w:widowControl/>
                    <w:spacing w:line="240" w:lineRule="auto"/>
                    <w:ind w:firstLine="0" w:firstLineChars="0"/>
                    <w:jc w:val="center"/>
                    <w:rPr>
                      <w:rFonts w:hint="default" w:ascii="Times New Roman" w:hAnsi="Times New Roman"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7" w:type="pct"/>
                  <w:vMerge w:val="continue"/>
                  <w:tcBorders>
                    <w:top w:val="single" w:color="auto" w:sz="4" w:space="0"/>
                    <w:left w:val="nil"/>
                    <w:bottom w:val="single" w:color="auto" w:sz="4" w:space="0"/>
                    <w:right w:val="single" w:color="auto" w:sz="4" w:space="0"/>
                  </w:tcBorders>
                  <w:vAlign w:val="center"/>
                </w:tcPr>
                <w:p>
                  <w:pPr>
                    <w:widowControl/>
                    <w:spacing w:line="240" w:lineRule="auto"/>
                    <w:ind w:firstLine="0" w:firstLineChars="0"/>
                    <w:jc w:val="center"/>
                    <w:rPr>
                      <w:rFonts w:hint="default" w:ascii="Times New Roman" w:hAnsi="Times New Roman" w:cs="Times New Roman"/>
                      <w:color w:val="auto"/>
                      <w:sz w:val="21"/>
                      <w:szCs w:val="21"/>
                    </w:rPr>
                  </w:pPr>
                </w:p>
              </w:tc>
              <w:tc>
                <w:tcPr>
                  <w:tcW w:w="664"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大元村</w:t>
                  </w:r>
                </w:p>
              </w:tc>
              <w:tc>
                <w:tcPr>
                  <w:tcW w:w="525"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WS</w:t>
                  </w:r>
                </w:p>
              </w:tc>
              <w:tc>
                <w:tcPr>
                  <w:tcW w:w="92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1700</w:t>
                  </w:r>
                </w:p>
              </w:tc>
              <w:tc>
                <w:tcPr>
                  <w:tcW w:w="962"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hint="default" w:ascii="Times New Roman" w:hAnsi="Times New Roman" w:cs="Times New Roman"/>
                      <w:color w:val="auto"/>
                      <w:sz w:val="21"/>
                      <w:szCs w:val="21"/>
                    </w:rPr>
                  </w:pPr>
                </w:p>
              </w:tc>
              <w:tc>
                <w:tcPr>
                  <w:tcW w:w="1282" w:type="pct"/>
                  <w:vMerge w:val="continue"/>
                  <w:tcBorders>
                    <w:top w:val="single" w:color="auto" w:sz="4" w:space="0"/>
                    <w:left w:val="single" w:color="auto" w:sz="4" w:space="0"/>
                    <w:bottom w:val="single" w:color="auto" w:sz="4" w:space="0"/>
                    <w:right w:val="nil"/>
                  </w:tcBorders>
                  <w:vAlign w:val="center"/>
                </w:tcPr>
                <w:p>
                  <w:pPr>
                    <w:widowControl/>
                    <w:spacing w:line="240" w:lineRule="auto"/>
                    <w:ind w:firstLine="0" w:firstLineChars="0"/>
                    <w:jc w:val="center"/>
                    <w:rPr>
                      <w:rFonts w:hint="default" w:ascii="Times New Roman" w:hAnsi="Times New Roman"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7" w:type="pct"/>
                  <w:vMerge w:val="continue"/>
                  <w:tcBorders>
                    <w:top w:val="single" w:color="auto" w:sz="4" w:space="0"/>
                    <w:left w:val="nil"/>
                    <w:bottom w:val="single" w:color="auto" w:sz="4" w:space="0"/>
                    <w:right w:val="single" w:color="auto" w:sz="4" w:space="0"/>
                  </w:tcBorders>
                  <w:vAlign w:val="center"/>
                </w:tcPr>
                <w:p>
                  <w:pPr>
                    <w:widowControl/>
                    <w:spacing w:line="240" w:lineRule="auto"/>
                    <w:ind w:firstLine="0" w:firstLineChars="0"/>
                    <w:jc w:val="center"/>
                    <w:rPr>
                      <w:rFonts w:hint="default" w:ascii="Times New Roman" w:hAnsi="Times New Roman" w:cs="Times New Roman"/>
                      <w:color w:val="auto"/>
                      <w:sz w:val="21"/>
                      <w:szCs w:val="21"/>
                    </w:rPr>
                  </w:pPr>
                </w:p>
              </w:tc>
              <w:tc>
                <w:tcPr>
                  <w:tcW w:w="664"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十字村</w:t>
                  </w:r>
                </w:p>
              </w:tc>
              <w:tc>
                <w:tcPr>
                  <w:tcW w:w="525"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WS</w:t>
                  </w:r>
                </w:p>
              </w:tc>
              <w:tc>
                <w:tcPr>
                  <w:tcW w:w="92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1800</w:t>
                  </w:r>
                </w:p>
              </w:tc>
              <w:tc>
                <w:tcPr>
                  <w:tcW w:w="962"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hint="default" w:ascii="Times New Roman" w:hAnsi="Times New Roman" w:cs="Times New Roman"/>
                      <w:color w:val="auto"/>
                      <w:sz w:val="21"/>
                      <w:szCs w:val="21"/>
                    </w:rPr>
                  </w:pPr>
                </w:p>
              </w:tc>
              <w:tc>
                <w:tcPr>
                  <w:tcW w:w="1282" w:type="pct"/>
                  <w:vMerge w:val="continue"/>
                  <w:tcBorders>
                    <w:top w:val="single" w:color="auto" w:sz="4" w:space="0"/>
                    <w:left w:val="single" w:color="auto" w:sz="4" w:space="0"/>
                    <w:bottom w:val="single" w:color="auto" w:sz="4" w:space="0"/>
                    <w:right w:val="nil"/>
                  </w:tcBorders>
                  <w:vAlign w:val="center"/>
                </w:tcPr>
                <w:p>
                  <w:pPr>
                    <w:widowControl/>
                    <w:spacing w:line="240" w:lineRule="auto"/>
                    <w:ind w:firstLine="0" w:firstLineChars="0"/>
                    <w:jc w:val="center"/>
                    <w:rPr>
                      <w:rFonts w:hint="default" w:ascii="Times New Roman" w:hAnsi="Times New Roman"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647" w:type="pct"/>
                  <w:vMerge w:val="continue"/>
                  <w:tcBorders>
                    <w:top w:val="single" w:color="auto" w:sz="4" w:space="0"/>
                    <w:left w:val="nil"/>
                    <w:bottom w:val="single" w:color="auto" w:sz="4" w:space="0"/>
                    <w:right w:val="single" w:color="auto" w:sz="4" w:space="0"/>
                  </w:tcBorders>
                  <w:vAlign w:val="center"/>
                </w:tcPr>
                <w:p>
                  <w:pPr>
                    <w:widowControl/>
                    <w:spacing w:line="240" w:lineRule="auto"/>
                    <w:ind w:firstLine="0" w:firstLineChars="0"/>
                    <w:jc w:val="center"/>
                    <w:rPr>
                      <w:rFonts w:hint="default" w:ascii="Times New Roman" w:hAnsi="Times New Roman" w:cs="Times New Roman"/>
                      <w:color w:val="auto"/>
                      <w:sz w:val="21"/>
                      <w:szCs w:val="21"/>
                    </w:rPr>
                  </w:pPr>
                </w:p>
              </w:tc>
              <w:tc>
                <w:tcPr>
                  <w:tcW w:w="664"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长江村</w:t>
                  </w:r>
                </w:p>
              </w:tc>
              <w:tc>
                <w:tcPr>
                  <w:tcW w:w="525"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WS</w:t>
                  </w:r>
                </w:p>
              </w:tc>
              <w:tc>
                <w:tcPr>
                  <w:tcW w:w="92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1900</w:t>
                  </w:r>
                </w:p>
              </w:tc>
              <w:tc>
                <w:tcPr>
                  <w:tcW w:w="962"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hint="default" w:ascii="Times New Roman" w:hAnsi="Times New Roman" w:cs="Times New Roman"/>
                      <w:color w:val="auto"/>
                      <w:sz w:val="21"/>
                      <w:szCs w:val="21"/>
                    </w:rPr>
                  </w:pPr>
                </w:p>
              </w:tc>
              <w:tc>
                <w:tcPr>
                  <w:tcW w:w="1282" w:type="pct"/>
                  <w:vMerge w:val="continue"/>
                  <w:tcBorders>
                    <w:top w:val="single" w:color="auto" w:sz="4" w:space="0"/>
                    <w:left w:val="single" w:color="auto" w:sz="4" w:space="0"/>
                    <w:bottom w:val="single" w:color="auto" w:sz="4" w:space="0"/>
                    <w:right w:val="nil"/>
                  </w:tcBorders>
                  <w:vAlign w:val="center"/>
                </w:tcPr>
                <w:p>
                  <w:pPr>
                    <w:widowControl/>
                    <w:spacing w:line="240" w:lineRule="auto"/>
                    <w:ind w:firstLine="0" w:firstLineChars="0"/>
                    <w:jc w:val="center"/>
                    <w:rPr>
                      <w:rFonts w:hint="default" w:ascii="Times New Roman" w:hAnsi="Times New Roman"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7" w:type="pct"/>
                  <w:vMerge w:val="continue"/>
                  <w:tcBorders>
                    <w:top w:val="single" w:color="auto" w:sz="4" w:space="0"/>
                    <w:left w:val="nil"/>
                    <w:bottom w:val="single" w:color="auto" w:sz="4" w:space="0"/>
                    <w:right w:val="single" w:color="auto" w:sz="4" w:space="0"/>
                  </w:tcBorders>
                  <w:vAlign w:val="center"/>
                </w:tcPr>
                <w:p>
                  <w:pPr>
                    <w:widowControl/>
                    <w:spacing w:line="240" w:lineRule="auto"/>
                    <w:ind w:firstLine="0" w:firstLineChars="0"/>
                    <w:jc w:val="center"/>
                    <w:rPr>
                      <w:rFonts w:hint="default" w:ascii="Times New Roman" w:hAnsi="Times New Roman" w:cs="Times New Roman"/>
                      <w:color w:val="auto"/>
                      <w:sz w:val="21"/>
                      <w:szCs w:val="21"/>
                    </w:rPr>
                  </w:pPr>
                </w:p>
              </w:tc>
              <w:tc>
                <w:tcPr>
                  <w:tcW w:w="664"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洽浦村</w:t>
                  </w:r>
                </w:p>
              </w:tc>
              <w:tc>
                <w:tcPr>
                  <w:tcW w:w="525"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S</w:t>
                  </w:r>
                </w:p>
              </w:tc>
              <w:tc>
                <w:tcPr>
                  <w:tcW w:w="92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2000</w:t>
                  </w:r>
                </w:p>
              </w:tc>
              <w:tc>
                <w:tcPr>
                  <w:tcW w:w="962"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hint="default" w:ascii="Times New Roman" w:hAnsi="Times New Roman" w:cs="Times New Roman"/>
                      <w:color w:val="auto"/>
                      <w:sz w:val="21"/>
                      <w:szCs w:val="21"/>
                    </w:rPr>
                  </w:pPr>
                </w:p>
              </w:tc>
              <w:tc>
                <w:tcPr>
                  <w:tcW w:w="1282" w:type="pct"/>
                  <w:vMerge w:val="continue"/>
                  <w:tcBorders>
                    <w:top w:val="single" w:color="auto" w:sz="4" w:space="0"/>
                    <w:left w:val="single" w:color="auto" w:sz="4" w:space="0"/>
                    <w:bottom w:val="single" w:color="auto" w:sz="4" w:space="0"/>
                    <w:right w:val="nil"/>
                  </w:tcBorders>
                  <w:vAlign w:val="center"/>
                </w:tcPr>
                <w:p>
                  <w:pPr>
                    <w:widowControl/>
                    <w:spacing w:line="240" w:lineRule="auto"/>
                    <w:ind w:firstLine="0" w:firstLineChars="0"/>
                    <w:jc w:val="center"/>
                    <w:rPr>
                      <w:rFonts w:hint="default" w:ascii="Times New Roman" w:hAnsi="Times New Roman"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7" w:type="pct"/>
                  <w:vMerge w:val="continue"/>
                  <w:tcBorders>
                    <w:top w:val="single" w:color="auto" w:sz="4" w:space="0"/>
                    <w:left w:val="nil"/>
                    <w:bottom w:val="single" w:color="auto" w:sz="4" w:space="0"/>
                    <w:right w:val="single" w:color="auto" w:sz="4" w:space="0"/>
                  </w:tcBorders>
                  <w:vAlign w:val="center"/>
                </w:tcPr>
                <w:p>
                  <w:pPr>
                    <w:widowControl/>
                    <w:spacing w:line="240" w:lineRule="auto"/>
                    <w:ind w:firstLine="0" w:firstLineChars="0"/>
                    <w:jc w:val="center"/>
                    <w:rPr>
                      <w:rFonts w:hint="default" w:ascii="Times New Roman" w:hAnsi="Times New Roman" w:cs="Times New Roman"/>
                      <w:color w:val="auto"/>
                      <w:sz w:val="21"/>
                      <w:szCs w:val="21"/>
                    </w:rPr>
                  </w:pPr>
                </w:p>
              </w:tc>
              <w:tc>
                <w:tcPr>
                  <w:tcW w:w="664"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山前村</w:t>
                  </w:r>
                </w:p>
              </w:tc>
              <w:tc>
                <w:tcPr>
                  <w:tcW w:w="525"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WS</w:t>
                  </w:r>
                </w:p>
              </w:tc>
              <w:tc>
                <w:tcPr>
                  <w:tcW w:w="92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850</w:t>
                  </w:r>
                </w:p>
              </w:tc>
              <w:tc>
                <w:tcPr>
                  <w:tcW w:w="962" w:type="pct"/>
                  <w:vMerge w:val="continue"/>
                  <w:tcBorders>
                    <w:top w:val="single" w:color="auto" w:sz="4" w:space="0"/>
                    <w:left w:val="single" w:color="auto" w:sz="4" w:space="0"/>
                    <w:bottom w:val="single" w:color="auto" w:sz="4" w:space="0"/>
                    <w:right w:val="single" w:color="auto" w:sz="4" w:space="0"/>
                  </w:tcBorders>
                  <w:vAlign w:val="center"/>
                </w:tcPr>
                <w:p>
                  <w:pPr>
                    <w:widowControl/>
                    <w:spacing w:line="240" w:lineRule="auto"/>
                    <w:ind w:firstLine="0" w:firstLineChars="0"/>
                    <w:jc w:val="center"/>
                    <w:rPr>
                      <w:rFonts w:hint="default" w:ascii="Times New Roman" w:hAnsi="Times New Roman" w:cs="Times New Roman"/>
                      <w:color w:val="auto"/>
                      <w:sz w:val="21"/>
                      <w:szCs w:val="21"/>
                    </w:rPr>
                  </w:pPr>
                </w:p>
              </w:tc>
              <w:tc>
                <w:tcPr>
                  <w:tcW w:w="1282" w:type="pct"/>
                  <w:vMerge w:val="continue"/>
                  <w:tcBorders>
                    <w:top w:val="single" w:color="auto" w:sz="4" w:space="0"/>
                    <w:left w:val="single" w:color="auto" w:sz="4" w:space="0"/>
                    <w:bottom w:val="single" w:color="auto" w:sz="4" w:space="0"/>
                    <w:right w:val="nil"/>
                  </w:tcBorders>
                  <w:vAlign w:val="center"/>
                </w:tcPr>
                <w:p>
                  <w:pPr>
                    <w:widowControl/>
                    <w:spacing w:line="240" w:lineRule="auto"/>
                    <w:ind w:firstLine="0" w:firstLineChars="0"/>
                    <w:jc w:val="center"/>
                    <w:rPr>
                      <w:rFonts w:hint="default" w:ascii="Times New Roman" w:hAnsi="Times New Roman"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11" w:hRule="atLeast"/>
              </w:trPr>
              <w:tc>
                <w:tcPr>
                  <w:tcW w:w="647" w:type="pct"/>
                  <w:vMerge w:val="restart"/>
                  <w:tcBorders>
                    <w:top w:val="single" w:color="auto" w:sz="4" w:space="0"/>
                    <w:left w:val="nil"/>
                    <w:bottom w:val="single" w:color="auto" w:sz="12" w:space="0"/>
                    <w:right w:val="single" w:color="auto" w:sz="4" w:space="0"/>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地表水环境</w:t>
                  </w:r>
                </w:p>
              </w:tc>
              <w:tc>
                <w:tcPr>
                  <w:tcW w:w="664"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安坪浦</w:t>
                  </w:r>
                </w:p>
              </w:tc>
              <w:tc>
                <w:tcPr>
                  <w:tcW w:w="525"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南</w:t>
                  </w:r>
                </w:p>
              </w:tc>
              <w:tc>
                <w:tcPr>
                  <w:tcW w:w="92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1200米</w:t>
                  </w:r>
                </w:p>
              </w:tc>
              <w:tc>
                <w:tcPr>
                  <w:tcW w:w="96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一般景观用水</w:t>
                  </w:r>
                </w:p>
              </w:tc>
              <w:tc>
                <w:tcPr>
                  <w:tcW w:w="1282" w:type="pct"/>
                  <w:tcBorders>
                    <w:top w:val="single" w:color="auto" w:sz="4" w:space="0"/>
                    <w:left w:val="single" w:color="auto" w:sz="4" w:space="0"/>
                    <w:bottom w:val="single" w:color="auto" w:sz="4" w:space="0"/>
                    <w:right w:val="nil"/>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地表水环境Ⅴ类功能区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7" w:type="pct"/>
                  <w:vMerge w:val="continue"/>
                  <w:tcBorders>
                    <w:top w:val="single" w:color="auto" w:sz="4" w:space="0"/>
                    <w:left w:val="nil"/>
                    <w:bottom w:val="single" w:color="auto" w:sz="12" w:space="0"/>
                    <w:right w:val="single" w:color="auto" w:sz="4" w:space="0"/>
                  </w:tcBorders>
                  <w:vAlign w:val="center"/>
                </w:tcPr>
                <w:p>
                  <w:pPr>
                    <w:widowControl/>
                    <w:spacing w:line="240" w:lineRule="auto"/>
                    <w:ind w:firstLine="0" w:firstLineChars="0"/>
                    <w:jc w:val="center"/>
                    <w:rPr>
                      <w:rFonts w:hint="default" w:ascii="Times New Roman" w:hAnsi="Times New Roman" w:cs="Times New Roman"/>
                      <w:color w:val="auto"/>
                      <w:sz w:val="21"/>
                      <w:szCs w:val="21"/>
                    </w:rPr>
                  </w:pPr>
                </w:p>
              </w:tc>
              <w:tc>
                <w:tcPr>
                  <w:tcW w:w="664" w:type="pct"/>
                  <w:tcBorders>
                    <w:top w:val="single" w:color="auto" w:sz="4" w:space="0"/>
                    <w:left w:val="single" w:color="auto" w:sz="4" w:space="0"/>
                    <w:bottom w:val="single" w:color="auto" w:sz="12" w:space="0"/>
                    <w:right w:val="single" w:color="auto" w:sz="4" w:space="0"/>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闽江</w:t>
                  </w:r>
                </w:p>
              </w:tc>
              <w:tc>
                <w:tcPr>
                  <w:tcW w:w="525" w:type="pct"/>
                  <w:tcBorders>
                    <w:top w:val="single" w:color="auto" w:sz="4" w:space="0"/>
                    <w:left w:val="single" w:color="auto" w:sz="4" w:space="0"/>
                    <w:bottom w:val="single" w:color="auto" w:sz="12" w:space="0"/>
                    <w:right w:val="single" w:color="auto" w:sz="4" w:space="0"/>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南</w:t>
                  </w:r>
                </w:p>
              </w:tc>
              <w:tc>
                <w:tcPr>
                  <w:tcW w:w="920" w:type="pct"/>
                  <w:tcBorders>
                    <w:top w:val="single" w:color="auto" w:sz="4" w:space="0"/>
                    <w:left w:val="single" w:color="auto" w:sz="4" w:space="0"/>
                    <w:bottom w:val="single" w:color="auto" w:sz="12" w:space="0"/>
                    <w:right w:val="single" w:color="auto" w:sz="4" w:space="0"/>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3000米</w:t>
                  </w:r>
                </w:p>
              </w:tc>
              <w:tc>
                <w:tcPr>
                  <w:tcW w:w="962" w:type="pct"/>
                  <w:tcBorders>
                    <w:top w:val="single" w:color="auto" w:sz="4" w:space="0"/>
                    <w:left w:val="single" w:color="auto" w:sz="4" w:space="0"/>
                    <w:bottom w:val="single" w:color="auto" w:sz="12" w:space="0"/>
                    <w:right w:val="single" w:color="auto" w:sz="4" w:space="0"/>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渔业用水、农业用水、饮用水</w:t>
                  </w:r>
                </w:p>
              </w:tc>
              <w:tc>
                <w:tcPr>
                  <w:tcW w:w="1282" w:type="pct"/>
                  <w:tcBorders>
                    <w:top w:val="single" w:color="auto" w:sz="4" w:space="0"/>
                    <w:left w:val="single" w:color="auto" w:sz="4" w:space="0"/>
                    <w:bottom w:val="single" w:color="auto" w:sz="12" w:space="0"/>
                    <w:right w:val="nil"/>
                  </w:tcBorders>
                  <w:vAlign w:val="center"/>
                </w:tcPr>
                <w:p>
                  <w:pPr>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参照执行地表水环境Ⅲ类功能区</w:t>
                  </w:r>
                </w:p>
              </w:tc>
            </w:tr>
          </w:tbl>
          <w:p>
            <w:pPr>
              <w:adjustRightInd w:val="0"/>
              <w:snapToGrid w:val="0"/>
              <w:spacing w:line="240" w:lineRule="auto"/>
              <w:ind w:firstLine="0" w:firstLineChars="0"/>
              <w:rPr>
                <w:rFonts w:hint="default" w:ascii="Times New Roman" w:hAnsi="Times New Roman" w:cs="Times New Roman"/>
                <w:color w:val="auto"/>
              </w:rPr>
            </w:pPr>
          </w:p>
        </w:tc>
      </w:tr>
    </w:tbl>
    <w:p>
      <w:pPr>
        <w:ind w:firstLine="480"/>
        <w:rPr>
          <w:rFonts w:hint="default" w:ascii="Times New Roman" w:hAnsi="Times New Roman" w:cs="Times New Roman"/>
          <w:color w:val="auto"/>
        </w:rPr>
        <w:sectPr>
          <w:pgSz w:w="11907" w:h="16840"/>
          <w:pgMar w:top="1701" w:right="1531" w:bottom="2127" w:left="1531" w:header="851" w:footer="851" w:gutter="0"/>
          <w:cols w:space="720" w:num="1"/>
          <w:docGrid w:linePitch="312" w:charSpace="0"/>
        </w:sectPr>
      </w:pPr>
    </w:p>
    <w:tbl>
      <w:tblPr>
        <w:tblStyle w:val="1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113" w:type="dxa"/>
          <w:left w:w="108" w:type="dxa"/>
          <w:bottom w:w="113" w:type="dxa"/>
          <w:right w:w="108" w:type="dxa"/>
        </w:tblCellMar>
      </w:tblPr>
      <w:tblGrid>
        <w:gridCol w:w="699"/>
        <w:gridCol w:w="812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3033" w:hRule="atLeast"/>
          <w:jc w:val="center"/>
        </w:trPr>
        <w:tc>
          <w:tcPr>
            <w:tcW w:w="699" w:type="dxa"/>
            <w:vAlign w:val="center"/>
          </w:tcPr>
          <w:p>
            <w:pPr>
              <w:pStyle w:val="4"/>
              <w:numPr>
                <w:ilvl w:val="1"/>
                <w:numId w:val="0"/>
              </w:numPr>
              <w:jc w:val="center"/>
              <w:rPr>
                <w:rFonts w:hint="default" w:ascii="Times New Roman" w:hAnsi="Times New Roman" w:cs="Times New Roman"/>
                <w:color w:val="auto"/>
              </w:rPr>
            </w:pPr>
            <w:bookmarkStart w:id="33" w:name="_Toc11635"/>
            <w:r>
              <w:rPr>
                <w:rFonts w:hint="default" w:ascii="Times New Roman" w:hAnsi="Times New Roman" w:cs="Times New Roman"/>
                <w:b w:val="0"/>
                <w:bCs/>
                <w:color w:val="auto"/>
                <w:sz w:val="24"/>
              </w:rPr>
              <w:t>污染物排放控制标准</w:t>
            </w:r>
            <w:bookmarkEnd w:id="33"/>
          </w:p>
        </w:tc>
        <w:tc>
          <w:tcPr>
            <w:tcW w:w="8126" w:type="dxa"/>
          </w:tcPr>
          <w:p>
            <w:pPr>
              <w:pStyle w:val="4"/>
              <w:rPr>
                <w:rFonts w:hint="default" w:ascii="Times New Roman" w:hAnsi="Times New Roman" w:cs="Times New Roman"/>
                <w:color w:val="auto"/>
              </w:rPr>
            </w:pPr>
            <w:bookmarkStart w:id="34" w:name="_Toc30716"/>
            <w:r>
              <w:rPr>
                <w:rFonts w:hint="default" w:ascii="Times New Roman" w:hAnsi="Times New Roman" w:cs="Times New Roman"/>
                <w:color w:val="auto"/>
              </w:rPr>
              <w:t>污染物排放控制标准</w:t>
            </w:r>
            <w:bookmarkEnd w:id="34"/>
          </w:p>
          <w:p>
            <w:pPr>
              <w:ind w:firstLine="480"/>
              <w:rPr>
                <w:rFonts w:hint="default" w:ascii="Times New Roman" w:hAnsi="Times New Roman" w:cs="Times New Roman"/>
                <w:color w:val="auto"/>
              </w:rPr>
            </w:pPr>
            <w:bookmarkStart w:id="35" w:name="_Toc14167"/>
            <w:r>
              <w:rPr>
                <w:rFonts w:hint="default" w:ascii="Times New Roman" w:hAnsi="Times New Roman" w:cs="Times New Roman"/>
                <w:color w:val="auto"/>
              </w:rPr>
              <w:t>（1）废水排放标准</w:t>
            </w:r>
            <w:bookmarkEnd w:id="35"/>
          </w:p>
          <w:p>
            <w:pPr>
              <w:ind w:firstLine="480"/>
              <w:rPr>
                <w:rFonts w:hint="default" w:ascii="Times New Roman" w:hAnsi="Times New Roman" w:cs="Times New Roman"/>
                <w:color w:val="auto"/>
              </w:rPr>
            </w:pPr>
            <w:r>
              <w:rPr>
                <w:rFonts w:hint="default" w:ascii="Times New Roman" w:hAnsi="Times New Roman" w:cs="Times New Roman"/>
                <w:color w:val="auto"/>
              </w:rPr>
              <w:t>本次改建项目无新增员工，无废水产生。</w:t>
            </w:r>
          </w:p>
          <w:p>
            <w:pPr>
              <w:ind w:firstLine="480"/>
              <w:rPr>
                <w:rFonts w:hint="default" w:ascii="Times New Roman" w:hAnsi="Times New Roman" w:cs="Times New Roman"/>
                <w:color w:val="auto"/>
              </w:rPr>
            </w:pPr>
            <w:r>
              <w:rPr>
                <w:rFonts w:hint="default" w:ascii="Times New Roman" w:hAnsi="Times New Roman" w:cs="Times New Roman"/>
                <w:color w:val="auto"/>
              </w:rPr>
              <w:t>（2）废气排放标准</w:t>
            </w:r>
          </w:p>
          <w:p>
            <w:pPr>
              <w:pStyle w:val="26"/>
              <w:ind w:firstLine="480"/>
              <w:rPr>
                <w:rFonts w:hint="default" w:ascii="Times New Roman" w:hAnsi="Times New Roman" w:cs="Times New Roman"/>
                <w:color w:val="auto"/>
                <w:kern w:val="0"/>
              </w:rPr>
            </w:pPr>
            <w:r>
              <w:rPr>
                <w:rFonts w:hint="default" w:ascii="Times New Roman" w:hAnsi="Times New Roman" w:cs="Times New Roman"/>
                <w:color w:val="auto"/>
              </w:rPr>
              <w:t>本项目锅炉使用天然气作为燃料，燃气锅炉烟气参照执行《锅炉大气污染物排放标准》（GB13271-2014）表3中重点地区大气污染物燃气锅炉特别排放限值，见表3.3-1</w:t>
            </w:r>
            <w:r>
              <w:rPr>
                <w:rFonts w:hint="default" w:ascii="Times New Roman" w:hAnsi="Times New Roman" w:cs="Times New Roman"/>
                <w:color w:val="auto"/>
                <w:szCs w:val="21"/>
              </w:rPr>
              <w:t>。</w:t>
            </w:r>
          </w:p>
          <w:p>
            <w:pPr>
              <w:spacing w:before="120"/>
              <w:ind w:left="420" w:firstLine="482"/>
              <w:jc w:val="center"/>
              <w:rPr>
                <w:rFonts w:hint="default" w:ascii="Times New Roman" w:hAnsi="Times New Roman" w:cs="Times New Roman"/>
                <w:b/>
                <w:bCs/>
                <w:color w:val="auto"/>
              </w:rPr>
            </w:pPr>
            <w:r>
              <w:rPr>
                <w:rFonts w:hint="default" w:ascii="Times New Roman" w:hAnsi="Times New Roman" w:cs="Times New Roman"/>
                <w:b/>
                <w:bCs/>
                <w:color w:val="auto"/>
              </w:rPr>
              <w:t>表3.3-1  《锅炉大气污染物排放标准》（GB13271-2014）</w:t>
            </w:r>
          </w:p>
          <w:tbl>
            <w:tblPr>
              <w:tblStyle w:val="14"/>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18"/>
              <w:gridCol w:w="2239"/>
              <w:gridCol w:w="1693"/>
              <w:gridCol w:w="216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9" w:type="pct"/>
                  <w:tcBorders>
                    <w:top w:val="single" w:color="auto" w:sz="12" w:space="0"/>
                    <w:left w:val="nil"/>
                    <w:bottom w:val="single" w:color="auto" w:sz="4" w:space="0"/>
                    <w:right w:val="single" w:color="auto" w:sz="4" w:space="0"/>
                  </w:tcBorders>
                  <w:vAlign w:val="center"/>
                </w:tcPr>
                <w:p>
                  <w:pPr>
                    <w:autoSpaceDE w:val="0"/>
                    <w:autoSpaceDN w:val="0"/>
                    <w:adjustRightInd w:val="0"/>
                    <w:snapToGrid w:val="0"/>
                    <w:spacing w:line="340" w:lineRule="exact"/>
                    <w:ind w:firstLine="0" w:firstLineChars="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锅炉类别</w:t>
                  </w:r>
                </w:p>
              </w:tc>
              <w:tc>
                <w:tcPr>
                  <w:tcW w:w="1415" w:type="pct"/>
                  <w:tcBorders>
                    <w:top w:val="single" w:color="auto" w:sz="12" w:space="0"/>
                    <w:left w:val="single" w:color="auto" w:sz="4" w:space="0"/>
                    <w:bottom w:val="single" w:color="auto" w:sz="4" w:space="0"/>
                    <w:right w:val="single" w:color="auto" w:sz="4" w:space="0"/>
                  </w:tcBorders>
                  <w:vAlign w:val="center"/>
                </w:tcPr>
                <w:p>
                  <w:pPr>
                    <w:autoSpaceDE w:val="0"/>
                    <w:autoSpaceDN w:val="0"/>
                    <w:adjustRightInd w:val="0"/>
                    <w:snapToGrid w:val="0"/>
                    <w:spacing w:line="340" w:lineRule="exact"/>
                    <w:ind w:firstLine="0" w:firstLineChars="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项目</w:t>
                  </w:r>
                </w:p>
              </w:tc>
              <w:tc>
                <w:tcPr>
                  <w:tcW w:w="1070" w:type="pct"/>
                  <w:tcBorders>
                    <w:top w:val="single" w:color="auto" w:sz="12" w:space="0"/>
                    <w:left w:val="single" w:color="auto" w:sz="4" w:space="0"/>
                    <w:bottom w:val="single" w:color="auto" w:sz="4" w:space="0"/>
                    <w:right w:val="single" w:color="auto" w:sz="4" w:space="0"/>
                  </w:tcBorders>
                  <w:vAlign w:val="center"/>
                </w:tcPr>
                <w:p>
                  <w:pPr>
                    <w:autoSpaceDE w:val="0"/>
                    <w:autoSpaceDN w:val="0"/>
                    <w:adjustRightInd w:val="0"/>
                    <w:snapToGrid w:val="0"/>
                    <w:spacing w:line="340" w:lineRule="exact"/>
                    <w:ind w:firstLine="0" w:firstLineChars="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排放限值</w:t>
                  </w:r>
                </w:p>
              </w:tc>
              <w:tc>
                <w:tcPr>
                  <w:tcW w:w="1365" w:type="pct"/>
                  <w:tcBorders>
                    <w:top w:val="single" w:color="auto" w:sz="12" w:space="0"/>
                    <w:left w:val="single" w:color="auto" w:sz="4" w:space="0"/>
                    <w:bottom w:val="single" w:color="auto" w:sz="4" w:space="0"/>
                    <w:right w:val="nil"/>
                  </w:tcBorders>
                  <w:vAlign w:val="center"/>
                </w:tcPr>
                <w:p>
                  <w:pPr>
                    <w:autoSpaceDE w:val="0"/>
                    <w:autoSpaceDN w:val="0"/>
                    <w:adjustRightInd w:val="0"/>
                    <w:snapToGrid w:val="0"/>
                    <w:spacing w:line="340" w:lineRule="exact"/>
                    <w:ind w:firstLine="0" w:firstLineChars="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单位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9" w:type="pct"/>
                  <w:vMerge w:val="restart"/>
                  <w:tcBorders>
                    <w:top w:val="single" w:color="auto" w:sz="4" w:space="0"/>
                    <w:left w:val="nil"/>
                    <w:bottom w:val="single" w:color="auto" w:sz="12" w:space="0"/>
                    <w:right w:val="single" w:color="auto" w:sz="4" w:space="0"/>
                  </w:tcBorders>
                  <w:vAlign w:val="center"/>
                </w:tcPr>
                <w:p>
                  <w:pPr>
                    <w:autoSpaceDE w:val="0"/>
                    <w:autoSpaceDN w:val="0"/>
                    <w:adjustRightInd w:val="0"/>
                    <w:snapToGrid w:val="0"/>
                    <w:spacing w:line="340" w:lineRule="exact"/>
                    <w:ind w:firstLine="0" w:firstLineChars="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燃气锅炉</w:t>
                  </w:r>
                </w:p>
              </w:tc>
              <w:tc>
                <w:tcPr>
                  <w:tcW w:w="1415" w:type="pc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340" w:lineRule="exact"/>
                    <w:ind w:firstLine="0" w:firstLineChars="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颗粒物</w:t>
                  </w:r>
                </w:p>
              </w:tc>
              <w:tc>
                <w:tcPr>
                  <w:tcW w:w="1070" w:type="pc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340" w:lineRule="exact"/>
                    <w:ind w:firstLine="0" w:firstLineChars="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20</w:t>
                  </w:r>
                </w:p>
              </w:tc>
              <w:tc>
                <w:tcPr>
                  <w:tcW w:w="1365" w:type="pct"/>
                  <w:tcBorders>
                    <w:top w:val="single" w:color="auto" w:sz="4" w:space="0"/>
                    <w:left w:val="single" w:color="auto" w:sz="4" w:space="0"/>
                    <w:bottom w:val="single" w:color="auto" w:sz="4" w:space="0"/>
                    <w:right w:val="nil"/>
                  </w:tcBorders>
                  <w:vAlign w:val="center"/>
                </w:tcPr>
                <w:p>
                  <w:pPr>
                    <w:autoSpaceDE w:val="0"/>
                    <w:autoSpaceDN w:val="0"/>
                    <w:adjustRightInd w:val="0"/>
                    <w:snapToGrid w:val="0"/>
                    <w:spacing w:line="340" w:lineRule="exact"/>
                    <w:ind w:firstLine="0" w:firstLineChars="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mg/m</w:t>
                  </w:r>
                  <w:r>
                    <w:rPr>
                      <w:rFonts w:hint="default" w:ascii="Times New Roman" w:hAnsi="Times New Roman" w:cs="Times New Roman"/>
                      <w:color w:val="auto"/>
                      <w:kern w:val="0"/>
                      <w:sz w:val="21"/>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49" w:type="pct"/>
                  <w:vMerge w:val="continue"/>
                  <w:tcBorders>
                    <w:top w:val="single" w:color="auto" w:sz="4" w:space="0"/>
                    <w:left w:val="nil"/>
                    <w:bottom w:val="single" w:color="auto" w:sz="12" w:space="0"/>
                    <w:right w:val="single" w:color="auto" w:sz="4" w:space="0"/>
                  </w:tcBorders>
                  <w:vAlign w:val="center"/>
                </w:tcPr>
                <w:p>
                  <w:pPr>
                    <w:widowControl/>
                    <w:ind w:firstLine="0" w:firstLineChars="0"/>
                    <w:jc w:val="left"/>
                    <w:rPr>
                      <w:rFonts w:hint="default" w:ascii="Times New Roman" w:hAnsi="Times New Roman" w:cs="Times New Roman"/>
                      <w:color w:val="auto"/>
                      <w:kern w:val="0"/>
                      <w:sz w:val="21"/>
                      <w:szCs w:val="21"/>
                    </w:rPr>
                  </w:pPr>
                </w:p>
              </w:tc>
              <w:tc>
                <w:tcPr>
                  <w:tcW w:w="1415" w:type="pc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340" w:lineRule="exact"/>
                    <w:ind w:firstLine="0" w:firstLineChars="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烟气黑度</w:t>
                  </w:r>
                </w:p>
              </w:tc>
              <w:tc>
                <w:tcPr>
                  <w:tcW w:w="1070" w:type="pc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340" w:lineRule="exact"/>
                    <w:ind w:firstLine="0" w:firstLineChars="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w:t>
                  </w:r>
                </w:p>
              </w:tc>
              <w:tc>
                <w:tcPr>
                  <w:tcW w:w="1365" w:type="pct"/>
                  <w:tcBorders>
                    <w:top w:val="single" w:color="auto" w:sz="4" w:space="0"/>
                    <w:left w:val="single" w:color="auto" w:sz="4" w:space="0"/>
                    <w:bottom w:val="single" w:color="auto" w:sz="4" w:space="0"/>
                    <w:right w:val="nil"/>
                  </w:tcBorders>
                  <w:vAlign w:val="center"/>
                </w:tcPr>
                <w:p>
                  <w:pPr>
                    <w:autoSpaceDE w:val="0"/>
                    <w:autoSpaceDN w:val="0"/>
                    <w:adjustRightInd w:val="0"/>
                    <w:snapToGrid w:val="0"/>
                    <w:spacing w:line="340" w:lineRule="exact"/>
                    <w:ind w:firstLine="0" w:firstLineChars="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1149" w:type="pct"/>
                  <w:vMerge w:val="continue"/>
                  <w:tcBorders>
                    <w:top w:val="single" w:color="auto" w:sz="4" w:space="0"/>
                    <w:left w:val="nil"/>
                    <w:bottom w:val="single" w:color="auto" w:sz="12" w:space="0"/>
                    <w:right w:val="single" w:color="auto" w:sz="4" w:space="0"/>
                  </w:tcBorders>
                  <w:vAlign w:val="center"/>
                </w:tcPr>
                <w:p>
                  <w:pPr>
                    <w:widowControl/>
                    <w:ind w:firstLine="0" w:firstLineChars="0"/>
                    <w:jc w:val="left"/>
                    <w:rPr>
                      <w:rFonts w:hint="default" w:ascii="Times New Roman" w:hAnsi="Times New Roman" w:cs="Times New Roman"/>
                      <w:color w:val="auto"/>
                      <w:kern w:val="0"/>
                      <w:sz w:val="21"/>
                      <w:szCs w:val="21"/>
                    </w:rPr>
                  </w:pPr>
                </w:p>
              </w:tc>
              <w:tc>
                <w:tcPr>
                  <w:tcW w:w="1415" w:type="pc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340" w:lineRule="exact"/>
                    <w:ind w:firstLine="0" w:firstLineChars="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二氧化硫</w:t>
                  </w:r>
                </w:p>
              </w:tc>
              <w:tc>
                <w:tcPr>
                  <w:tcW w:w="1070" w:type="pc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snapToGrid w:val="0"/>
                    <w:spacing w:line="340" w:lineRule="exact"/>
                    <w:ind w:firstLine="0" w:firstLineChars="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50</w:t>
                  </w:r>
                </w:p>
              </w:tc>
              <w:tc>
                <w:tcPr>
                  <w:tcW w:w="1365" w:type="pct"/>
                  <w:tcBorders>
                    <w:top w:val="single" w:color="auto" w:sz="4" w:space="0"/>
                    <w:left w:val="single" w:color="auto" w:sz="4" w:space="0"/>
                    <w:bottom w:val="single" w:color="auto" w:sz="4" w:space="0"/>
                    <w:right w:val="nil"/>
                  </w:tcBorders>
                  <w:vAlign w:val="center"/>
                </w:tcPr>
                <w:p>
                  <w:pPr>
                    <w:autoSpaceDE w:val="0"/>
                    <w:autoSpaceDN w:val="0"/>
                    <w:adjustRightInd w:val="0"/>
                    <w:snapToGrid w:val="0"/>
                    <w:spacing w:line="340" w:lineRule="exact"/>
                    <w:ind w:firstLine="0" w:firstLineChars="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mg/m</w:t>
                  </w:r>
                  <w:r>
                    <w:rPr>
                      <w:rFonts w:hint="default" w:ascii="Times New Roman" w:hAnsi="Times New Roman" w:cs="Times New Roman"/>
                      <w:color w:val="auto"/>
                      <w:kern w:val="0"/>
                      <w:sz w:val="21"/>
                      <w:szCs w:val="21"/>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1149" w:type="pct"/>
                  <w:vMerge w:val="continue"/>
                  <w:tcBorders>
                    <w:top w:val="single" w:color="auto" w:sz="4" w:space="0"/>
                    <w:left w:val="nil"/>
                    <w:bottom w:val="single" w:color="auto" w:sz="12" w:space="0"/>
                    <w:right w:val="single" w:color="auto" w:sz="4" w:space="0"/>
                  </w:tcBorders>
                  <w:vAlign w:val="center"/>
                </w:tcPr>
                <w:p>
                  <w:pPr>
                    <w:widowControl/>
                    <w:ind w:firstLine="0" w:firstLineChars="0"/>
                    <w:jc w:val="left"/>
                    <w:rPr>
                      <w:rFonts w:hint="default" w:ascii="Times New Roman" w:hAnsi="Times New Roman" w:cs="Times New Roman"/>
                      <w:color w:val="auto"/>
                      <w:kern w:val="0"/>
                      <w:sz w:val="21"/>
                      <w:szCs w:val="21"/>
                    </w:rPr>
                  </w:pPr>
                </w:p>
              </w:tc>
              <w:tc>
                <w:tcPr>
                  <w:tcW w:w="1415" w:type="pct"/>
                  <w:tcBorders>
                    <w:top w:val="single" w:color="auto" w:sz="4" w:space="0"/>
                    <w:left w:val="single" w:color="auto" w:sz="4" w:space="0"/>
                    <w:bottom w:val="single" w:color="auto" w:sz="12" w:space="0"/>
                    <w:right w:val="single" w:color="auto" w:sz="4" w:space="0"/>
                  </w:tcBorders>
                  <w:vAlign w:val="center"/>
                </w:tcPr>
                <w:p>
                  <w:pPr>
                    <w:autoSpaceDE w:val="0"/>
                    <w:autoSpaceDN w:val="0"/>
                    <w:adjustRightInd w:val="0"/>
                    <w:snapToGrid w:val="0"/>
                    <w:spacing w:line="340" w:lineRule="exact"/>
                    <w:ind w:firstLine="0" w:firstLineChars="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氮氧化物</w:t>
                  </w:r>
                </w:p>
              </w:tc>
              <w:tc>
                <w:tcPr>
                  <w:tcW w:w="1070" w:type="pct"/>
                  <w:tcBorders>
                    <w:top w:val="single" w:color="auto" w:sz="4" w:space="0"/>
                    <w:left w:val="single" w:color="auto" w:sz="4" w:space="0"/>
                    <w:bottom w:val="single" w:color="auto" w:sz="12" w:space="0"/>
                    <w:right w:val="single" w:color="auto" w:sz="4" w:space="0"/>
                  </w:tcBorders>
                  <w:vAlign w:val="center"/>
                </w:tcPr>
                <w:p>
                  <w:pPr>
                    <w:autoSpaceDE w:val="0"/>
                    <w:autoSpaceDN w:val="0"/>
                    <w:adjustRightInd w:val="0"/>
                    <w:snapToGrid w:val="0"/>
                    <w:spacing w:line="340" w:lineRule="exact"/>
                    <w:ind w:firstLine="0" w:firstLineChars="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150</w:t>
                  </w:r>
                </w:p>
              </w:tc>
              <w:tc>
                <w:tcPr>
                  <w:tcW w:w="1365" w:type="pct"/>
                  <w:tcBorders>
                    <w:top w:val="single" w:color="auto" w:sz="4" w:space="0"/>
                    <w:left w:val="single" w:color="auto" w:sz="4" w:space="0"/>
                    <w:bottom w:val="single" w:color="auto" w:sz="12" w:space="0"/>
                    <w:right w:val="nil"/>
                  </w:tcBorders>
                  <w:vAlign w:val="center"/>
                </w:tcPr>
                <w:p>
                  <w:pPr>
                    <w:autoSpaceDE w:val="0"/>
                    <w:autoSpaceDN w:val="0"/>
                    <w:adjustRightInd w:val="0"/>
                    <w:snapToGrid w:val="0"/>
                    <w:spacing w:line="340" w:lineRule="exact"/>
                    <w:ind w:firstLine="0" w:firstLineChars="0"/>
                    <w:jc w:val="center"/>
                    <w:textAlignment w:val="baseline"/>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mg/m</w:t>
                  </w:r>
                  <w:r>
                    <w:rPr>
                      <w:rFonts w:hint="default" w:ascii="Times New Roman" w:hAnsi="Times New Roman" w:cs="Times New Roman"/>
                      <w:color w:val="auto"/>
                      <w:kern w:val="0"/>
                      <w:sz w:val="21"/>
                      <w:szCs w:val="21"/>
                      <w:vertAlign w:val="superscript"/>
                    </w:rPr>
                    <w:t>3</w:t>
                  </w:r>
                </w:p>
              </w:tc>
            </w:tr>
          </w:tbl>
          <w:p>
            <w:pPr>
              <w:ind w:firstLine="480"/>
              <w:rPr>
                <w:rFonts w:hint="default" w:ascii="Times New Roman" w:hAnsi="Times New Roman" w:cs="Times New Roman"/>
                <w:color w:val="auto"/>
              </w:rPr>
            </w:pPr>
            <w:bookmarkStart w:id="36" w:name="_Toc6781"/>
            <w:r>
              <w:rPr>
                <w:rFonts w:hint="default" w:ascii="Times New Roman" w:hAnsi="Times New Roman" w:cs="Times New Roman"/>
                <w:color w:val="auto"/>
              </w:rPr>
              <w:t>（3）噪声排放标准</w:t>
            </w:r>
            <w:bookmarkEnd w:id="36"/>
          </w:p>
          <w:p>
            <w:pPr>
              <w:ind w:firstLine="480"/>
              <w:rPr>
                <w:rFonts w:hint="default" w:ascii="Times New Roman" w:hAnsi="Times New Roman" w:cs="Times New Roman"/>
                <w:color w:val="auto"/>
              </w:rPr>
            </w:pPr>
            <w:r>
              <w:rPr>
                <w:rFonts w:hint="default" w:ascii="Times New Roman" w:hAnsi="Times New Roman" w:cs="Times New Roman"/>
                <w:color w:val="auto"/>
              </w:rPr>
              <w:t>项目运营期厂界噪声执行《工业企业厂界环境噪声排放标准》（GB12348-2008）中3类标准，详见表3.3-2。</w:t>
            </w:r>
          </w:p>
          <w:p>
            <w:pPr>
              <w:pStyle w:val="19"/>
              <w:rPr>
                <w:rFonts w:hint="default" w:ascii="Times New Roman" w:hAnsi="Times New Roman" w:cs="Times New Roman"/>
                <w:color w:val="auto"/>
              </w:rPr>
            </w:pPr>
            <w:r>
              <w:rPr>
                <w:rFonts w:hint="default" w:ascii="Times New Roman" w:hAnsi="Times New Roman" w:cs="Times New Roman"/>
                <w:color w:val="auto"/>
              </w:rPr>
              <w:t>表3.3-2 《工业企业厂界环境噪声排放标准》表1（摘录）</w:t>
            </w:r>
          </w:p>
          <w:tbl>
            <w:tblPr>
              <w:tblStyle w:val="1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05"/>
              <w:gridCol w:w="2028"/>
              <w:gridCol w:w="1884"/>
              <w:gridCol w:w="16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1459" w:type="pct"/>
                  <w:vAlign w:val="center"/>
                </w:tcPr>
                <w:p>
                  <w:pPr>
                    <w:pStyle w:val="24"/>
                    <w:rPr>
                      <w:rFonts w:hint="default" w:ascii="Times New Roman" w:hAnsi="Times New Roman" w:cs="Times New Roman"/>
                      <w:color w:val="auto"/>
                    </w:rPr>
                  </w:pPr>
                </w:p>
                <w:p>
                  <w:pPr>
                    <w:pStyle w:val="24"/>
                    <w:rPr>
                      <w:rFonts w:hint="default" w:ascii="Times New Roman" w:hAnsi="Times New Roman" w:cs="Times New Roman"/>
                      <w:color w:val="auto"/>
                    </w:rPr>
                  </w:pPr>
                  <w:r>
                    <w:rPr>
                      <w:rFonts w:hint="default" w:ascii="Times New Roman" w:hAnsi="Times New Roman" w:cs="Times New Roman"/>
                      <w:color w:val="auto"/>
                    </w:rPr>
                    <w:t>类别</w:t>
                  </w:r>
                </w:p>
              </w:tc>
              <w:tc>
                <w:tcPr>
                  <w:tcW w:w="1283" w:type="pct"/>
                  <w:vAlign w:val="center"/>
                </w:tcPr>
                <w:p>
                  <w:pPr>
                    <w:pStyle w:val="24"/>
                    <w:rPr>
                      <w:rFonts w:hint="default" w:ascii="Times New Roman" w:hAnsi="Times New Roman" w:cs="Times New Roman"/>
                      <w:color w:val="auto"/>
                    </w:rPr>
                  </w:pPr>
                  <w:r>
                    <w:rPr>
                      <w:rFonts w:hint="default" w:ascii="Times New Roman" w:hAnsi="Times New Roman" w:cs="Times New Roman"/>
                      <w:color w:val="auto"/>
                    </w:rPr>
                    <w:t>昼间</w:t>
                  </w:r>
                </w:p>
              </w:tc>
              <w:tc>
                <w:tcPr>
                  <w:tcW w:w="1192" w:type="pct"/>
                  <w:vAlign w:val="center"/>
                </w:tcPr>
                <w:p>
                  <w:pPr>
                    <w:pStyle w:val="24"/>
                    <w:rPr>
                      <w:rFonts w:hint="default" w:ascii="Times New Roman" w:hAnsi="Times New Roman" w:cs="Times New Roman"/>
                      <w:color w:val="auto"/>
                    </w:rPr>
                  </w:pPr>
                  <w:r>
                    <w:rPr>
                      <w:rFonts w:hint="default" w:ascii="Times New Roman" w:hAnsi="Times New Roman" w:cs="Times New Roman"/>
                      <w:color w:val="auto"/>
                    </w:rPr>
                    <w:t>夜间</w:t>
                  </w:r>
                </w:p>
              </w:tc>
              <w:tc>
                <w:tcPr>
                  <w:tcW w:w="1065" w:type="pct"/>
                  <w:vAlign w:val="center"/>
                </w:tcPr>
                <w:p>
                  <w:pPr>
                    <w:pStyle w:val="24"/>
                    <w:rPr>
                      <w:rFonts w:hint="default" w:ascii="Times New Roman" w:hAnsi="Times New Roman" w:cs="Times New Roman"/>
                      <w:color w:val="auto"/>
                    </w:rPr>
                  </w:pPr>
                  <w:r>
                    <w:rPr>
                      <w:rFonts w:hint="default" w:ascii="Times New Roman" w:hAnsi="Times New Roman" w:cs="Times New Roman"/>
                      <w:color w:val="auto"/>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trPr>
              <w:tc>
                <w:tcPr>
                  <w:tcW w:w="1459"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3类</w:t>
                  </w:r>
                </w:p>
              </w:tc>
              <w:tc>
                <w:tcPr>
                  <w:tcW w:w="1283"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65</w:t>
                  </w:r>
                </w:p>
              </w:tc>
              <w:tc>
                <w:tcPr>
                  <w:tcW w:w="1192"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55</w:t>
                  </w:r>
                </w:p>
              </w:tc>
              <w:tc>
                <w:tcPr>
                  <w:tcW w:w="1065"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dB(A)</w:t>
                  </w:r>
                </w:p>
              </w:tc>
            </w:tr>
          </w:tbl>
          <w:p>
            <w:pPr>
              <w:ind w:firstLine="480"/>
              <w:rPr>
                <w:rFonts w:hint="default" w:ascii="Times New Roman" w:hAnsi="Times New Roman" w:cs="Times New Roman"/>
                <w:color w:val="auto"/>
              </w:rPr>
            </w:pPr>
            <w:bookmarkStart w:id="37" w:name="_Toc30630"/>
            <w:r>
              <w:rPr>
                <w:rFonts w:hint="default" w:ascii="Times New Roman" w:hAnsi="Times New Roman" w:cs="Times New Roman"/>
                <w:color w:val="auto"/>
              </w:rPr>
              <w:t>（4）固体废物</w:t>
            </w:r>
            <w:bookmarkEnd w:id="37"/>
          </w:p>
          <w:p>
            <w:pPr>
              <w:ind w:firstLine="480"/>
              <w:rPr>
                <w:rFonts w:hint="default" w:ascii="Times New Roman" w:hAnsi="Times New Roman" w:cs="Times New Roman"/>
                <w:color w:val="auto"/>
              </w:rPr>
            </w:pPr>
            <w:r>
              <w:rPr>
                <w:rFonts w:hint="default" w:ascii="Times New Roman" w:hAnsi="Times New Roman" w:cs="Times New Roman"/>
                <w:color w:val="auto"/>
              </w:rPr>
              <w:t>生活垃圾处置执行《中华人民共和国固体废物污染环境防治法》（2016年11月7日修正版）的相关规定；本项目一般工业固体废物执行《一般工业固体废物贮存和填埋污染控制标准》（18599-2020）。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113" w:type="dxa"/>
            <w:left w:w="108" w:type="dxa"/>
            <w:bottom w:w="113" w:type="dxa"/>
            <w:right w:w="108" w:type="dxa"/>
          </w:tblCellMar>
        </w:tblPrEx>
        <w:trPr>
          <w:trHeight w:val="392" w:hRule="atLeast"/>
          <w:jc w:val="center"/>
        </w:trPr>
        <w:tc>
          <w:tcPr>
            <w:tcW w:w="699" w:type="dxa"/>
            <w:tcMar>
              <w:left w:w="28" w:type="dxa"/>
              <w:right w:w="28" w:type="dxa"/>
            </w:tcMar>
            <w:vAlign w:val="center"/>
          </w:tcPr>
          <w:p>
            <w:pPr>
              <w:pStyle w:val="4"/>
              <w:numPr>
                <w:ilvl w:val="1"/>
                <w:numId w:val="0"/>
              </w:numPr>
              <w:jc w:val="center"/>
              <w:rPr>
                <w:rFonts w:hint="default" w:ascii="Times New Roman" w:hAnsi="Times New Roman" w:cs="Times New Roman"/>
                <w:color w:val="auto"/>
                <w:kern w:val="0"/>
                <w:szCs w:val="21"/>
              </w:rPr>
            </w:pPr>
            <w:bookmarkStart w:id="38" w:name="_Toc31808"/>
            <w:r>
              <w:rPr>
                <w:rFonts w:hint="default" w:ascii="Times New Roman" w:hAnsi="Times New Roman" w:cs="Times New Roman"/>
                <w:b w:val="0"/>
                <w:bCs/>
                <w:color w:val="auto"/>
                <w:sz w:val="24"/>
              </w:rPr>
              <w:t>总量控制指标</w:t>
            </w:r>
            <w:bookmarkEnd w:id="38"/>
          </w:p>
        </w:tc>
        <w:tc>
          <w:tcPr>
            <w:tcW w:w="8126" w:type="dxa"/>
          </w:tcPr>
          <w:p>
            <w:pPr>
              <w:pStyle w:val="4"/>
              <w:rPr>
                <w:rFonts w:hint="default" w:ascii="Times New Roman" w:hAnsi="Times New Roman" w:cs="Times New Roman"/>
                <w:color w:val="auto"/>
              </w:rPr>
            </w:pPr>
            <w:bookmarkStart w:id="39" w:name="_Toc7784"/>
            <w:r>
              <w:rPr>
                <w:rFonts w:hint="default" w:ascii="Times New Roman" w:hAnsi="Times New Roman" w:cs="Times New Roman"/>
                <w:color w:val="auto"/>
              </w:rPr>
              <w:t>总量控制指标</w:t>
            </w:r>
            <w:bookmarkEnd w:id="39"/>
          </w:p>
          <w:p>
            <w:pPr>
              <w:pStyle w:val="10"/>
              <w:ind w:firstLine="480"/>
              <w:rPr>
                <w:rFonts w:hint="default" w:ascii="Times New Roman" w:hAnsi="Times New Roman" w:cs="Times New Roman"/>
                <w:color w:val="auto"/>
              </w:rPr>
            </w:pPr>
            <w:r>
              <w:rPr>
                <w:rFonts w:hint="default" w:ascii="Times New Roman" w:hAnsi="Times New Roman" w:cs="Times New Roman"/>
                <w:color w:val="auto"/>
              </w:rPr>
              <w:t>根据“十四五”期间总量控制的要求以及《福建省建设项目主要污染物排放总量指标管理办法（试行）》，福建省主要污染物排放总量指标为COD、NH</w:t>
            </w:r>
            <w:r>
              <w:rPr>
                <w:rFonts w:hint="default" w:ascii="Times New Roman" w:hAnsi="Times New Roman" w:cs="Times New Roman"/>
                <w:color w:val="auto"/>
                <w:vertAlign w:val="subscript"/>
              </w:rPr>
              <w:t>3</w:t>
            </w:r>
            <w:r>
              <w:rPr>
                <w:rFonts w:hint="default" w:ascii="Times New Roman" w:hAnsi="Times New Roman" w:cs="Times New Roman"/>
                <w:color w:val="auto"/>
              </w:rPr>
              <w:t>-N、SO</w:t>
            </w:r>
            <w:r>
              <w:rPr>
                <w:rFonts w:hint="default" w:ascii="Times New Roman" w:hAnsi="Times New Roman" w:cs="Times New Roman"/>
                <w:color w:val="auto"/>
                <w:vertAlign w:val="subscript"/>
              </w:rPr>
              <w:t>2</w:t>
            </w:r>
            <w:r>
              <w:rPr>
                <w:rFonts w:hint="default" w:ascii="Times New Roman" w:hAnsi="Times New Roman" w:cs="Times New Roman"/>
                <w:color w:val="auto"/>
              </w:rPr>
              <w:t>、NOx。同时对全国实施重点行业工业烟粉尘总量控制，对总氮、总磷和非甲烷总烃实施重点区域与重点行业相结合的总量控制。结合本项目的特征污染物，确定本项目排放污染物中总量控制项目为二氧化硫、氮氧化物。项目污染物排放总量控制指标见下表3.4-1。</w:t>
            </w:r>
          </w:p>
          <w:p>
            <w:pPr>
              <w:pStyle w:val="19"/>
              <w:rPr>
                <w:rFonts w:hint="default" w:ascii="Times New Roman" w:hAnsi="Times New Roman" w:cs="Times New Roman"/>
                <w:color w:val="auto"/>
              </w:rPr>
            </w:pPr>
            <w:r>
              <w:rPr>
                <w:rFonts w:hint="default" w:ascii="Times New Roman" w:hAnsi="Times New Roman" w:cs="Times New Roman"/>
                <w:color w:val="auto"/>
              </w:rPr>
              <w:t>表 3.4-1 污染物排放总量指标一览表</w:t>
            </w:r>
          </w:p>
          <w:tbl>
            <w:tblPr>
              <w:tblStyle w:val="1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6"/>
              <w:gridCol w:w="1419"/>
              <w:gridCol w:w="1795"/>
              <w:gridCol w:w="1795"/>
              <w:gridCol w:w="17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92" w:type="pct"/>
                  <w:gridSpan w:val="2"/>
                  <w:vAlign w:val="center"/>
                </w:tcPr>
                <w:p>
                  <w:pPr>
                    <w:pStyle w:val="23"/>
                    <w:rPr>
                      <w:rFonts w:hint="default" w:ascii="Times New Roman" w:hAnsi="Times New Roman" w:cs="Times New Roman"/>
                      <w:b/>
                      <w:bCs/>
                      <w:color w:val="auto"/>
                    </w:rPr>
                  </w:pPr>
                  <w:r>
                    <w:rPr>
                      <w:rFonts w:hint="default" w:ascii="Times New Roman" w:hAnsi="Times New Roman" w:cs="Times New Roman"/>
                      <w:b/>
                      <w:bCs/>
                      <w:color w:val="auto"/>
                    </w:rPr>
                    <w:t>项目</w:t>
                  </w:r>
                </w:p>
              </w:tc>
              <w:tc>
                <w:tcPr>
                  <w:tcW w:w="1136" w:type="pct"/>
                  <w:vAlign w:val="center"/>
                </w:tcPr>
                <w:p>
                  <w:pPr>
                    <w:pStyle w:val="23"/>
                    <w:rPr>
                      <w:rFonts w:hint="default" w:ascii="Times New Roman" w:hAnsi="Times New Roman" w:cs="Times New Roman"/>
                      <w:b/>
                      <w:bCs/>
                      <w:color w:val="auto"/>
                    </w:rPr>
                  </w:pPr>
                  <w:r>
                    <w:rPr>
                      <w:rFonts w:hint="default" w:ascii="Times New Roman" w:hAnsi="Times New Roman" w:cs="Times New Roman"/>
                      <w:b/>
                      <w:bCs/>
                      <w:color w:val="auto"/>
                    </w:rPr>
                    <w:t>预测排放量</w:t>
                  </w:r>
                </w:p>
              </w:tc>
              <w:tc>
                <w:tcPr>
                  <w:tcW w:w="1136" w:type="pct"/>
                  <w:vAlign w:val="center"/>
                </w:tcPr>
                <w:p>
                  <w:pPr>
                    <w:pStyle w:val="23"/>
                    <w:rPr>
                      <w:rFonts w:hint="default" w:ascii="Times New Roman" w:hAnsi="Times New Roman" w:cs="Times New Roman"/>
                      <w:b/>
                      <w:bCs/>
                      <w:color w:val="auto"/>
                    </w:rPr>
                  </w:pPr>
                  <w:r>
                    <w:rPr>
                      <w:rFonts w:hint="default" w:ascii="Times New Roman" w:hAnsi="Times New Roman" w:cs="Times New Roman"/>
                      <w:b/>
                      <w:bCs/>
                      <w:color w:val="auto"/>
                    </w:rPr>
                    <w:t>建议申请总量</w:t>
                  </w:r>
                </w:p>
              </w:tc>
              <w:tc>
                <w:tcPr>
                  <w:tcW w:w="1136" w:type="pct"/>
                  <w:vAlign w:val="center"/>
                </w:tcPr>
                <w:p>
                  <w:pPr>
                    <w:pStyle w:val="23"/>
                    <w:rPr>
                      <w:rFonts w:hint="default" w:ascii="Times New Roman" w:hAnsi="Times New Roman" w:cs="Times New Roman"/>
                      <w:b/>
                      <w:bCs/>
                      <w:color w:val="auto"/>
                    </w:rPr>
                  </w:pPr>
                  <w:r>
                    <w:rPr>
                      <w:rFonts w:hint="default" w:ascii="Times New Roman" w:hAnsi="Times New Roman" w:cs="Times New Roman"/>
                      <w:b/>
                      <w:bCs/>
                      <w:color w:val="auto"/>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694" w:type="pct"/>
                  <w:vMerge w:val="restart"/>
                  <w:shd w:val="clear" w:color="auto" w:fill="auto"/>
                  <w:vAlign w:val="center"/>
                </w:tcPr>
                <w:p>
                  <w:pPr>
                    <w:pStyle w:val="23"/>
                    <w:rPr>
                      <w:rFonts w:hint="default" w:ascii="Times New Roman" w:hAnsi="Times New Roman" w:cs="Times New Roman"/>
                      <w:color w:val="auto"/>
                    </w:rPr>
                  </w:pPr>
                  <w:r>
                    <w:rPr>
                      <w:rFonts w:hint="default" w:ascii="Times New Roman" w:hAnsi="Times New Roman" w:cs="Times New Roman"/>
                      <w:color w:val="auto"/>
                    </w:rPr>
                    <w:t>生废气</w:t>
                  </w:r>
                </w:p>
              </w:tc>
              <w:tc>
                <w:tcPr>
                  <w:tcW w:w="898" w:type="pct"/>
                  <w:shd w:val="clear" w:color="auto" w:fill="auto"/>
                  <w:vAlign w:val="center"/>
                </w:tcPr>
                <w:p>
                  <w:pPr>
                    <w:pStyle w:val="23"/>
                    <w:rPr>
                      <w:rFonts w:hint="default" w:ascii="Times New Roman" w:hAnsi="Times New Roman" w:cs="Times New Roman"/>
                      <w:color w:val="auto"/>
                    </w:rPr>
                  </w:pPr>
                  <w:r>
                    <w:rPr>
                      <w:rFonts w:hint="default" w:ascii="Times New Roman" w:hAnsi="Times New Roman" w:cs="Times New Roman"/>
                      <w:color w:val="auto"/>
                    </w:rPr>
                    <w:t>二氧化硫</w:t>
                  </w:r>
                </w:p>
              </w:tc>
              <w:tc>
                <w:tcPr>
                  <w:tcW w:w="1136" w:type="pct"/>
                  <w:shd w:val="clear" w:color="auto" w:fill="auto"/>
                  <w:vAlign w:val="center"/>
                </w:tcPr>
                <w:p>
                  <w:pPr>
                    <w:pStyle w:val="23"/>
                    <w:rPr>
                      <w:rFonts w:hint="default" w:ascii="Times New Roman" w:hAnsi="Times New Roman" w:cs="Times New Roman"/>
                      <w:color w:val="auto"/>
                    </w:rPr>
                  </w:pPr>
                  <w:r>
                    <w:rPr>
                      <w:rFonts w:hint="default" w:ascii="Times New Roman" w:hAnsi="Times New Roman" w:cs="Times New Roman"/>
                      <w:color w:val="auto"/>
                    </w:rPr>
                    <w:t>0.0312t/a</w:t>
                  </w:r>
                </w:p>
              </w:tc>
              <w:tc>
                <w:tcPr>
                  <w:tcW w:w="1136" w:type="pct"/>
                  <w:shd w:val="clear" w:color="auto" w:fill="auto"/>
                  <w:vAlign w:val="center"/>
                </w:tcPr>
                <w:p>
                  <w:pPr>
                    <w:pStyle w:val="23"/>
                    <w:rPr>
                      <w:rFonts w:hint="default" w:ascii="Times New Roman" w:hAnsi="Times New Roman" w:cs="Times New Roman"/>
                      <w:color w:val="auto"/>
                    </w:rPr>
                  </w:pPr>
                  <w:r>
                    <w:rPr>
                      <w:rFonts w:hint="default" w:ascii="Times New Roman" w:hAnsi="Times New Roman" w:cs="Times New Roman"/>
                      <w:color w:val="auto"/>
                    </w:rPr>
                    <w:t>0.0312t/a</w:t>
                  </w:r>
                </w:p>
              </w:tc>
              <w:tc>
                <w:tcPr>
                  <w:tcW w:w="1136" w:type="pct"/>
                  <w:vMerge w:val="restart"/>
                  <w:shd w:val="clear" w:color="auto" w:fill="auto"/>
                  <w:vAlign w:val="center"/>
                </w:tcPr>
                <w:p>
                  <w:pPr>
                    <w:pStyle w:val="23"/>
                    <w:rPr>
                      <w:rFonts w:hint="default" w:ascii="Times New Roman" w:hAnsi="Times New Roman" w:cs="Times New Roman"/>
                      <w:color w:val="auto"/>
                    </w:rPr>
                  </w:pPr>
                  <w:r>
                    <w:rPr>
                      <w:rFonts w:hint="default" w:ascii="Times New Roman" w:hAnsi="Times New Roman" w:cs="Times New Roman"/>
                      <w:color w:val="auto"/>
                    </w:rPr>
                    <w:t>通过海峡排污权交易中心购买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4" w:type="pct"/>
                  <w:vMerge w:val="continue"/>
                  <w:shd w:val="clear" w:color="auto" w:fill="auto"/>
                  <w:vAlign w:val="center"/>
                </w:tcPr>
                <w:p>
                  <w:pPr>
                    <w:pStyle w:val="23"/>
                    <w:rPr>
                      <w:rFonts w:hint="default" w:ascii="Times New Roman" w:hAnsi="Times New Roman" w:cs="Times New Roman"/>
                      <w:color w:val="auto"/>
                    </w:rPr>
                  </w:pPr>
                </w:p>
              </w:tc>
              <w:tc>
                <w:tcPr>
                  <w:tcW w:w="898" w:type="pct"/>
                  <w:shd w:val="clear" w:color="auto" w:fill="auto"/>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氮氧化物</w:t>
                  </w:r>
                </w:p>
              </w:tc>
              <w:tc>
                <w:tcPr>
                  <w:tcW w:w="1136" w:type="pct"/>
                  <w:shd w:val="clear" w:color="auto" w:fill="auto"/>
                  <w:vAlign w:val="center"/>
                </w:tcPr>
                <w:p>
                  <w:pPr>
                    <w:pStyle w:val="23"/>
                    <w:rPr>
                      <w:rFonts w:hint="default" w:ascii="Times New Roman" w:hAnsi="Times New Roman" w:cs="Times New Roman"/>
                      <w:color w:val="auto"/>
                    </w:rPr>
                  </w:pPr>
                  <w:r>
                    <w:rPr>
                      <w:rFonts w:hint="default" w:ascii="Times New Roman" w:hAnsi="Times New Roman" w:cs="Times New Roman"/>
                      <w:color w:val="auto"/>
                    </w:rPr>
                    <w:t>0.292 t/a</w:t>
                  </w:r>
                </w:p>
              </w:tc>
              <w:tc>
                <w:tcPr>
                  <w:tcW w:w="1136" w:type="pct"/>
                  <w:shd w:val="clear" w:color="auto" w:fill="auto"/>
                  <w:vAlign w:val="center"/>
                </w:tcPr>
                <w:p>
                  <w:pPr>
                    <w:pStyle w:val="23"/>
                    <w:rPr>
                      <w:rFonts w:hint="default" w:ascii="Times New Roman" w:hAnsi="Times New Roman" w:cs="Times New Roman"/>
                      <w:color w:val="auto"/>
                    </w:rPr>
                  </w:pPr>
                  <w:r>
                    <w:rPr>
                      <w:rFonts w:hint="default" w:ascii="Times New Roman" w:hAnsi="Times New Roman" w:cs="Times New Roman"/>
                      <w:color w:val="auto"/>
                    </w:rPr>
                    <w:t>0.292 t/a</w:t>
                  </w:r>
                </w:p>
              </w:tc>
              <w:tc>
                <w:tcPr>
                  <w:tcW w:w="1136" w:type="pct"/>
                  <w:vMerge w:val="continue"/>
                  <w:shd w:val="clear" w:color="auto" w:fill="auto"/>
                  <w:vAlign w:val="center"/>
                </w:tcPr>
                <w:p>
                  <w:pPr>
                    <w:pStyle w:val="23"/>
                    <w:rPr>
                      <w:rFonts w:hint="default" w:ascii="Times New Roman" w:hAnsi="Times New Roman" w:cs="Times New Roman"/>
                      <w:color w:val="auto"/>
                    </w:rPr>
                  </w:pPr>
                </w:p>
              </w:tc>
            </w:tr>
          </w:tbl>
          <w:p>
            <w:pPr>
              <w:pStyle w:val="10"/>
              <w:ind w:firstLine="480"/>
              <w:rPr>
                <w:rFonts w:hint="default" w:ascii="Times New Roman" w:hAnsi="Times New Roman" w:cs="Times New Roman"/>
                <w:color w:val="auto"/>
              </w:rPr>
            </w:pPr>
            <w:r>
              <w:rPr>
                <w:rFonts w:hint="default" w:ascii="Times New Roman" w:hAnsi="Times New Roman" w:cs="Times New Roman"/>
                <w:color w:val="auto"/>
              </w:rPr>
              <w:t>根据“关于福州阿多拉制药有限公司锅炉更换环评审批补充意见”（侯环保[2015]437号）可知，现有生物质锅炉许可排放量为：SO</w:t>
            </w:r>
            <w:r>
              <w:rPr>
                <w:rFonts w:hint="default" w:ascii="Times New Roman" w:hAnsi="Times New Roman" w:cs="Times New Roman"/>
                <w:color w:val="auto"/>
                <w:vertAlign w:val="subscript"/>
              </w:rPr>
              <w:t>2</w:t>
            </w:r>
            <w:r>
              <w:rPr>
                <w:rFonts w:hint="default" w:ascii="Times New Roman" w:hAnsi="Times New Roman" w:cs="Times New Roman"/>
                <w:color w:val="auto"/>
              </w:rPr>
              <w:t>≤0.142t/a、NO</w:t>
            </w:r>
            <w:r>
              <w:rPr>
                <w:rFonts w:hint="default" w:ascii="Times New Roman" w:hAnsi="Times New Roman" w:cs="Times New Roman"/>
                <w:color w:val="auto"/>
                <w:vertAlign w:val="subscript"/>
              </w:rPr>
              <w:t>X</w:t>
            </w:r>
            <w:r>
              <w:rPr>
                <w:rFonts w:hint="default" w:ascii="Times New Roman" w:hAnsi="Times New Roman" w:cs="Times New Roman"/>
                <w:color w:val="auto"/>
              </w:rPr>
              <w:t>≤0.608t/a。由于</w:t>
            </w:r>
            <w:r>
              <w:rPr>
                <w:rFonts w:hint="eastAsia" w:cs="Times New Roman"/>
                <w:color w:val="auto"/>
                <w:lang w:val="en-US" w:eastAsia="zh-CN"/>
              </w:rPr>
              <w:t>现</w:t>
            </w:r>
            <w:r>
              <w:rPr>
                <w:rFonts w:hint="default" w:ascii="Times New Roman" w:hAnsi="Times New Roman" w:cs="Times New Roman"/>
                <w:color w:val="auto"/>
              </w:rPr>
              <w:t>有项目生物质锅炉排放污染物二氧化硫、氮氧化物总量未进行总量购买，因此本次锅炉改建后总量需根据《进一步加快推进排污权有偿使用和交易工作的意见》（闽环发[2015]6号）的要求，通过福建省排污权交易平台购买主要污染物新增排污总量。根据以上核算数据，建设单位应向环保局提出申请，经环保部门核定后向交易机构申请交易，购买本项目SO</w:t>
            </w:r>
            <w:r>
              <w:rPr>
                <w:rFonts w:hint="default" w:ascii="Times New Roman" w:hAnsi="Times New Roman" w:cs="Times New Roman"/>
                <w:color w:val="auto"/>
                <w:vertAlign w:val="subscript"/>
              </w:rPr>
              <w:t>2</w:t>
            </w:r>
            <w:r>
              <w:rPr>
                <w:rFonts w:hint="default" w:ascii="Times New Roman" w:hAnsi="Times New Roman" w:cs="Times New Roman"/>
                <w:color w:val="auto"/>
              </w:rPr>
              <w:t>、NO</w:t>
            </w:r>
            <w:r>
              <w:rPr>
                <w:rFonts w:hint="default" w:ascii="Times New Roman" w:hAnsi="Times New Roman" w:cs="Times New Roman"/>
                <w:color w:val="auto"/>
                <w:vertAlign w:val="subscript"/>
              </w:rPr>
              <w:t>X</w:t>
            </w:r>
            <w:r>
              <w:rPr>
                <w:rFonts w:hint="default" w:ascii="Times New Roman" w:hAnsi="Times New Roman" w:cs="Times New Roman"/>
                <w:color w:val="auto"/>
              </w:rPr>
              <w:t>排放总量</w:t>
            </w:r>
            <w:r>
              <w:rPr>
                <w:rFonts w:hint="default" w:ascii="Times New Roman" w:hAnsi="Times New Roman" w:cs="Times New Roman"/>
                <w:color w:val="auto"/>
                <w:lang w:eastAsia="zh-CN"/>
              </w:rPr>
              <w:t>（</w:t>
            </w:r>
            <w:r>
              <w:rPr>
                <w:rFonts w:hint="default" w:ascii="Times New Roman" w:hAnsi="Times New Roman" w:cs="Times New Roman"/>
                <w:color w:val="auto"/>
              </w:rPr>
              <w:t>SO</w:t>
            </w:r>
            <w:r>
              <w:rPr>
                <w:rFonts w:hint="default" w:ascii="Times New Roman" w:hAnsi="Times New Roman" w:cs="Times New Roman"/>
                <w:color w:val="auto"/>
                <w:vertAlign w:val="subscript"/>
              </w:rPr>
              <w:t>2</w:t>
            </w:r>
            <w:r>
              <w:rPr>
                <w:rFonts w:hint="default" w:ascii="Times New Roman" w:hAnsi="Times New Roman" w:cs="Times New Roman"/>
                <w:color w:val="auto"/>
                <w:vertAlign w:val="baseline"/>
                <w:lang w:val="en-US" w:eastAsia="zh-CN"/>
              </w:rPr>
              <w:t>排放量0.0312t/a、</w:t>
            </w:r>
            <w:r>
              <w:rPr>
                <w:rFonts w:hint="default" w:ascii="Times New Roman" w:hAnsi="Times New Roman" w:cs="Times New Roman"/>
                <w:color w:val="auto"/>
              </w:rPr>
              <w:t>NO</w:t>
            </w:r>
            <w:r>
              <w:rPr>
                <w:rFonts w:hint="default" w:ascii="Times New Roman" w:hAnsi="Times New Roman" w:cs="Times New Roman"/>
                <w:color w:val="auto"/>
                <w:vertAlign w:val="subscript"/>
              </w:rPr>
              <w:t>X</w:t>
            </w:r>
            <w:r>
              <w:rPr>
                <w:rFonts w:hint="default" w:ascii="Times New Roman" w:hAnsi="Times New Roman" w:cs="Times New Roman"/>
                <w:color w:val="auto"/>
                <w:vertAlign w:val="baseline"/>
                <w:lang w:val="en-US" w:eastAsia="zh-CN"/>
              </w:rPr>
              <w:t>排放量0.292t/a</w:t>
            </w:r>
            <w:r>
              <w:rPr>
                <w:rFonts w:hint="default" w:ascii="Times New Roman" w:hAnsi="Times New Roman" w:cs="Times New Roman"/>
                <w:color w:val="auto"/>
                <w:lang w:eastAsia="zh-CN"/>
              </w:rPr>
              <w:t>）</w:t>
            </w:r>
            <w:r>
              <w:rPr>
                <w:rFonts w:hint="default" w:ascii="Times New Roman" w:hAnsi="Times New Roman" w:cs="Times New Roman"/>
                <w:color w:val="auto"/>
              </w:rPr>
              <w:t>的排污权指标。</w:t>
            </w:r>
          </w:p>
          <w:p>
            <w:pPr>
              <w:ind w:firstLine="480"/>
              <w:rPr>
                <w:rFonts w:hint="default" w:ascii="Times New Roman" w:hAnsi="Times New Roman" w:cs="Times New Roman"/>
                <w:color w:val="auto"/>
              </w:rPr>
            </w:pPr>
          </w:p>
          <w:p>
            <w:pPr>
              <w:ind w:firstLine="480"/>
              <w:rPr>
                <w:rFonts w:hint="default" w:ascii="Times New Roman" w:hAnsi="Times New Roman" w:cs="Times New Roman"/>
                <w:color w:val="auto"/>
              </w:rPr>
            </w:pPr>
          </w:p>
          <w:p>
            <w:pPr>
              <w:pStyle w:val="10"/>
              <w:ind w:firstLine="480"/>
              <w:rPr>
                <w:rFonts w:hint="default" w:ascii="Times New Roman" w:hAnsi="Times New Roman" w:cs="Times New Roman"/>
                <w:color w:val="auto"/>
              </w:rPr>
            </w:pPr>
          </w:p>
          <w:p>
            <w:pPr>
              <w:pStyle w:val="10"/>
              <w:ind w:firstLine="480"/>
              <w:rPr>
                <w:rFonts w:hint="default" w:ascii="Times New Roman" w:hAnsi="Times New Roman" w:cs="Times New Roman"/>
                <w:color w:val="auto"/>
              </w:rPr>
            </w:pPr>
          </w:p>
          <w:p>
            <w:pPr>
              <w:ind w:firstLine="480"/>
              <w:rPr>
                <w:rFonts w:hint="default" w:ascii="Times New Roman" w:hAnsi="Times New Roman" w:cs="Times New Roman"/>
                <w:color w:val="auto"/>
              </w:rPr>
            </w:pPr>
          </w:p>
          <w:p>
            <w:pPr>
              <w:pStyle w:val="10"/>
              <w:ind w:firstLine="480"/>
              <w:rPr>
                <w:rFonts w:hint="default" w:ascii="Times New Roman" w:hAnsi="Times New Roman" w:cs="Times New Roman"/>
                <w:color w:val="auto"/>
              </w:rPr>
            </w:pPr>
          </w:p>
          <w:p>
            <w:pPr>
              <w:ind w:firstLine="480"/>
              <w:rPr>
                <w:rFonts w:hint="default" w:ascii="Times New Roman" w:hAnsi="Times New Roman" w:cs="Times New Roman"/>
                <w:color w:val="auto"/>
              </w:rPr>
            </w:pPr>
          </w:p>
        </w:tc>
      </w:tr>
    </w:tbl>
    <w:p>
      <w:pPr>
        <w:pStyle w:val="3"/>
        <w:ind w:firstLineChars="0"/>
        <w:rPr>
          <w:rFonts w:hint="default" w:ascii="Times New Roman" w:hAnsi="Times New Roman" w:cs="Times New Roman"/>
          <w:color w:val="auto"/>
        </w:rPr>
      </w:pPr>
      <w:r>
        <w:rPr>
          <w:rFonts w:hint="default" w:ascii="Times New Roman" w:hAnsi="Times New Roman" w:cs="Times New Roman"/>
          <w:color w:val="auto"/>
        </w:rPr>
        <w:br w:type="page"/>
      </w:r>
      <w:bookmarkStart w:id="40" w:name="_Toc23502"/>
      <w:bookmarkStart w:id="41" w:name="_Toc23421"/>
      <w:r>
        <w:rPr>
          <w:rFonts w:hint="default" w:ascii="Times New Roman" w:hAnsi="Times New Roman" w:cs="Times New Roman"/>
          <w:color w:val="auto"/>
        </w:rPr>
        <w:t>主要环境影响和保护措施</w:t>
      </w:r>
      <w:bookmarkEnd w:id="40"/>
      <w:bookmarkEnd w:id="41"/>
    </w:p>
    <w:tbl>
      <w:tblPr>
        <w:tblStyle w:val="14"/>
        <w:tblW w:w="890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57"/>
        <w:gridCol w:w="825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6" w:type="dxa"/>
            <w:tcMar>
              <w:left w:w="28" w:type="dxa"/>
              <w:right w:w="28" w:type="dxa"/>
            </w:tcMar>
            <w:vAlign w:val="center"/>
          </w:tcPr>
          <w:p>
            <w:pPr>
              <w:pStyle w:val="4"/>
              <w:numPr>
                <w:ilvl w:val="1"/>
                <w:numId w:val="0"/>
              </w:numPr>
              <w:jc w:val="center"/>
              <w:rPr>
                <w:rFonts w:hint="default" w:ascii="Times New Roman" w:hAnsi="Times New Roman" w:cs="Times New Roman"/>
                <w:color w:val="auto"/>
              </w:rPr>
            </w:pPr>
            <w:bookmarkStart w:id="42" w:name="_Toc24389"/>
            <w:r>
              <w:rPr>
                <w:rFonts w:hint="default" w:ascii="Times New Roman" w:hAnsi="Times New Roman" w:cs="Times New Roman"/>
                <w:b w:val="0"/>
                <w:bCs/>
                <w:color w:val="auto"/>
                <w:sz w:val="24"/>
              </w:rPr>
              <w:t>施工期环境保护措施</w:t>
            </w:r>
            <w:bookmarkEnd w:id="42"/>
          </w:p>
        </w:tc>
        <w:tc>
          <w:tcPr>
            <w:tcW w:w="8162" w:type="dxa"/>
          </w:tcPr>
          <w:p>
            <w:pPr>
              <w:pStyle w:val="4"/>
              <w:rPr>
                <w:rFonts w:hint="default" w:ascii="Times New Roman" w:hAnsi="Times New Roman" w:cs="Times New Roman"/>
                <w:color w:val="auto"/>
              </w:rPr>
            </w:pPr>
            <w:bookmarkStart w:id="43" w:name="_Toc29126"/>
            <w:r>
              <w:rPr>
                <w:rFonts w:hint="default" w:ascii="Times New Roman" w:hAnsi="Times New Roman" w:cs="Times New Roman"/>
                <w:color w:val="auto"/>
              </w:rPr>
              <w:t>施工期</w:t>
            </w:r>
            <w:bookmarkEnd w:id="43"/>
            <w:r>
              <w:rPr>
                <w:rFonts w:hint="default" w:ascii="Times New Roman" w:hAnsi="Times New Roman" w:cs="Times New Roman"/>
                <w:color w:val="auto"/>
              </w:rPr>
              <w:t>环境保护措施</w:t>
            </w:r>
          </w:p>
          <w:p>
            <w:pPr>
              <w:adjustRightInd w:val="0"/>
              <w:snapToGrid w:val="0"/>
              <w:ind w:firstLine="480"/>
              <w:rPr>
                <w:rFonts w:hint="default" w:ascii="Times New Roman" w:hAnsi="Times New Roman" w:cs="Times New Roman"/>
                <w:bCs/>
                <w:color w:val="auto"/>
              </w:rPr>
            </w:pPr>
            <w:r>
              <w:rPr>
                <w:rFonts w:hint="default" w:ascii="Times New Roman" w:hAnsi="Times New Roman" w:cs="Times New Roman"/>
                <w:color w:val="auto"/>
              </w:rPr>
              <w:t>本项目位于闽侯经济技术开发区南中路9号福建众安药业有限公司已有锅炉房内，不新增用地，不进行厂房建设，因此</w:t>
            </w:r>
            <w:r>
              <w:rPr>
                <w:rFonts w:hint="default" w:ascii="Times New Roman" w:hAnsi="Times New Roman" w:cs="Times New Roman"/>
                <w:bCs/>
                <w:color w:val="auto"/>
              </w:rPr>
              <w:t>不存在厂房等主体工程施工期环境影响对周边环境的影响。</w:t>
            </w:r>
          </w:p>
          <w:p>
            <w:pPr>
              <w:pStyle w:val="10"/>
              <w:ind w:firstLine="480"/>
              <w:rPr>
                <w:rFonts w:hint="default" w:ascii="Times New Roman" w:hAnsi="Times New Roman" w:cs="Times New Roman"/>
                <w:color w:val="auto"/>
              </w:rPr>
            </w:pPr>
            <w:r>
              <w:rPr>
                <w:rFonts w:hint="default" w:ascii="Times New Roman" w:hAnsi="Times New Roman" w:cs="Times New Roman"/>
                <w:color w:val="auto"/>
              </w:rPr>
              <w:t>项目施工期主要为设备安装、</w:t>
            </w:r>
            <w:r>
              <w:rPr>
                <w:rFonts w:hint="default" w:ascii="Times New Roman" w:hAnsi="Times New Roman" w:cs="Times New Roman"/>
                <w:bCs/>
                <w:color w:val="auto"/>
              </w:rPr>
              <w:t>调试阶段产生的环境问题，本项目设备安装、调试简单，且时间较短，因此，随着设备安装、调试完毕后，项目施工期也将结束，施工期环境影响也随着消失，不会对周边环境噪声影响。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90" w:hRule="atLeast"/>
          <w:jc w:val="center"/>
        </w:trPr>
        <w:tc>
          <w:tcPr>
            <w:tcW w:w="746" w:type="dxa"/>
            <w:tcMar>
              <w:left w:w="28" w:type="dxa"/>
              <w:right w:w="28" w:type="dxa"/>
            </w:tcMar>
            <w:vAlign w:val="center"/>
          </w:tcPr>
          <w:p>
            <w:pPr>
              <w:pStyle w:val="4"/>
              <w:numPr>
                <w:ilvl w:val="1"/>
                <w:numId w:val="0"/>
              </w:numPr>
              <w:spacing w:before="0" w:after="0"/>
              <w:jc w:val="center"/>
              <w:rPr>
                <w:rFonts w:hint="default" w:ascii="Times New Roman" w:hAnsi="Times New Roman" w:cs="Times New Roman"/>
                <w:b w:val="0"/>
                <w:bCs/>
                <w:color w:val="auto"/>
                <w:sz w:val="24"/>
              </w:rPr>
            </w:pPr>
            <w:r>
              <w:rPr>
                <w:rFonts w:hint="default" w:ascii="Times New Roman" w:hAnsi="Times New Roman" w:cs="Times New Roman"/>
                <w:b w:val="0"/>
                <w:bCs/>
                <w:color w:val="auto"/>
                <w:sz w:val="24"/>
              </w:rPr>
              <w:t>运营</w:t>
            </w:r>
          </w:p>
          <w:p>
            <w:pPr>
              <w:pStyle w:val="4"/>
              <w:numPr>
                <w:ilvl w:val="1"/>
                <w:numId w:val="0"/>
              </w:numPr>
              <w:spacing w:before="0" w:after="0"/>
              <w:jc w:val="center"/>
              <w:rPr>
                <w:rFonts w:hint="default" w:ascii="Times New Roman" w:hAnsi="Times New Roman" w:cs="Times New Roman"/>
                <w:b w:val="0"/>
                <w:bCs/>
                <w:color w:val="auto"/>
                <w:sz w:val="24"/>
              </w:rPr>
            </w:pPr>
            <w:r>
              <w:rPr>
                <w:rFonts w:hint="default" w:ascii="Times New Roman" w:hAnsi="Times New Roman" w:cs="Times New Roman"/>
                <w:b w:val="0"/>
                <w:bCs/>
                <w:color w:val="auto"/>
                <w:sz w:val="24"/>
              </w:rPr>
              <w:t>期环</w:t>
            </w:r>
          </w:p>
          <w:p>
            <w:pPr>
              <w:pStyle w:val="4"/>
              <w:numPr>
                <w:ilvl w:val="1"/>
                <w:numId w:val="0"/>
              </w:numPr>
              <w:spacing w:before="0" w:after="0"/>
              <w:jc w:val="center"/>
              <w:rPr>
                <w:rFonts w:hint="default" w:ascii="Times New Roman" w:hAnsi="Times New Roman" w:cs="Times New Roman"/>
                <w:b w:val="0"/>
                <w:bCs/>
                <w:color w:val="auto"/>
                <w:sz w:val="24"/>
              </w:rPr>
            </w:pPr>
            <w:r>
              <w:rPr>
                <w:rFonts w:hint="default" w:ascii="Times New Roman" w:hAnsi="Times New Roman" w:cs="Times New Roman"/>
                <w:b w:val="0"/>
                <w:bCs/>
                <w:color w:val="auto"/>
                <w:sz w:val="24"/>
              </w:rPr>
              <w:t>境影</w:t>
            </w:r>
          </w:p>
          <w:p>
            <w:pPr>
              <w:pStyle w:val="4"/>
              <w:numPr>
                <w:ilvl w:val="1"/>
                <w:numId w:val="0"/>
              </w:numPr>
              <w:spacing w:before="0" w:after="0"/>
              <w:jc w:val="center"/>
              <w:rPr>
                <w:rFonts w:hint="default" w:ascii="Times New Roman" w:hAnsi="Times New Roman" w:cs="Times New Roman"/>
                <w:b w:val="0"/>
                <w:bCs/>
                <w:color w:val="auto"/>
                <w:sz w:val="24"/>
              </w:rPr>
            </w:pPr>
            <w:r>
              <w:rPr>
                <w:rFonts w:hint="default" w:ascii="Times New Roman" w:hAnsi="Times New Roman" w:cs="Times New Roman"/>
                <w:b w:val="0"/>
                <w:bCs/>
                <w:color w:val="auto"/>
                <w:sz w:val="24"/>
              </w:rPr>
              <w:t>响和</w:t>
            </w:r>
          </w:p>
          <w:p>
            <w:pPr>
              <w:pStyle w:val="4"/>
              <w:numPr>
                <w:ilvl w:val="1"/>
                <w:numId w:val="0"/>
              </w:numPr>
              <w:spacing w:before="0" w:after="0"/>
              <w:jc w:val="center"/>
              <w:rPr>
                <w:rFonts w:hint="default" w:ascii="Times New Roman" w:hAnsi="Times New Roman" w:cs="Times New Roman"/>
                <w:b w:val="0"/>
                <w:bCs/>
                <w:color w:val="auto"/>
                <w:sz w:val="24"/>
              </w:rPr>
            </w:pPr>
            <w:r>
              <w:rPr>
                <w:rFonts w:hint="default" w:ascii="Times New Roman" w:hAnsi="Times New Roman" w:cs="Times New Roman"/>
                <w:b w:val="0"/>
                <w:bCs/>
                <w:color w:val="auto"/>
                <w:sz w:val="24"/>
              </w:rPr>
              <w:t>保护</w:t>
            </w:r>
          </w:p>
          <w:p>
            <w:pPr>
              <w:pStyle w:val="4"/>
              <w:numPr>
                <w:ilvl w:val="1"/>
                <w:numId w:val="0"/>
              </w:numPr>
              <w:spacing w:before="0" w:after="0"/>
              <w:jc w:val="center"/>
              <w:rPr>
                <w:rFonts w:hint="default" w:ascii="Times New Roman" w:hAnsi="Times New Roman" w:cs="Times New Roman"/>
                <w:b w:val="0"/>
                <w:bCs/>
                <w:color w:val="auto"/>
                <w:sz w:val="24"/>
              </w:rPr>
            </w:pPr>
            <w:r>
              <w:rPr>
                <w:rFonts w:hint="default" w:ascii="Times New Roman" w:hAnsi="Times New Roman" w:cs="Times New Roman"/>
                <w:b w:val="0"/>
                <w:bCs/>
                <w:color w:val="auto"/>
                <w:sz w:val="24"/>
              </w:rPr>
              <w:t>措施</w:t>
            </w:r>
          </w:p>
        </w:tc>
        <w:tc>
          <w:tcPr>
            <w:tcW w:w="8162" w:type="dxa"/>
          </w:tcPr>
          <w:p>
            <w:pPr>
              <w:pStyle w:val="4"/>
              <w:rPr>
                <w:rFonts w:hint="default" w:ascii="Times New Roman" w:hAnsi="Times New Roman" w:cs="Times New Roman"/>
                <w:color w:val="auto"/>
              </w:rPr>
            </w:pPr>
            <w:r>
              <w:rPr>
                <w:rFonts w:hint="default" w:ascii="Times New Roman" w:hAnsi="Times New Roman" w:cs="Times New Roman"/>
                <w:color w:val="auto"/>
              </w:rPr>
              <w:t>运营期环境保护措施</w:t>
            </w:r>
          </w:p>
          <w:p>
            <w:pPr>
              <w:ind w:firstLine="0" w:firstLineChars="0"/>
              <w:outlineLvl w:val="2"/>
              <w:rPr>
                <w:rFonts w:hint="default" w:ascii="Times New Roman" w:hAnsi="Times New Roman" w:cs="Times New Roman"/>
                <w:b/>
                <w:color w:val="auto"/>
                <w:sz w:val="30"/>
                <w:szCs w:val="30"/>
              </w:rPr>
            </w:pPr>
            <w:r>
              <w:rPr>
                <w:rFonts w:hint="default" w:ascii="Times New Roman" w:hAnsi="Times New Roman" w:cs="Times New Roman"/>
                <w:b/>
                <w:color w:val="auto"/>
                <w:sz w:val="30"/>
                <w:szCs w:val="30"/>
              </w:rPr>
              <w:t>4.2.1废气环境保护措施</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kern w:val="0"/>
                <w:szCs w:val="20"/>
              </w:rPr>
            </w:pPr>
            <w:r>
              <w:rPr>
                <w:rFonts w:hint="default" w:ascii="Times New Roman" w:hAnsi="Times New Roman" w:cs="Times New Roman"/>
                <w:color w:val="auto"/>
                <w:kern w:val="0"/>
                <w:szCs w:val="20"/>
              </w:rPr>
              <w:t>1、污染源强</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本项目拟拆除</w:t>
            </w:r>
            <w:r>
              <w:rPr>
                <w:rFonts w:hint="eastAsia" w:cs="Times New Roman"/>
                <w:color w:val="auto"/>
                <w:lang w:val="en-US" w:eastAsia="zh-CN"/>
              </w:rPr>
              <w:t>现</w:t>
            </w:r>
            <w:r>
              <w:rPr>
                <w:rFonts w:hint="default" w:ascii="Times New Roman" w:hAnsi="Times New Roman" w:cs="Times New Roman"/>
                <w:color w:val="auto"/>
              </w:rPr>
              <w:t>有生物质锅炉，新增1台天然气锅炉，用于项目生产供热。本项目年使用天然气燃料为15.6万m</w:t>
            </w:r>
            <w:r>
              <w:rPr>
                <w:rFonts w:hint="default" w:ascii="Times New Roman" w:hAnsi="Times New Roman" w:cs="Times New Roman"/>
                <w:color w:val="auto"/>
                <w:vertAlign w:val="superscript"/>
              </w:rPr>
              <w:t>3</w:t>
            </w:r>
            <w:r>
              <w:rPr>
                <w:rFonts w:hint="default" w:ascii="Times New Roman" w:hAnsi="Times New Roman" w:cs="Times New Roman"/>
                <w:color w:val="auto"/>
              </w:rPr>
              <w:t>，</w:t>
            </w:r>
            <w:r>
              <w:rPr>
                <w:rFonts w:hint="default" w:ascii="Times New Roman" w:hAnsi="Times New Roman" w:cs="Times New Roman"/>
                <w:color w:val="auto"/>
                <w:lang w:val="zh-CN"/>
              </w:rPr>
              <w:t>参照</w:t>
            </w:r>
            <w:r>
              <w:rPr>
                <w:rFonts w:hint="default" w:ascii="Times New Roman" w:hAnsi="Times New Roman" w:cs="Times New Roman"/>
                <w:color w:val="auto"/>
              </w:rPr>
              <w:t>《排放源统计调查产排污核算方法和系数手册》中4430工业锅炉（热力供应）行业系数手册、HJ953-2018《排污许可证申请与核发技术规范 锅炉》进行源强核算（表4.2-1）。</w:t>
            </w:r>
          </w:p>
          <w:p>
            <w:pPr>
              <w:ind w:firstLine="482"/>
              <w:jc w:val="center"/>
              <w:rPr>
                <w:rFonts w:hint="default" w:ascii="Times New Roman" w:hAnsi="Times New Roman" w:cs="Times New Roman"/>
                <w:b/>
                <w:color w:val="auto"/>
              </w:rPr>
            </w:pPr>
            <w:r>
              <w:rPr>
                <w:rFonts w:hint="default" w:ascii="Times New Roman" w:hAnsi="Times New Roman" w:cs="Times New Roman"/>
                <w:b/>
                <w:color w:val="auto"/>
              </w:rPr>
              <w:t>表4.2-1  工业锅炉（燃气）产污系数表</w:t>
            </w:r>
          </w:p>
          <w:tbl>
            <w:tblPr>
              <w:tblStyle w:val="1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7"/>
              <w:gridCol w:w="968"/>
              <w:gridCol w:w="727"/>
              <w:gridCol w:w="1189"/>
              <w:gridCol w:w="1761"/>
              <w:gridCol w:w="1404"/>
              <w:gridCol w:w="12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4"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产品名称</w:t>
                  </w:r>
                </w:p>
              </w:tc>
              <w:tc>
                <w:tcPr>
                  <w:tcW w:w="603"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原料名称</w:t>
                  </w:r>
                </w:p>
              </w:tc>
              <w:tc>
                <w:tcPr>
                  <w:tcW w:w="453"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工艺</w:t>
                  </w:r>
                </w:p>
                <w:p>
                  <w:pPr>
                    <w:pStyle w:val="23"/>
                    <w:rPr>
                      <w:rFonts w:hint="default" w:ascii="Times New Roman" w:hAnsi="Times New Roman" w:cs="Times New Roman"/>
                      <w:color w:val="auto"/>
                    </w:rPr>
                  </w:pPr>
                  <w:r>
                    <w:rPr>
                      <w:rFonts w:hint="default" w:ascii="Times New Roman" w:hAnsi="Times New Roman" w:cs="Times New Roman"/>
                      <w:color w:val="auto"/>
                    </w:rPr>
                    <w:t>名称</w:t>
                  </w:r>
                </w:p>
              </w:tc>
              <w:tc>
                <w:tcPr>
                  <w:tcW w:w="741"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污染物指标</w:t>
                  </w:r>
                </w:p>
              </w:tc>
              <w:tc>
                <w:tcPr>
                  <w:tcW w:w="1097"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单位</w:t>
                  </w:r>
                </w:p>
              </w:tc>
              <w:tc>
                <w:tcPr>
                  <w:tcW w:w="875"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产污系数</w:t>
                  </w:r>
                </w:p>
              </w:tc>
              <w:tc>
                <w:tcPr>
                  <w:tcW w:w="797"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4" w:type="pct"/>
                  <w:vMerge w:val="restar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蒸汽/热水/其他</w:t>
                  </w:r>
                </w:p>
              </w:tc>
              <w:tc>
                <w:tcPr>
                  <w:tcW w:w="603" w:type="pct"/>
                  <w:vMerge w:val="restar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天然气</w:t>
                  </w:r>
                </w:p>
              </w:tc>
              <w:tc>
                <w:tcPr>
                  <w:tcW w:w="453" w:type="pct"/>
                  <w:vMerge w:val="restar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室燃炉</w:t>
                  </w:r>
                </w:p>
              </w:tc>
              <w:tc>
                <w:tcPr>
                  <w:tcW w:w="741"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工业废气量</w:t>
                  </w:r>
                </w:p>
              </w:tc>
              <w:tc>
                <w:tcPr>
                  <w:tcW w:w="1097"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标立方米/万立方米-燃料</w:t>
                  </w:r>
                </w:p>
              </w:tc>
              <w:tc>
                <w:tcPr>
                  <w:tcW w:w="875"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107753</w:t>
                  </w:r>
                </w:p>
              </w:tc>
              <w:tc>
                <w:tcPr>
                  <w:tcW w:w="797"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《排放源统计调查产排污核算方法和系数手册》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4" w:type="pct"/>
                  <w:vMerge w:val="continue"/>
                  <w:vAlign w:val="center"/>
                </w:tcPr>
                <w:p>
                  <w:pPr>
                    <w:pStyle w:val="23"/>
                    <w:rPr>
                      <w:rFonts w:hint="default" w:ascii="Times New Roman" w:hAnsi="Times New Roman" w:cs="Times New Roman"/>
                      <w:color w:val="auto"/>
                    </w:rPr>
                  </w:pPr>
                </w:p>
              </w:tc>
              <w:tc>
                <w:tcPr>
                  <w:tcW w:w="603" w:type="pct"/>
                  <w:vMerge w:val="continue"/>
                  <w:vAlign w:val="center"/>
                </w:tcPr>
                <w:p>
                  <w:pPr>
                    <w:pStyle w:val="23"/>
                    <w:rPr>
                      <w:rFonts w:hint="default" w:ascii="Times New Roman" w:hAnsi="Times New Roman" w:cs="Times New Roman"/>
                      <w:color w:val="auto"/>
                    </w:rPr>
                  </w:pPr>
                </w:p>
              </w:tc>
              <w:tc>
                <w:tcPr>
                  <w:tcW w:w="453" w:type="pct"/>
                  <w:vMerge w:val="continue"/>
                  <w:vAlign w:val="center"/>
                </w:tcPr>
                <w:p>
                  <w:pPr>
                    <w:pStyle w:val="23"/>
                    <w:rPr>
                      <w:rFonts w:hint="default" w:ascii="Times New Roman" w:hAnsi="Times New Roman" w:cs="Times New Roman"/>
                      <w:color w:val="auto"/>
                    </w:rPr>
                  </w:pPr>
                </w:p>
              </w:tc>
              <w:tc>
                <w:tcPr>
                  <w:tcW w:w="741"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颗粒物</w:t>
                  </w:r>
                </w:p>
              </w:tc>
              <w:tc>
                <w:tcPr>
                  <w:tcW w:w="1097"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千克/万立方米-燃料</w:t>
                  </w:r>
                </w:p>
              </w:tc>
              <w:tc>
                <w:tcPr>
                  <w:tcW w:w="875"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2.86</w:t>
                  </w:r>
                </w:p>
              </w:tc>
              <w:tc>
                <w:tcPr>
                  <w:tcW w:w="797" w:type="pct"/>
                  <w:vMerge w:val="restar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HJ953-2018《排污许可证申请与核发技术规范 锅炉》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4" w:type="pct"/>
                  <w:vMerge w:val="continue"/>
                  <w:vAlign w:val="center"/>
                </w:tcPr>
                <w:p>
                  <w:pPr>
                    <w:pStyle w:val="23"/>
                    <w:rPr>
                      <w:rFonts w:hint="default" w:ascii="Times New Roman" w:hAnsi="Times New Roman" w:cs="Times New Roman"/>
                      <w:color w:val="auto"/>
                    </w:rPr>
                  </w:pPr>
                </w:p>
              </w:tc>
              <w:tc>
                <w:tcPr>
                  <w:tcW w:w="603" w:type="pct"/>
                  <w:vMerge w:val="continue"/>
                  <w:vAlign w:val="center"/>
                </w:tcPr>
                <w:p>
                  <w:pPr>
                    <w:pStyle w:val="23"/>
                    <w:rPr>
                      <w:rFonts w:hint="default" w:ascii="Times New Roman" w:hAnsi="Times New Roman" w:cs="Times New Roman"/>
                      <w:color w:val="auto"/>
                    </w:rPr>
                  </w:pPr>
                </w:p>
              </w:tc>
              <w:tc>
                <w:tcPr>
                  <w:tcW w:w="453" w:type="pct"/>
                  <w:vMerge w:val="continue"/>
                  <w:vAlign w:val="center"/>
                </w:tcPr>
                <w:p>
                  <w:pPr>
                    <w:pStyle w:val="23"/>
                    <w:rPr>
                      <w:rFonts w:hint="default" w:ascii="Times New Roman" w:hAnsi="Times New Roman" w:cs="Times New Roman"/>
                      <w:color w:val="auto"/>
                    </w:rPr>
                  </w:pPr>
                </w:p>
              </w:tc>
              <w:tc>
                <w:tcPr>
                  <w:tcW w:w="741"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二氧化硫</w:t>
                  </w:r>
                </w:p>
              </w:tc>
              <w:tc>
                <w:tcPr>
                  <w:tcW w:w="1097"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千克/万立方米-燃料</w:t>
                  </w:r>
                </w:p>
              </w:tc>
              <w:tc>
                <w:tcPr>
                  <w:tcW w:w="875"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0.02S</w:t>
                  </w:r>
                  <w:r>
                    <w:rPr>
                      <w:rFonts w:hint="default" w:ascii="Times New Roman" w:hAnsi="Times New Roman" w:cs="Times New Roman"/>
                      <w:color w:val="auto"/>
                      <w:vertAlign w:val="superscript"/>
                    </w:rPr>
                    <w:t>①</w:t>
                  </w:r>
                </w:p>
              </w:tc>
              <w:tc>
                <w:tcPr>
                  <w:tcW w:w="797" w:type="pct"/>
                  <w:vMerge w:val="continue"/>
                  <w:vAlign w:val="center"/>
                </w:tcPr>
                <w:p>
                  <w:pPr>
                    <w:pStyle w:val="23"/>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4" w:type="pct"/>
                  <w:vMerge w:val="continue"/>
                  <w:vAlign w:val="center"/>
                </w:tcPr>
                <w:p>
                  <w:pPr>
                    <w:pStyle w:val="23"/>
                    <w:rPr>
                      <w:rFonts w:hint="default" w:ascii="Times New Roman" w:hAnsi="Times New Roman" w:cs="Times New Roman"/>
                      <w:color w:val="auto"/>
                    </w:rPr>
                  </w:pPr>
                </w:p>
              </w:tc>
              <w:tc>
                <w:tcPr>
                  <w:tcW w:w="603" w:type="pct"/>
                  <w:vMerge w:val="continue"/>
                  <w:vAlign w:val="center"/>
                </w:tcPr>
                <w:p>
                  <w:pPr>
                    <w:pStyle w:val="23"/>
                    <w:rPr>
                      <w:rFonts w:hint="default" w:ascii="Times New Roman" w:hAnsi="Times New Roman" w:cs="Times New Roman"/>
                      <w:color w:val="auto"/>
                    </w:rPr>
                  </w:pPr>
                </w:p>
              </w:tc>
              <w:tc>
                <w:tcPr>
                  <w:tcW w:w="453" w:type="pct"/>
                  <w:vMerge w:val="continue"/>
                  <w:vAlign w:val="center"/>
                </w:tcPr>
                <w:p>
                  <w:pPr>
                    <w:pStyle w:val="23"/>
                    <w:rPr>
                      <w:rFonts w:hint="default" w:ascii="Times New Roman" w:hAnsi="Times New Roman" w:cs="Times New Roman"/>
                      <w:color w:val="auto"/>
                    </w:rPr>
                  </w:pPr>
                </w:p>
              </w:tc>
              <w:tc>
                <w:tcPr>
                  <w:tcW w:w="741"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氮氧化物</w:t>
                  </w:r>
                </w:p>
              </w:tc>
              <w:tc>
                <w:tcPr>
                  <w:tcW w:w="1097"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千克/万立方米-燃料</w:t>
                  </w:r>
                </w:p>
              </w:tc>
              <w:tc>
                <w:tcPr>
                  <w:tcW w:w="875"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18.71</w:t>
                  </w:r>
                </w:p>
                <w:p>
                  <w:pPr>
                    <w:pStyle w:val="23"/>
                    <w:rPr>
                      <w:rFonts w:hint="default" w:ascii="Times New Roman" w:hAnsi="Times New Roman" w:cs="Times New Roman"/>
                      <w:color w:val="auto"/>
                    </w:rPr>
                  </w:pPr>
                  <w:r>
                    <w:rPr>
                      <w:rFonts w:hint="default" w:ascii="Times New Roman" w:hAnsi="Times New Roman" w:cs="Times New Roman"/>
                      <w:color w:val="auto"/>
                    </w:rPr>
                    <w:t>（无低氮燃烧）</w:t>
                  </w:r>
                </w:p>
              </w:tc>
              <w:tc>
                <w:tcPr>
                  <w:tcW w:w="797" w:type="pct"/>
                  <w:vMerge w:val="continue"/>
                  <w:vAlign w:val="center"/>
                </w:tcPr>
                <w:p>
                  <w:pPr>
                    <w:pStyle w:val="23"/>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34"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备注</w:t>
                  </w:r>
                </w:p>
              </w:tc>
              <w:tc>
                <w:tcPr>
                  <w:tcW w:w="4566" w:type="pct"/>
                  <w:gridSpan w:val="6"/>
                  <w:vAlign w:val="center"/>
                </w:tcPr>
                <w:p>
                  <w:pPr>
                    <w:pStyle w:val="23"/>
                    <w:jc w:val="left"/>
                    <w:rPr>
                      <w:rFonts w:hint="default" w:ascii="Times New Roman" w:hAnsi="Times New Roman" w:cs="Times New Roman"/>
                      <w:color w:val="auto"/>
                    </w:rPr>
                  </w:pPr>
                  <w:r>
                    <w:rPr>
                      <w:rFonts w:hint="default" w:ascii="Times New Roman" w:hAnsi="Times New Roman" w:cs="Times New Roman"/>
                      <w:color w:val="auto"/>
                    </w:rPr>
                    <w:t>①S表示含硫量，根据《天然气》（GB17820-2018）中规定，作为工业原料或燃料的天然气，应符合二类气的技术指标，总硫（以硫计）一般为 100mg/m</w:t>
                  </w:r>
                  <w:r>
                    <w:rPr>
                      <w:rFonts w:hint="default" w:ascii="Times New Roman" w:hAnsi="Times New Roman" w:cs="Times New Roman"/>
                      <w:color w:val="auto"/>
                      <w:vertAlign w:val="superscript"/>
                    </w:rPr>
                    <w:t>3</w:t>
                  </w:r>
                  <w:r>
                    <w:rPr>
                      <w:rFonts w:hint="default" w:ascii="Times New Roman" w:hAnsi="Times New Roman" w:cs="Times New Roman"/>
                      <w:color w:val="auto"/>
                    </w:rPr>
                    <w:t>，则 S=100。</w:t>
                  </w:r>
                </w:p>
              </w:tc>
            </w:tr>
          </w:tbl>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①燃气锅炉废气量</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bCs/>
                <w:color w:val="auto"/>
                <w:szCs w:val="32"/>
              </w:rPr>
            </w:pPr>
            <w:r>
              <w:rPr>
                <w:rFonts w:hint="default" w:ascii="Times New Roman" w:hAnsi="Times New Roman" w:cs="Times New Roman"/>
                <w:color w:val="auto"/>
              </w:rPr>
              <w:t>参照《排放源统计调查产排污核算方法和系数手册》中4430工业锅炉（热力供应）行业系数手册可知，燃气工业锅炉的产污系数107753</w:t>
            </w:r>
            <w:r>
              <w:rPr>
                <w:rFonts w:hint="default" w:ascii="Times New Roman" w:hAnsi="Times New Roman" w:cs="Times New Roman"/>
                <w:bCs/>
                <w:color w:val="auto"/>
                <w:szCs w:val="32"/>
              </w:rPr>
              <w:t xml:space="preserve"> m</w:t>
            </w:r>
            <w:r>
              <w:rPr>
                <w:rFonts w:hint="default" w:ascii="Times New Roman" w:hAnsi="Times New Roman" w:cs="Times New Roman"/>
                <w:bCs/>
                <w:color w:val="auto"/>
                <w:szCs w:val="32"/>
                <w:vertAlign w:val="superscript"/>
              </w:rPr>
              <w:t>3</w:t>
            </w:r>
            <w:r>
              <w:rPr>
                <w:rFonts w:hint="default" w:ascii="Times New Roman" w:hAnsi="Times New Roman" w:cs="Times New Roman"/>
                <w:bCs/>
                <w:color w:val="auto"/>
                <w:szCs w:val="32"/>
              </w:rPr>
              <w:t>/万立方米-燃料进行计算，则废气量为168.09万m</w:t>
            </w:r>
            <w:r>
              <w:rPr>
                <w:rFonts w:hint="default" w:ascii="Times New Roman" w:hAnsi="Times New Roman" w:cs="Times New Roman"/>
                <w:bCs/>
                <w:color w:val="auto"/>
                <w:szCs w:val="32"/>
                <w:vertAlign w:val="superscript"/>
              </w:rPr>
              <w:t>3</w:t>
            </w:r>
            <w:r>
              <w:rPr>
                <w:rFonts w:hint="default" w:ascii="Times New Roman" w:hAnsi="Times New Roman" w:cs="Times New Roman"/>
                <w:bCs/>
                <w:color w:val="auto"/>
                <w:szCs w:val="32"/>
              </w:rPr>
              <w:t>。</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②NO</w:t>
            </w:r>
            <w:r>
              <w:rPr>
                <w:rFonts w:hint="default" w:ascii="Times New Roman" w:hAnsi="Times New Roman" w:cs="Times New Roman"/>
                <w:color w:val="auto"/>
                <w:vertAlign w:val="subscript"/>
              </w:rPr>
              <w:t>X</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bCs/>
                <w:color w:val="auto"/>
                <w:szCs w:val="32"/>
              </w:rPr>
            </w:pPr>
            <w:r>
              <w:rPr>
                <w:rFonts w:hint="default" w:ascii="Times New Roman" w:hAnsi="Times New Roman" w:cs="Times New Roman"/>
                <w:color w:val="auto"/>
              </w:rPr>
              <w:t>根据HJ953-2018《排污许可证申请与核发技术规范 锅炉》核算系数，燃气工业锅炉</w:t>
            </w:r>
            <w:r>
              <w:rPr>
                <w:rFonts w:hint="default" w:ascii="Times New Roman" w:hAnsi="Times New Roman" w:cs="Times New Roman"/>
                <w:bCs/>
                <w:color w:val="auto"/>
                <w:szCs w:val="32"/>
              </w:rPr>
              <w:t>NO</w:t>
            </w:r>
            <w:r>
              <w:rPr>
                <w:rFonts w:hint="default" w:ascii="Times New Roman" w:hAnsi="Times New Roman" w:cs="Times New Roman"/>
                <w:bCs/>
                <w:color w:val="auto"/>
                <w:szCs w:val="32"/>
                <w:vertAlign w:val="subscript"/>
              </w:rPr>
              <w:t>X</w:t>
            </w:r>
            <w:r>
              <w:rPr>
                <w:rFonts w:hint="default" w:ascii="Times New Roman" w:hAnsi="Times New Roman" w:cs="Times New Roman"/>
                <w:bCs/>
                <w:color w:val="auto"/>
                <w:szCs w:val="32"/>
              </w:rPr>
              <w:t>的产污系数为18.71千克/万立方米-燃料进行计算，则本项目NO</w:t>
            </w:r>
            <w:r>
              <w:rPr>
                <w:rFonts w:hint="default" w:ascii="Times New Roman" w:hAnsi="Times New Roman" w:cs="Times New Roman"/>
                <w:bCs/>
                <w:color w:val="auto"/>
                <w:szCs w:val="32"/>
                <w:vertAlign w:val="subscript"/>
              </w:rPr>
              <w:t>X</w:t>
            </w:r>
            <w:r>
              <w:rPr>
                <w:rFonts w:hint="default" w:ascii="Times New Roman" w:hAnsi="Times New Roman" w:cs="Times New Roman"/>
                <w:bCs/>
                <w:color w:val="auto"/>
                <w:szCs w:val="32"/>
              </w:rPr>
              <w:t>产生量为0.292t/a。</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③</w:t>
            </w:r>
            <w:r>
              <w:rPr>
                <w:rFonts w:hint="default" w:ascii="Times New Roman" w:hAnsi="Times New Roman" w:cs="Times New Roman"/>
                <w:bCs/>
                <w:color w:val="auto"/>
                <w:szCs w:val="32"/>
              </w:rPr>
              <w:t>SO</w:t>
            </w:r>
            <w:r>
              <w:rPr>
                <w:rFonts w:hint="default" w:ascii="Times New Roman" w:hAnsi="Times New Roman" w:cs="Times New Roman"/>
                <w:bCs/>
                <w:color w:val="auto"/>
                <w:szCs w:val="32"/>
                <w:vertAlign w:val="subscript"/>
              </w:rPr>
              <w:t>2</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bCs/>
                <w:color w:val="auto"/>
                <w:szCs w:val="32"/>
              </w:rPr>
            </w:pPr>
            <w:r>
              <w:rPr>
                <w:rFonts w:hint="default" w:ascii="Times New Roman" w:hAnsi="Times New Roman" w:cs="Times New Roman"/>
                <w:color w:val="auto"/>
              </w:rPr>
              <w:t>根据HJ953-2018《排污许可证申请与核发技术规范 锅炉》核算系数，</w:t>
            </w:r>
            <w:r>
              <w:rPr>
                <w:rFonts w:hint="default" w:ascii="Times New Roman" w:hAnsi="Times New Roman" w:cs="Times New Roman"/>
                <w:bCs/>
                <w:color w:val="auto"/>
                <w:szCs w:val="32"/>
              </w:rPr>
              <w:t>则本项目SO</w:t>
            </w:r>
            <w:r>
              <w:rPr>
                <w:rFonts w:hint="default" w:ascii="Times New Roman" w:hAnsi="Times New Roman" w:cs="Times New Roman"/>
                <w:bCs/>
                <w:color w:val="auto"/>
                <w:szCs w:val="32"/>
                <w:vertAlign w:val="subscript"/>
              </w:rPr>
              <w:t>2</w:t>
            </w:r>
            <w:r>
              <w:rPr>
                <w:rFonts w:hint="default" w:ascii="Times New Roman" w:hAnsi="Times New Roman" w:cs="Times New Roman"/>
                <w:bCs/>
                <w:color w:val="auto"/>
                <w:szCs w:val="32"/>
              </w:rPr>
              <w:t>产生量为0.0312t/a。</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③颗粒物</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bCs/>
                <w:color w:val="auto"/>
                <w:szCs w:val="32"/>
              </w:rPr>
            </w:pPr>
            <w:r>
              <w:rPr>
                <w:rFonts w:hint="default" w:ascii="Times New Roman" w:hAnsi="Times New Roman" w:cs="Times New Roman"/>
                <w:color w:val="auto"/>
              </w:rPr>
              <w:t>根据HJ953-2018《排污许可证申请与核发技术规范 锅炉》核算系数，燃气工业锅炉</w:t>
            </w:r>
            <w:r>
              <w:rPr>
                <w:rFonts w:hint="default" w:ascii="Times New Roman" w:hAnsi="Times New Roman" w:cs="Times New Roman"/>
                <w:bCs/>
                <w:color w:val="auto"/>
                <w:szCs w:val="32"/>
              </w:rPr>
              <w:t>颗粒物的产污系数为2.86千克/万立方米-燃料进行计算，则本项目颗粒物产生量为0.0446t/a。</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本项目锅炉每天运行6.5h，年生产工作日为240天，因此锅炉运行时长为1560h。项目废气排放口配套1个引风机，风量为2000m</w:t>
            </w:r>
            <w:r>
              <w:rPr>
                <w:rFonts w:hint="default" w:ascii="Times New Roman" w:hAnsi="Times New Roman" w:cs="Times New Roman"/>
                <w:color w:val="auto"/>
                <w:vertAlign w:val="superscript"/>
              </w:rPr>
              <w:t>3</w:t>
            </w:r>
            <w:r>
              <w:rPr>
                <w:rFonts w:hint="default" w:ascii="Times New Roman" w:hAnsi="Times New Roman" w:cs="Times New Roman"/>
                <w:color w:val="auto"/>
              </w:rPr>
              <w:t>/h。项目锅炉燃烧废气经管道收集引入8m高排气筒排放。</w:t>
            </w:r>
          </w:p>
          <w:p>
            <w:pPr>
              <w:pBdr>
                <w:top w:val="none" w:color="auto" w:sz="0" w:space="1"/>
                <w:left w:val="none" w:color="auto" w:sz="0" w:space="4"/>
                <w:bottom w:val="none" w:color="auto" w:sz="0" w:space="1"/>
                <w:right w:val="none" w:color="auto" w:sz="0" w:space="4"/>
              </w:pBdr>
              <w:ind w:firstLine="482"/>
              <w:jc w:val="center"/>
              <w:rPr>
                <w:rFonts w:hint="default" w:ascii="Times New Roman" w:hAnsi="Times New Roman" w:cs="Times New Roman"/>
                <w:b/>
                <w:color w:val="auto"/>
              </w:rPr>
            </w:pPr>
            <w:r>
              <w:rPr>
                <w:rFonts w:hint="default" w:ascii="Times New Roman" w:hAnsi="Times New Roman" w:cs="Times New Roman"/>
                <w:b/>
                <w:color w:val="auto"/>
              </w:rPr>
              <w:t>表4.2-2  项目燃气锅炉废气污染物产生情况及排放情况一览表</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821"/>
              <w:gridCol w:w="618"/>
              <w:gridCol w:w="914"/>
              <w:gridCol w:w="794"/>
              <w:gridCol w:w="794"/>
              <w:gridCol w:w="914"/>
              <w:gridCol w:w="794"/>
              <w:gridCol w:w="794"/>
              <w:gridCol w:w="520"/>
              <w:gridCol w:w="6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5" w:type="dxa"/>
                  <w:vMerge w:val="restar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工序</w:t>
                  </w:r>
                </w:p>
              </w:tc>
              <w:tc>
                <w:tcPr>
                  <w:tcW w:w="823" w:type="dxa"/>
                  <w:vMerge w:val="restar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烟气量(万Nm</w:t>
                  </w:r>
                  <w:r>
                    <w:rPr>
                      <w:rFonts w:hint="default" w:ascii="Times New Roman" w:hAnsi="Times New Roman" w:cs="Times New Roman"/>
                      <w:color w:val="auto"/>
                      <w:vertAlign w:val="superscript"/>
                    </w:rPr>
                    <w:t>3</w:t>
                  </w:r>
                  <w:r>
                    <w:rPr>
                      <w:rFonts w:hint="default" w:ascii="Times New Roman" w:hAnsi="Times New Roman" w:cs="Times New Roman"/>
                      <w:color w:val="auto"/>
                    </w:rPr>
                    <w:t>/a)</w:t>
                  </w:r>
                </w:p>
              </w:tc>
              <w:tc>
                <w:tcPr>
                  <w:tcW w:w="653" w:type="dxa"/>
                  <w:vMerge w:val="restar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主要污染物</w:t>
                  </w:r>
                </w:p>
              </w:tc>
              <w:tc>
                <w:tcPr>
                  <w:tcW w:w="2504" w:type="dxa"/>
                  <w:gridSpan w:val="3"/>
                  <w:vAlign w:val="center"/>
                </w:tcPr>
                <w:p>
                  <w:pPr>
                    <w:pStyle w:val="23"/>
                    <w:rPr>
                      <w:rFonts w:hint="default" w:ascii="Times New Roman" w:hAnsi="Times New Roman" w:cs="Times New Roman"/>
                      <w:color w:val="auto"/>
                    </w:rPr>
                  </w:pPr>
                  <w:r>
                    <w:rPr>
                      <w:rFonts w:hint="default" w:ascii="Times New Roman" w:hAnsi="Times New Roman" w:cs="Times New Roman"/>
                      <w:color w:val="auto"/>
                    </w:rPr>
                    <w:t>预测产生源强</w:t>
                  </w:r>
                </w:p>
              </w:tc>
              <w:tc>
                <w:tcPr>
                  <w:tcW w:w="2308" w:type="dxa"/>
                  <w:gridSpan w:val="3"/>
                  <w:vAlign w:val="center"/>
                </w:tcPr>
                <w:p>
                  <w:pPr>
                    <w:pStyle w:val="23"/>
                    <w:rPr>
                      <w:rFonts w:hint="default" w:ascii="Times New Roman" w:hAnsi="Times New Roman" w:cs="Times New Roman"/>
                      <w:color w:val="auto"/>
                    </w:rPr>
                  </w:pPr>
                  <w:r>
                    <w:rPr>
                      <w:rFonts w:hint="default" w:ascii="Times New Roman" w:hAnsi="Times New Roman" w:cs="Times New Roman"/>
                      <w:color w:val="auto"/>
                    </w:rPr>
                    <w:t>预测排放源强</w:t>
                  </w:r>
                </w:p>
              </w:tc>
              <w:tc>
                <w:tcPr>
                  <w:tcW w:w="520" w:type="dxa"/>
                  <w:vMerge w:val="restar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排气筒高度(m)</w:t>
                  </w:r>
                </w:p>
              </w:tc>
              <w:tc>
                <w:tcPr>
                  <w:tcW w:w="643" w:type="dxa"/>
                  <w:vMerge w:val="restar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风机风量m</w:t>
                  </w:r>
                  <w:r>
                    <w:rPr>
                      <w:rFonts w:hint="default" w:ascii="Times New Roman" w:hAnsi="Times New Roman" w:cs="Times New Roman"/>
                      <w:color w:val="auto"/>
                      <w:vertAlign w:val="superscript"/>
                    </w:rPr>
                    <w:t>3</w:t>
                  </w:r>
                  <w:r>
                    <w:rPr>
                      <w:rFonts w:hint="default" w:ascii="Times New Roman" w:hAnsi="Times New Roman" w:cs="Times New Roman"/>
                      <w:color w:val="auto"/>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5" w:type="dxa"/>
                  <w:vMerge w:val="continue"/>
                  <w:vAlign w:val="center"/>
                </w:tcPr>
                <w:p>
                  <w:pPr>
                    <w:pStyle w:val="23"/>
                    <w:rPr>
                      <w:rFonts w:hint="default" w:ascii="Times New Roman" w:hAnsi="Times New Roman" w:cs="Times New Roman"/>
                      <w:color w:val="auto"/>
                    </w:rPr>
                  </w:pPr>
                </w:p>
              </w:tc>
              <w:tc>
                <w:tcPr>
                  <w:tcW w:w="823" w:type="dxa"/>
                  <w:vMerge w:val="continue"/>
                  <w:vAlign w:val="center"/>
                </w:tcPr>
                <w:p>
                  <w:pPr>
                    <w:pStyle w:val="23"/>
                    <w:rPr>
                      <w:rFonts w:hint="default" w:ascii="Times New Roman" w:hAnsi="Times New Roman" w:cs="Times New Roman"/>
                      <w:color w:val="auto"/>
                    </w:rPr>
                  </w:pPr>
                </w:p>
              </w:tc>
              <w:tc>
                <w:tcPr>
                  <w:tcW w:w="653" w:type="dxa"/>
                  <w:vMerge w:val="continue"/>
                  <w:vAlign w:val="center"/>
                </w:tcPr>
                <w:p>
                  <w:pPr>
                    <w:pStyle w:val="23"/>
                    <w:rPr>
                      <w:rFonts w:hint="default" w:ascii="Times New Roman" w:hAnsi="Times New Roman" w:cs="Times New Roman"/>
                      <w:color w:val="auto"/>
                    </w:rPr>
                  </w:pPr>
                </w:p>
              </w:tc>
              <w:tc>
                <w:tcPr>
                  <w:tcW w:w="916"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产生浓度</w:t>
                  </w:r>
                </w:p>
                <w:p>
                  <w:pPr>
                    <w:pStyle w:val="23"/>
                    <w:rPr>
                      <w:rFonts w:hint="default" w:ascii="Times New Roman" w:hAnsi="Times New Roman" w:cs="Times New Roman"/>
                      <w:color w:val="auto"/>
                    </w:rPr>
                  </w:pPr>
                  <w:r>
                    <w:rPr>
                      <w:rFonts w:hint="default" w:ascii="Times New Roman" w:hAnsi="Times New Roman" w:cs="Times New Roman"/>
                      <w:color w:val="auto"/>
                    </w:rPr>
                    <w:t>(mg/m</w:t>
                  </w:r>
                  <w:r>
                    <w:rPr>
                      <w:rFonts w:hint="default" w:ascii="Times New Roman" w:hAnsi="Times New Roman" w:cs="Times New Roman"/>
                      <w:color w:val="auto"/>
                      <w:vertAlign w:val="superscript"/>
                    </w:rPr>
                    <w:t>3</w:t>
                  </w:r>
                  <w:r>
                    <w:rPr>
                      <w:rFonts w:hint="default" w:ascii="Times New Roman" w:hAnsi="Times New Roman" w:cs="Times New Roman"/>
                      <w:color w:val="auto"/>
                    </w:rPr>
                    <w:t>)</w:t>
                  </w:r>
                </w:p>
              </w:tc>
              <w:tc>
                <w:tcPr>
                  <w:tcW w:w="794"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产生速率</w:t>
                  </w:r>
                </w:p>
                <w:p>
                  <w:pPr>
                    <w:pStyle w:val="23"/>
                    <w:rPr>
                      <w:rFonts w:hint="default" w:ascii="Times New Roman" w:hAnsi="Times New Roman" w:cs="Times New Roman"/>
                      <w:color w:val="auto"/>
                    </w:rPr>
                  </w:pPr>
                  <w:r>
                    <w:rPr>
                      <w:rFonts w:hint="default" w:ascii="Times New Roman" w:hAnsi="Times New Roman" w:cs="Times New Roman"/>
                      <w:color w:val="auto"/>
                    </w:rPr>
                    <w:t>(kg/h)</w:t>
                  </w:r>
                </w:p>
              </w:tc>
              <w:tc>
                <w:tcPr>
                  <w:tcW w:w="794"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产生量</w:t>
                  </w:r>
                </w:p>
                <w:p>
                  <w:pPr>
                    <w:pStyle w:val="23"/>
                    <w:rPr>
                      <w:rFonts w:hint="default" w:ascii="Times New Roman" w:hAnsi="Times New Roman" w:cs="Times New Roman"/>
                      <w:color w:val="auto"/>
                    </w:rPr>
                  </w:pPr>
                  <w:r>
                    <w:rPr>
                      <w:rFonts w:hint="default" w:ascii="Times New Roman" w:hAnsi="Times New Roman" w:cs="Times New Roman"/>
                      <w:color w:val="auto"/>
                    </w:rPr>
                    <w:t>(t/a)</w:t>
                  </w:r>
                </w:p>
              </w:tc>
              <w:tc>
                <w:tcPr>
                  <w:tcW w:w="93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排放浓度</w:t>
                  </w:r>
                </w:p>
                <w:p>
                  <w:pPr>
                    <w:pStyle w:val="23"/>
                    <w:rPr>
                      <w:rFonts w:hint="default" w:ascii="Times New Roman" w:hAnsi="Times New Roman" w:cs="Times New Roman"/>
                      <w:color w:val="auto"/>
                    </w:rPr>
                  </w:pPr>
                  <w:r>
                    <w:rPr>
                      <w:rFonts w:hint="default" w:ascii="Times New Roman" w:hAnsi="Times New Roman" w:cs="Times New Roman"/>
                      <w:color w:val="auto"/>
                    </w:rPr>
                    <w:t>(mg/m</w:t>
                  </w:r>
                  <w:r>
                    <w:rPr>
                      <w:rFonts w:hint="default" w:ascii="Times New Roman" w:hAnsi="Times New Roman" w:cs="Times New Roman"/>
                      <w:color w:val="auto"/>
                      <w:vertAlign w:val="superscript"/>
                    </w:rPr>
                    <w:t>3</w:t>
                  </w:r>
                  <w:r>
                    <w:rPr>
                      <w:rFonts w:hint="default" w:ascii="Times New Roman" w:hAnsi="Times New Roman" w:cs="Times New Roman"/>
                      <w:color w:val="auto"/>
                    </w:rPr>
                    <w:t>)</w:t>
                  </w:r>
                </w:p>
              </w:tc>
              <w:tc>
                <w:tcPr>
                  <w:tcW w:w="730"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排放速率</w:t>
                  </w:r>
                </w:p>
                <w:p>
                  <w:pPr>
                    <w:pStyle w:val="23"/>
                    <w:rPr>
                      <w:rFonts w:hint="default" w:ascii="Times New Roman" w:hAnsi="Times New Roman" w:cs="Times New Roman"/>
                      <w:color w:val="auto"/>
                    </w:rPr>
                  </w:pPr>
                  <w:r>
                    <w:rPr>
                      <w:rFonts w:hint="default" w:ascii="Times New Roman" w:hAnsi="Times New Roman" w:cs="Times New Roman"/>
                      <w:color w:val="auto"/>
                    </w:rPr>
                    <w:t>(kg/h)</w:t>
                  </w:r>
                </w:p>
              </w:tc>
              <w:tc>
                <w:tcPr>
                  <w:tcW w:w="647"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排放量</w:t>
                  </w:r>
                </w:p>
                <w:p>
                  <w:pPr>
                    <w:pStyle w:val="23"/>
                    <w:rPr>
                      <w:rFonts w:hint="default" w:ascii="Times New Roman" w:hAnsi="Times New Roman" w:cs="Times New Roman"/>
                      <w:color w:val="auto"/>
                    </w:rPr>
                  </w:pPr>
                  <w:r>
                    <w:rPr>
                      <w:rFonts w:hint="default" w:ascii="Times New Roman" w:hAnsi="Times New Roman" w:cs="Times New Roman"/>
                      <w:color w:val="auto"/>
                    </w:rPr>
                    <w:t>(t/a)</w:t>
                  </w:r>
                </w:p>
              </w:tc>
              <w:tc>
                <w:tcPr>
                  <w:tcW w:w="520" w:type="dxa"/>
                  <w:vMerge w:val="continue"/>
                  <w:vAlign w:val="center"/>
                </w:tcPr>
                <w:p>
                  <w:pPr>
                    <w:pStyle w:val="23"/>
                    <w:rPr>
                      <w:rFonts w:hint="default" w:ascii="Times New Roman" w:hAnsi="Times New Roman" w:cs="Times New Roman"/>
                      <w:color w:val="auto"/>
                    </w:rPr>
                  </w:pPr>
                </w:p>
              </w:tc>
              <w:tc>
                <w:tcPr>
                  <w:tcW w:w="643" w:type="dxa"/>
                  <w:vMerge w:val="continue"/>
                  <w:vAlign w:val="center"/>
                </w:tcPr>
                <w:p>
                  <w:pPr>
                    <w:pStyle w:val="23"/>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5" w:type="dxa"/>
                  <w:vMerge w:val="restar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燃气锅炉</w:t>
                  </w:r>
                </w:p>
              </w:tc>
              <w:tc>
                <w:tcPr>
                  <w:tcW w:w="823" w:type="dxa"/>
                  <w:vMerge w:val="restar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168.09</w:t>
                  </w:r>
                </w:p>
              </w:tc>
              <w:tc>
                <w:tcPr>
                  <w:tcW w:w="653"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NO</w:t>
                  </w:r>
                  <w:r>
                    <w:rPr>
                      <w:rFonts w:hint="default" w:ascii="Times New Roman" w:hAnsi="Times New Roman" w:cs="Times New Roman"/>
                      <w:color w:val="auto"/>
                      <w:vertAlign w:val="subscript"/>
                    </w:rPr>
                    <w:t>X</w:t>
                  </w:r>
                </w:p>
              </w:tc>
              <w:tc>
                <w:tcPr>
                  <w:tcW w:w="916"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93.55</w:t>
                  </w:r>
                </w:p>
              </w:tc>
              <w:tc>
                <w:tcPr>
                  <w:tcW w:w="794"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0.187</w:t>
                  </w:r>
                </w:p>
              </w:tc>
              <w:tc>
                <w:tcPr>
                  <w:tcW w:w="794"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0.282</w:t>
                  </w:r>
                </w:p>
              </w:tc>
              <w:tc>
                <w:tcPr>
                  <w:tcW w:w="93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93.55</w:t>
                  </w:r>
                </w:p>
              </w:tc>
              <w:tc>
                <w:tcPr>
                  <w:tcW w:w="730"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0.187</w:t>
                  </w:r>
                </w:p>
              </w:tc>
              <w:tc>
                <w:tcPr>
                  <w:tcW w:w="647"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0.282</w:t>
                  </w:r>
                </w:p>
              </w:tc>
              <w:tc>
                <w:tcPr>
                  <w:tcW w:w="520" w:type="dxa"/>
                  <w:vMerge w:val="restar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8</w:t>
                  </w:r>
                </w:p>
              </w:tc>
              <w:tc>
                <w:tcPr>
                  <w:tcW w:w="643" w:type="dxa"/>
                  <w:vMerge w:val="restar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5" w:type="dxa"/>
                  <w:vMerge w:val="continue"/>
                  <w:vAlign w:val="center"/>
                </w:tcPr>
                <w:p>
                  <w:pPr>
                    <w:pStyle w:val="23"/>
                    <w:rPr>
                      <w:rFonts w:hint="default" w:ascii="Times New Roman" w:hAnsi="Times New Roman" w:cs="Times New Roman"/>
                      <w:color w:val="auto"/>
                    </w:rPr>
                  </w:pPr>
                </w:p>
              </w:tc>
              <w:tc>
                <w:tcPr>
                  <w:tcW w:w="823" w:type="dxa"/>
                  <w:vMerge w:val="continue"/>
                  <w:vAlign w:val="center"/>
                </w:tcPr>
                <w:p>
                  <w:pPr>
                    <w:pStyle w:val="23"/>
                    <w:rPr>
                      <w:rFonts w:hint="default" w:ascii="Times New Roman" w:hAnsi="Times New Roman" w:cs="Times New Roman"/>
                      <w:color w:val="auto"/>
                    </w:rPr>
                  </w:pPr>
                </w:p>
              </w:tc>
              <w:tc>
                <w:tcPr>
                  <w:tcW w:w="653"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SO</w:t>
                  </w:r>
                  <w:r>
                    <w:rPr>
                      <w:rFonts w:hint="default" w:ascii="Times New Roman" w:hAnsi="Times New Roman" w:cs="Times New Roman"/>
                      <w:color w:val="auto"/>
                      <w:vertAlign w:val="subscript"/>
                    </w:rPr>
                    <w:t>2</w:t>
                  </w:r>
                </w:p>
              </w:tc>
              <w:tc>
                <w:tcPr>
                  <w:tcW w:w="916"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10</w:t>
                  </w:r>
                </w:p>
              </w:tc>
              <w:tc>
                <w:tcPr>
                  <w:tcW w:w="794"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0.02</w:t>
                  </w:r>
                </w:p>
              </w:tc>
              <w:tc>
                <w:tcPr>
                  <w:tcW w:w="794"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0.0312</w:t>
                  </w:r>
                </w:p>
              </w:tc>
              <w:tc>
                <w:tcPr>
                  <w:tcW w:w="93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10</w:t>
                  </w:r>
                </w:p>
              </w:tc>
              <w:tc>
                <w:tcPr>
                  <w:tcW w:w="730"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0.02</w:t>
                  </w:r>
                </w:p>
              </w:tc>
              <w:tc>
                <w:tcPr>
                  <w:tcW w:w="647"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0.0312</w:t>
                  </w:r>
                </w:p>
              </w:tc>
              <w:tc>
                <w:tcPr>
                  <w:tcW w:w="520" w:type="dxa"/>
                  <w:vMerge w:val="continue"/>
                  <w:vAlign w:val="center"/>
                </w:tcPr>
                <w:p>
                  <w:pPr>
                    <w:pStyle w:val="23"/>
                    <w:rPr>
                      <w:rFonts w:hint="default" w:ascii="Times New Roman" w:hAnsi="Times New Roman" w:cs="Times New Roman"/>
                      <w:color w:val="auto"/>
                    </w:rPr>
                  </w:pPr>
                </w:p>
              </w:tc>
              <w:tc>
                <w:tcPr>
                  <w:tcW w:w="643" w:type="dxa"/>
                  <w:vMerge w:val="continue"/>
                  <w:vAlign w:val="center"/>
                </w:tcPr>
                <w:p>
                  <w:pPr>
                    <w:pStyle w:val="23"/>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85" w:type="dxa"/>
                  <w:vMerge w:val="continue"/>
                  <w:vAlign w:val="center"/>
                </w:tcPr>
                <w:p>
                  <w:pPr>
                    <w:pStyle w:val="23"/>
                    <w:rPr>
                      <w:rFonts w:hint="default" w:ascii="Times New Roman" w:hAnsi="Times New Roman" w:cs="Times New Roman"/>
                      <w:color w:val="auto"/>
                    </w:rPr>
                  </w:pPr>
                </w:p>
              </w:tc>
              <w:tc>
                <w:tcPr>
                  <w:tcW w:w="823" w:type="dxa"/>
                  <w:vMerge w:val="continue"/>
                  <w:vAlign w:val="center"/>
                </w:tcPr>
                <w:p>
                  <w:pPr>
                    <w:pStyle w:val="23"/>
                    <w:rPr>
                      <w:rFonts w:hint="default" w:ascii="Times New Roman" w:hAnsi="Times New Roman" w:cs="Times New Roman"/>
                      <w:color w:val="auto"/>
                    </w:rPr>
                  </w:pPr>
                </w:p>
              </w:tc>
              <w:tc>
                <w:tcPr>
                  <w:tcW w:w="653"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颗粒物</w:t>
                  </w:r>
                </w:p>
              </w:tc>
              <w:tc>
                <w:tcPr>
                  <w:tcW w:w="916"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14.3</w:t>
                  </w:r>
                </w:p>
              </w:tc>
              <w:tc>
                <w:tcPr>
                  <w:tcW w:w="794"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0.0286</w:t>
                  </w:r>
                </w:p>
              </w:tc>
              <w:tc>
                <w:tcPr>
                  <w:tcW w:w="794"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0.0446</w:t>
                  </w:r>
                </w:p>
              </w:tc>
              <w:tc>
                <w:tcPr>
                  <w:tcW w:w="931"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14.3</w:t>
                  </w:r>
                </w:p>
              </w:tc>
              <w:tc>
                <w:tcPr>
                  <w:tcW w:w="730"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0.0286</w:t>
                  </w:r>
                </w:p>
              </w:tc>
              <w:tc>
                <w:tcPr>
                  <w:tcW w:w="647"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0.0446</w:t>
                  </w:r>
                </w:p>
              </w:tc>
              <w:tc>
                <w:tcPr>
                  <w:tcW w:w="520" w:type="dxa"/>
                  <w:vMerge w:val="continue"/>
                  <w:vAlign w:val="center"/>
                </w:tcPr>
                <w:p>
                  <w:pPr>
                    <w:pStyle w:val="23"/>
                    <w:rPr>
                      <w:rFonts w:hint="default" w:ascii="Times New Roman" w:hAnsi="Times New Roman" w:cs="Times New Roman"/>
                      <w:color w:val="auto"/>
                    </w:rPr>
                  </w:pPr>
                </w:p>
              </w:tc>
              <w:tc>
                <w:tcPr>
                  <w:tcW w:w="643" w:type="dxa"/>
                  <w:vMerge w:val="continue"/>
                  <w:vAlign w:val="center"/>
                </w:tcPr>
                <w:p>
                  <w:pPr>
                    <w:pStyle w:val="23"/>
                    <w:rPr>
                      <w:rFonts w:hint="default" w:ascii="Times New Roman" w:hAnsi="Times New Roman" w:cs="Times New Roman"/>
                      <w:color w:val="auto"/>
                    </w:rPr>
                  </w:pPr>
                </w:p>
              </w:tc>
            </w:tr>
          </w:tbl>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kern w:val="0"/>
                <w:szCs w:val="20"/>
              </w:rPr>
            </w:pPr>
            <w:r>
              <w:rPr>
                <w:rFonts w:hint="default" w:ascii="Times New Roman" w:hAnsi="Times New Roman" w:cs="Times New Roman"/>
                <w:color w:val="auto"/>
                <w:kern w:val="0"/>
                <w:szCs w:val="20"/>
              </w:rPr>
              <w:t>2、大气排放口情况</w:t>
            </w:r>
          </w:p>
          <w:p>
            <w:pPr>
              <w:pBdr>
                <w:top w:val="none" w:color="auto" w:sz="0" w:space="1"/>
                <w:left w:val="none" w:color="auto" w:sz="0" w:space="4"/>
                <w:bottom w:val="none" w:color="auto" w:sz="0" w:space="1"/>
                <w:right w:val="none" w:color="auto" w:sz="0" w:space="4"/>
              </w:pBdr>
              <w:ind w:firstLine="482"/>
              <w:jc w:val="center"/>
              <w:rPr>
                <w:rFonts w:hint="default" w:ascii="Times New Roman" w:hAnsi="Times New Roman" w:cs="Times New Roman"/>
                <w:b/>
                <w:color w:val="auto"/>
              </w:rPr>
            </w:pPr>
            <w:r>
              <w:rPr>
                <w:rFonts w:hint="default" w:ascii="Times New Roman" w:hAnsi="Times New Roman" w:cs="Times New Roman"/>
                <w:b/>
                <w:color w:val="auto"/>
              </w:rPr>
              <w:t>表4.2-3  大气排放口基本情况</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5"/>
              <w:gridCol w:w="944"/>
              <w:gridCol w:w="1274"/>
              <w:gridCol w:w="1980"/>
              <w:gridCol w:w="991"/>
              <w:gridCol w:w="992"/>
              <w:gridCol w:w="10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排放口编号</w:t>
                  </w:r>
                </w:p>
              </w:tc>
              <w:tc>
                <w:tcPr>
                  <w:tcW w:w="946"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排放口名称</w:t>
                  </w:r>
                </w:p>
              </w:tc>
              <w:tc>
                <w:tcPr>
                  <w:tcW w:w="1276"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污染物种类</w:t>
                  </w:r>
                </w:p>
              </w:tc>
              <w:tc>
                <w:tcPr>
                  <w:tcW w:w="1984"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排放口地理坐标</w:t>
                  </w:r>
                </w:p>
              </w:tc>
              <w:tc>
                <w:tcPr>
                  <w:tcW w:w="992"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排气筒高度（m）</w:t>
                  </w:r>
                </w:p>
              </w:tc>
              <w:tc>
                <w:tcPr>
                  <w:tcW w:w="993"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排气筒内径（m）</w:t>
                  </w:r>
                </w:p>
              </w:tc>
              <w:tc>
                <w:tcPr>
                  <w:tcW w:w="1008"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排气筒温度（℃）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5"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DA001</w:t>
                  </w:r>
                </w:p>
              </w:tc>
              <w:tc>
                <w:tcPr>
                  <w:tcW w:w="946"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锅炉废气排放口</w:t>
                  </w:r>
                </w:p>
              </w:tc>
              <w:tc>
                <w:tcPr>
                  <w:tcW w:w="1276"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二氧化硫、氮氧化物、颗粒物</w:t>
                  </w:r>
                </w:p>
              </w:tc>
              <w:tc>
                <w:tcPr>
                  <w:tcW w:w="1984"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经度119° 9′ 13.50″</w:t>
                  </w:r>
                </w:p>
                <w:p>
                  <w:pPr>
                    <w:pStyle w:val="23"/>
                    <w:rPr>
                      <w:rFonts w:hint="default" w:ascii="Times New Roman" w:hAnsi="Times New Roman" w:cs="Times New Roman"/>
                      <w:color w:val="auto"/>
                    </w:rPr>
                  </w:pPr>
                  <w:r>
                    <w:rPr>
                      <w:rFonts w:hint="default" w:ascii="Times New Roman" w:hAnsi="Times New Roman" w:cs="Times New Roman"/>
                      <w:color w:val="auto"/>
                    </w:rPr>
                    <w:t>纬度26° 9′ 22.18″</w:t>
                  </w:r>
                </w:p>
              </w:tc>
              <w:tc>
                <w:tcPr>
                  <w:tcW w:w="992"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8</w:t>
                  </w:r>
                </w:p>
              </w:tc>
              <w:tc>
                <w:tcPr>
                  <w:tcW w:w="993"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0.5</w:t>
                  </w:r>
                </w:p>
              </w:tc>
              <w:tc>
                <w:tcPr>
                  <w:tcW w:w="1008"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90</w:t>
                  </w:r>
                </w:p>
              </w:tc>
            </w:tr>
          </w:tbl>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3、达标分析</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本项目锅炉废气通过一根8m的锅炉烟囱排放，排放量等于产生量，污染物的排放浓度见表4.2-2，能够满足《锅炉大气污染物排放标准》(GB13271-2014）表3中</w:t>
            </w:r>
            <w:r>
              <w:rPr>
                <w:rFonts w:hint="default" w:ascii="Times New Roman" w:hAnsi="Times New Roman" w:cs="Times New Roman"/>
                <w:bCs/>
                <w:color w:val="auto"/>
                <w:lang w:bidi="ar"/>
              </w:rPr>
              <w:t>重点地区大气污染物燃气锅炉特别排放限值要求</w:t>
            </w:r>
            <w:r>
              <w:rPr>
                <w:rFonts w:hint="default" w:ascii="Times New Roman" w:hAnsi="Times New Roman" w:cs="Times New Roman"/>
                <w:color w:val="auto"/>
              </w:rPr>
              <w:t>。</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4、治理措施可行性分析</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本项目锅炉燃料为天然气，锅炉烟气通过锅炉房1根8m烟囱排放，锅炉废气环保措施符合《排污许可证申请与核发技术规范锅炉》（HJ953-2018）表F.3燃气工业锅炉的废气产排污系数表中末端治理技术要求。</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综上，本项目锅炉燃烧废气可以达标排放，对周边的大气环境影响可以接受。</w:t>
            </w:r>
          </w:p>
          <w:p>
            <w:pPr>
              <w:ind w:firstLine="0" w:firstLineChars="0"/>
              <w:outlineLvl w:val="2"/>
              <w:rPr>
                <w:rFonts w:hint="default" w:ascii="Times New Roman" w:hAnsi="Times New Roman" w:cs="Times New Roman"/>
                <w:b/>
                <w:color w:val="auto"/>
                <w:sz w:val="30"/>
                <w:szCs w:val="30"/>
              </w:rPr>
            </w:pPr>
            <w:r>
              <w:rPr>
                <w:rFonts w:hint="default" w:ascii="Times New Roman" w:hAnsi="Times New Roman" w:cs="Times New Roman"/>
                <w:b/>
                <w:color w:val="auto"/>
                <w:sz w:val="30"/>
                <w:szCs w:val="30"/>
              </w:rPr>
              <w:t>4.2.2废水环境保护措施</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本项目运营期不新增员工，无废水产生。</w:t>
            </w:r>
          </w:p>
          <w:p>
            <w:pPr>
              <w:ind w:firstLine="0" w:firstLineChars="0"/>
              <w:outlineLvl w:val="2"/>
              <w:rPr>
                <w:rFonts w:hint="default" w:ascii="Times New Roman" w:hAnsi="Times New Roman" w:cs="Times New Roman"/>
                <w:b/>
                <w:color w:val="auto"/>
                <w:sz w:val="30"/>
                <w:szCs w:val="30"/>
              </w:rPr>
            </w:pPr>
            <w:r>
              <w:rPr>
                <w:rFonts w:hint="default" w:ascii="Times New Roman" w:hAnsi="Times New Roman" w:cs="Times New Roman"/>
                <w:b/>
                <w:color w:val="auto"/>
                <w:sz w:val="30"/>
                <w:szCs w:val="30"/>
              </w:rPr>
              <w:t>4.2.3噪声环境保护措施</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（1）噪声源情况</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本项目运营期噪声源主要为设备的运行噪声，包括锅炉、水泵等，主要噪声源强及排放特征参见表4.2-4。</w:t>
            </w:r>
          </w:p>
          <w:p>
            <w:pPr>
              <w:pBdr>
                <w:top w:val="none" w:color="auto" w:sz="0" w:space="1"/>
                <w:left w:val="none" w:color="auto" w:sz="0" w:space="4"/>
                <w:bottom w:val="none" w:color="auto" w:sz="0" w:space="1"/>
                <w:right w:val="none" w:color="auto" w:sz="0" w:space="4"/>
              </w:pBdr>
              <w:ind w:firstLine="482"/>
              <w:jc w:val="center"/>
              <w:rPr>
                <w:rFonts w:hint="default" w:ascii="Times New Roman" w:hAnsi="Times New Roman" w:cs="Times New Roman"/>
                <w:b/>
                <w:color w:val="auto"/>
              </w:rPr>
            </w:pPr>
            <w:r>
              <w:rPr>
                <w:rFonts w:hint="default" w:ascii="Times New Roman" w:hAnsi="Times New Roman" w:cs="Times New Roman"/>
                <w:b/>
                <w:color w:val="auto"/>
              </w:rPr>
              <w:t>表4.2-4  主要产噪设备及声源情况清单</w:t>
            </w:r>
          </w:p>
          <w:tbl>
            <w:tblPr>
              <w:tblStyle w:val="1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8"/>
              <w:gridCol w:w="1364"/>
              <w:gridCol w:w="1688"/>
              <w:gridCol w:w="954"/>
              <w:gridCol w:w="31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6" w:type="pct"/>
                  <w:shd w:val="clear" w:color="auto" w:fill="auto"/>
                  <w:vAlign w:val="center"/>
                </w:tcPr>
                <w:p>
                  <w:pPr>
                    <w:pStyle w:val="23"/>
                    <w:rPr>
                      <w:rFonts w:hint="default" w:ascii="Times New Roman" w:hAnsi="Times New Roman" w:cs="Times New Roman"/>
                      <w:color w:val="auto"/>
                    </w:rPr>
                  </w:pPr>
                  <w:r>
                    <w:rPr>
                      <w:rFonts w:hint="default" w:ascii="Times New Roman" w:hAnsi="Times New Roman" w:cs="Times New Roman"/>
                      <w:color w:val="auto"/>
                    </w:rPr>
                    <w:t>序号</w:t>
                  </w:r>
                </w:p>
              </w:tc>
              <w:tc>
                <w:tcPr>
                  <w:tcW w:w="850" w:type="pct"/>
                  <w:shd w:val="clear" w:color="auto" w:fill="auto"/>
                  <w:vAlign w:val="center"/>
                </w:tcPr>
                <w:p>
                  <w:pPr>
                    <w:pStyle w:val="23"/>
                    <w:rPr>
                      <w:rFonts w:hint="default" w:ascii="Times New Roman" w:hAnsi="Times New Roman" w:cs="Times New Roman"/>
                      <w:color w:val="auto"/>
                    </w:rPr>
                  </w:pPr>
                  <w:r>
                    <w:rPr>
                      <w:rFonts w:hint="default" w:ascii="Times New Roman" w:hAnsi="Times New Roman" w:cs="Times New Roman"/>
                      <w:color w:val="auto"/>
                    </w:rPr>
                    <w:t>噪声源</w:t>
                  </w:r>
                </w:p>
              </w:tc>
              <w:tc>
                <w:tcPr>
                  <w:tcW w:w="1052" w:type="pct"/>
                  <w:shd w:val="clear" w:color="auto" w:fill="auto"/>
                  <w:vAlign w:val="center"/>
                </w:tcPr>
                <w:p>
                  <w:pPr>
                    <w:pStyle w:val="23"/>
                    <w:rPr>
                      <w:rFonts w:hint="default" w:ascii="Times New Roman" w:hAnsi="Times New Roman" w:cs="Times New Roman"/>
                      <w:color w:val="auto"/>
                    </w:rPr>
                  </w:pPr>
                  <w:r>
                    <w:rPr>
                      <w:rFonts w:hint="default" w:ascii="Times New Roman" w:hAnsi="Times New Roman" w:cs="Times New Roman"/>
                      <w:color w:val="auto"/>
                    </w:rPr>
                    <w:t>产生源强（dB(A)）</w:t>
                  </w:r>
                </w:p>
              </w:tc>
              <w:tc>
                <w:tcPr>
                  <w:tcW w:w="594" w:type="pct"/>
                  <w:shd w:val="clear" w:color="auto" w:fill="auto"/>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数量</w:t>
                  </w:r>
                </w:p>
              </w:tc>
              <w:tc>
                <w:tcPr>
                  <w:tcW w:w="1938" w:type="pct"/>
                  <w:shd w:val="clear" w:color="auto" w:fill="auto"/>
                  <w:vAlign w:val="center"/>
                </w:tcPr>
                <w:p>
                  <w:pPr>
                    <w:pStyle w:val="23"/>
                    <w:rPr>
                      <w:rFonts w:hint="default" w:ascii="Times New Roman" w:hAnsi="Times New Roman" w:cs="Times New Roman"/>
                      <w:color w:val="auto"/>
                    </w:rPr>
                  </w:pPr>
                  <w:r>
                    <w:rPr>
                      <w:rFonts w:hint="default" w:ascii="Times New Roman" w:hAnsi="Times New Roman" w:cs="Times New Roman"/>
                      <w:color w:val="auto"/>
                    </w:rPr>
                    <w:t>减噪措施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6" w:type="pct"/>
                  <w:shd w:val="clear" w:color="auto" w:fill="auto"/>
                  <w:vAlign w:val="center"/>
                </w:tcPr>
                <w:p>
                  <w:pPr>
                    <w:pStyle w:val="23"/>
                    <w:rPr>
                      <w:rFonts w:hint="default" w:ascii="Times New Roman" w:hAnsi="Times New Roman" w:cs="Times New Roman"/>
                      <w:color w:val="auto"/>
                    </w:rPr>
                  </w:pPr>
                  <w:r>
                    <w:rPr>
                      <w:rFonts w:hint="default" w:ascii="Times New Roman" w:hAnsi="Times New Roman" w:cs="Times New Roman"/>
                      <w:color w:val="auto"/>
                    </w:rPr>
                    <w:t>1</w:t>
                  </w:r>
                </w:p>
              </w:tc>
              <w:tc>
                <w:tcPr>
                  <w:tcW w:w="850" w:type="pct"/>
                  <w:shd w:val="clear" w:color="auto" w:fill="auto"/>
                  <w:vAlign w:val="center"/>
                </w:tcPr>
                <w:p>
                  <w:pPr>
                    <w:pStyle w:val="23"/>
                    <w:rPr>
                      <w:rFonts w:hint="default" w:ascii="Times New Roman" w:hAnsi="Times New Roman" w:cs="Times New Roman"/>
                      <w:color w:val="auto"/>
                    </w:rPr>
                  </w:pPr>
                  <w:r>
                    <w:rPr>
                      <w:rFonts w:hint="default" w:ascii="Times New Roman" w:hAnsi="Times New Roman" w:cs="Times New Roman"/>
                      <w:color w:val="auto"/>
                    </w:rPr>
                    <w:t>锅炉</w:t>
                  </w:r>
                </w:p>
              </w:tc>
              <w:tc>
                <w:tcPr>
                  <w:tcW w:w="1052" w:type="pct"/>
                  <w:shd w:val="clear" w:color="auto" w:fill="auto"/>
                  <w:vAlign w:val="center"/>
                </w:tcPr>
                <w:p>
                  <w:pPr>
                    <w:pStyle w:val="23"/>
                    <w:rPr>
                      <w:rFonts w:hint="default" w:ascii="Times New Roman" w:hAnsi="Times New Roman" w:cs="Times New Roman"/>
                      <w:color w:val="auto"/>
                    </w:rPr>
                  </w:pPr>
                  <w:r>
                    <w:rPr>
                      <w:rFonts w:hint="default" w:ascii="Times New Roman" w:hAnsi="Times New Roman" w:cs="Times New Roman"/>
                      <w:color w:val="auto"/>
                    </w:rPr>
                    <w:t>75~80</w:t>
                  </w:r>
                </w:p>
              </w:tc>
              <w:tc>
                <w:tcPr>
                  <w:tcW w:w="594" w:type="pct"/>
                  <w:shd w:val="clear" w:color="auto" w:fill="auto"/>
                  <w:vAlign w:val="center"/>
                </w:tcPr>
                <w:p>
                  <w:pPr>
                    <w:pStyle w:val="23"/>
                    <w:rPr>
                      <w:rFonts w:hint="default" w:ascii="Times New Roman" w:hAnsi="Times New Roman" w:cs="Times New Roman"/>
                      <w:color w:val="auto"/>
                    </w:rPr>
                  </w:pPr>
                  <w:r>
                    <w:rPr>
                      <w:rFonts w:hint="default" w:ascii="Times New Roman" w:hAnsi="Times New Roman" w:cs="Times New Roman"/>
                      <w:color w:val="auto"/>
                    </w:rPr>
                    <w:t>1</w:t>
                  </w:r>
                </w:p>
              </w:tc>
              <w:tc>
                <w:tcPr>
                  <w:tcW w:w="1938" w:type="pct"/>
                  <w:shd w:val="clear" w:color="auto" w:fill="auto"/>
                  <w:vAlign w:val="center"/>
                </w:tcPr>
                <w:p>
                  <w:pPr>
                    <w:pStyle w:val="23"/>
                    <w:rPr>
                      <w:rFonts w:hint="default" w:ascii="Times New Roman" w:hAnsi="Times New Roman" w:cs="Times New Roman"/>
                      <w:color w:val="auto"/>
                    </w:rPr>
                  </w:pPr>
                  <w:r>
                    <w:rPr>
                      <w:rFonts w:hint="default" w:ascii="Times New Roman" w:hAnsi="Times New Roman" w:cs="Times New Roman"/>
                      <w:color w:val="auto"/>
                    </w:rPr>
                    <w:t>低噪设备、基础减震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6" w:type="pct"/>
                  <w:shd w:val="clear" w:color="auto" w:fill="auto"/>
                  <w:vAlign w:val="center"/>
                </w:tcPr>
                <w:p>
                  <w:pPr>
                    <w:pStyle w:val="23"/>
                    <w:rPr>
                      <w:rFonts w:hint="default" w:ascii="Times New Roman" w:hAnsi="Times New Roman" w:cs="Times New Roman"/>
                      <w:color w:val="auto"/>
                    </w:rPr>
                  </w:pPr>
                  <w:r>
                    <w:rPr>
                      <w:rFonts w:hint="default" w:ascii="Times New Roman" w:hAnsi="Times New Roman" w:cs="Times New Roman"/>
                      <w:color w:val="auto"/>
                    </w:rPr>
                    <w:t>2</w:t>
                  </w:r>
                </w:p>
              </w:tc>
              <w:tc>
                <w:tcPr>
                  <w:tcW w:w="850" w:type="pct"/>
                  <w:shd w:val="clear" w:color="auto" w:fill="auto"/>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水泵</w:t>
                  </w:r>
                </w:p>
              </w:tc>
              <w:tc>
                <w:tcPr>
                  <w:tcW w:w="1052" w:type="pct"/>
                  <w:shd w:val="clear" w:color="auto" w:fill="auto"/>
                  <w:vAlign w:val="center"/>
                </w:tcPr>
                <w:p>
                  <w:pPr>
                    <w:pStyle w:val="23"/>
                    <w:rPr>
                      <w:rFonts w:hint="default" w:ascii="Times New Roman" w:hAnsi="Times New Roman" w:cs="Times New Roman"/>
                      <w:color w:val="auto"/>
                    </w:rPr>
                  </w:pPr>
                  <w:r>
                    <w:rPr>
                      <w:rFonts w:hint="default" w:ascii="Times New Roman" w:hAnsi="Times New Roman" w:cs="Times New Roman"/>
                      <w:color w:val="auto"/>
                    </w:rPr>
                    <w:t>85~90</w:t>
                  </w:r>
                </w:p>
              </w:tc>
              <w:tc>
                <w:tcPr>
                  <w:tcW w:w="594" w:type="pct"/>
                  <w:shd w:val="clear" w:color="auto" w:fill="auto"/>
                  <w:vAlign w:val="center"/>
                </w:tcPr>
                <w:p>
                  <w:pPr>
                    <w:pStyle w:val="23"/>
                    <w:rPr>
                      <w:rFonts w:hint="default" w:ascii="Times New Roman" w:hAnsi="Times New Roman" w:cs="Times New Roman"/>
                      <w:color w:val="auto"/>
                    </w:rPr>
                  </w:pPr>
                  <w:r>
                    <w:rPr>
                      <w:rFonts w:hint="default" w:ascii="Times New Roman" w:hAnsi="Times New Roman" w:cs="Times New Roman"/>
                      <w:color w:val="auto"/>
                    </w:rPr>
                    <w:t>1</w:t>
                  </w:r>
                </w:p>
              </w:tc>
              <w:tc>
                <w:tcPr>
                  <w:tcW w:w="1938" w:type="pct"/>
                  <w:shd w:val="clear" w:color="auto" w:fill="auto"/>
                  <w:vAlign w:val="center"/>
                </w:tcPr>
                <w:p>
                  <w:pPr>
                    <w:pStyle w:val="23"/>
                    <w:rPr>
                      <w:rFonts w:hint="default" w:ascii="Times New Roman" w:hAnsi="Times New Roman" w:cs="Times New Roman"/>
                      <w:color w:val="auto"/>
                    </w:rPr>
                  </w:pPr>
                  <w:r>
                    <w:rPr>
                      <w:rFonts w:hint="default" w:ascii="Times New Roman" w:hAnsi="Times New Roman" w:cs="Times New Roman"/>
                      <w:color w:val="auto"/>
                    </w:rPr>
                    <w:t>低噪设备、基础减震</w:t>
                  </w:r>
                </w:p>
              </w:tc>
            </w:tr>
          </w:tbl>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（2）预测分析</w:t>
            </w:r>
          </w:p>
          <w:p>
            <w:pPr>
              <w:ind w:firstLine="480"/>
              <w:rPr>
                <w:rFonts w:hint="default" w:ascii="Times New Roman" w:hAnsi="Times New Roman" w:cs="Times New Roman"/>
                <w:color w:val="auto"/>
              </w:rPr>
            </w:pPr>
            <w:r>
              <w:rPr>
                <w:rFonts w:hint="default" w:ascii="Times New Roman" w:hAnsi="Times New Roman" w:cs="Times New Roman"/>
                <w:color w:val="auto"/>
              </w:rPr>
              <w:t>项目主要设备噪声源均可作为点声源处理，考虑设备噪声向周围空间的传播过程中，近似地认为在半自由场中扩散，根据《环境影响评价技术导则－声环境》（HJ2.4-2009）推荐方法，选取点声源半自由声场传播模式，公式为：</w:t>
            </w:r>
          </w:p>
          <w:p>
            <w:pPr>
              <w:ind w:firstLine="0" w:firstLineChars="0"/>
              <w:jc w:val="center"/>
              <w:rPr>
                <w:rFonts w:hint="default" w:ascii="Times New Roman" w:hAnsi="Times New Roman" w:cs="Times New Roman"/>
                <w:color w:val="auto"/>
              </w:rPr>
            </w:pPr>
            <w:r>
              <w:rPr>
                <w:rFonts w:hint="default" w:ascii="Times New Roman" w:hAnsi="Times New Roman" w:cs="Times New Roman"/>
                <w:color w:val="auto"/>
              </w:rPr>
              <w:object>
                <v:shape id="_x0000_i1026" o:spt="75" type="#_x0000_t75" style="height:17.85pt;width:118.1pt;" o:ole="t" filled="f" o:preferrelative="t" stroked="f" coordsize="21600,21600">
                  <v:path/>
                  <v:fill on="f" focussize="0,0"/>
                  <v:stroke on="f" joinstyle="miter"/>
                  <v:imagedata r:id="rId25" o:title=""/>
                  <o:lock v:ext="edit" aspectratio="t"/>
                  <w10:wrap type="none"/>
                  <w10:anchorlock/>
                </v:shape>
                <o:OLEObject Type="Embed" ProgID="Equation.KSEE3" ShapeID="_x0000_i1026" DrawAspect="Content" ObjectID="_1468075725" r:id="rId24">
                  <o:LockedField>false</o:LockedField>
                </o:OLEObject>
              </w:object>
            </w:r>
          </w:p>
          <w:p>
            <w:pPr>
              <w:ind w:firstLine="480"/>
              <w:rPr>
                <w:rFonts w:hint="default" w:ascii="Times New Roman" w:hAnsi="Times New Roman" w:cs="Times New Roman"/>
                <w:color w:val="auto"/>
              </w:rPr>
            </w:pPr>
            <w:r>
              <w:rPr>
                <w:rFonts w:hint="default" w:ascii="Times New Roman" w:hAnsi="Times New Roman" w:cs="Times New Roman"/>
                <w:color w:val="auto"/>
              </w:rPr>
              <w:t>式中：</w:t>
            </w:r>
            <w:r>
              <w:rPr>
                <w:rFonts w:hint="default" w:ascii="Times New Roman" w:hAnsi="Times New Roman" w:cs="Times New Roman"/>
                <w:color w:val="auto"/>
              </w:rPr>
              <w:object>
                <v:shape id="_x0000_i1027" o:spt="75" type="#_x0000_t75" style="height:17.85pt;width:25.9pt;" o:ole="t" filled="f" o:preferrelative="t" stroked="f" coordsize="21600,21600">
                  <v:path/>
                  <v:fill on="f" focussize="0,0"/>
                  <v:stroke on="f" joinstyle="miter"/>
                  <v:imagedata r:id="rId27" o:title=""/>
                  <o:lock v:ext="edit" aspectratio="t"/>
                  <w10:wrap type="none"/>
                  <w10:anchorlock/>
                </v:shape>
                <o:OLEObject Type="Embed" ProgID="Equation.KSEE3" ShapeID="_x0000_i1027" DrawAspect="Content" ObjectID="_1468075726" r:id="rId26">
                  <o:LockedField>false</o:LockedField>
                </o:OLEObject>
              </w:object>
            </w:r>
            <w:r>
              <w:rPr>
                <w:rFonts w:hint="default" w:ascii="Times New Roman" w:hAnsi="Times New Roman" w:cs="Times New Roman"/>
                <w:color w:val="auto"/>
              </w:rPr>
              <w:t>—距离r处的A声功率级，dB（A）；</w:t>
            </w:r>
          </w:p>
          <w:p>
            <w:pPr>
              <w:ind w:firstLine="1200" w:firstLineChars="500"/>
              <w:rPr>
                <w:rFonts w:hint="default" w:ascii="Times New Roman" w:hAnsi="Times New Roman" w:cs="Times New Roman"/>
                <w:color w:val="auto"/>
              </w:rPr>
            </w:pPr>
            <w:r>
              <w:rPr>
                <w:rFonts w:hint="default" w:ascii="Times New Roman" w:hAnsi="Times New Roman" w:cs="Times New Roman"/>
                <w:color w:val="auto"/>
              </w:rPr>
              <w:t>LW—声源的A声功率级，dB（A）；</w:t>
            </w:r>
          </w:p>
          <w:p>
            <w:pPr>
              <w:ind w:firstLine="1200" w:firstLineChars="500"/>
              <w:rPr>
                <w:rFonts w:hint="default" w:ascii="Times New Roman" w:hAnsi="Times New Roman" w:cs="Times New Roman"/>
                <w:color w:val="auto"/>
              </w:rPr>
            </w:pPr>
            <w:r>
              <w:rPr>
                <w:rFonts w:hint="default" w:ascii="Times New Roman" w:hAnsi="Times New Roman" w:cs="Times New Roman"/>
                <w:color w:val="auto"/>
              </w:rPr>
              <w:t>r—声源至受点的距离，m；</w:t>
            </w:r>
          </w:p>
          <w:p>
            <w:pPr>
              <w:ind w:firstLine="1200" w:firstLineChars="500"/>
              <w:rPr>
                <w:rFonts w:hint="default" w:ascii="Times New Roman" w:hAnsi="Times New Roman" w:cs="Times New Roman"/>
                <w:color w:val="auto"/>
              </w:rPr>
            </w:pPr>
            <w:r>
              <w:rPr>
                <w:rFonts w:hint="default" w:ascii="Times New Roman" w:hAnsi="Times New Roman" w:cs="Times New Roman"/>
                <w:color w:val="auto"/>
              </w:rPr>
              <w:t>TL—墙体隔声量，dB（A）。</w:t>
            </w:r>
          </w:p>
          <w:p>
            <w:pPr>
              <w:adjustRightInd w:val="0"/>
              <w:snapToGrid w:val="0"/>
              <w:spacing w:before="120" w:beforeLines="50"/>
              <w:ind w:firstLine="480"/>
              <w:rPr>
                <w:rFonts w:hint="default" w:ascii="Times New Roman" w:hAnsi="Times New Roman" w:cs="Times New Roman"/>
                <w:color w:val="auto"/>
              </w:rPr>
            </w:pPr>
            <w:r>
              <w:rPr>
                <w:rFonts w:hint="default" w:ascii="Times New Roman" w:hAnsi="Times New Roman" w:cs="Times New Roman"/>
                <w:color w:val="auto"/>
              </w:rPr>
              <w:t>声源噪声自室内传播至室外，再遇到障碍物，如围墙或建筑物将引起能量衰减；本评价中各声源噪声均有厂房等框架建筑维护结构。参考有关资料，得出车间隔声插入损失值见表4.2-5。</w:t>
            </w:r>
          </w:p>
          <w:p>
            <w:pPr>
              <w:pBdr>
                <w:top w:val="none" w:color="auto" w:sz="0" w:space="1"/>
                <w:left w:val="none" w:color="auto" w:sz="0" w:space="4"/>
                <w:bottom w:val="none" w:color="auto" w:sz="0" w:space="1"/>
                <w:right w:val="none" w:color="auto" w:sz="0" w:space="4"/>
              </w:pBdr>
              <w:ind w:firstLine="482"/>
              <w:jc w:val="center"/>
              <w:rPr>
                <w:rFonts w:hint="default" w:ascii="Times New Roman" w:hAnsi="Times New Roman" w:cs="Times New Roman"/>
                <w:b/>
                <w:color w:val="auto"/>
              </w:rPr>
            </w:pPr>
            <w:r>
              <w:rPr>
                <w:rFonts w:hint="default" w:ascii="Times New Roman" w:hAnsi="Times New Roman" w:cs="Times New Roman"/>
                <w:b/>
                <w:color w:val="auto"/>
              </w:rPr>
              <w:t>表4.2-5  车间隔墙传输损失值</w:t>
            </w:r>
          </w:p>
          <w:tbl>
            <w:tblPr>
              <w:tblStyle w:val="1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32"/>
              <w:gridCol w:w="1496"/>
              <w:gridCol w:w="1496"/>
              <w:gridCol w:w="1496"/>
              <w:gridCol w:w="14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32"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条件</w:t>
                  </w:r>
                </w:p>
              </w:tc>
              <w:tc>
                <w:tcPr>
                  <w:tcW w:w="1496"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A</w:t>
                  </w:r>
                </w:p>
              </w:tc>
              <w:tc>
                <w:tcPr>
                  <w:tcW w:w="1496"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B</w:t>
                  </w:r>
                </w:p>
              </w:tc>
              <w:tc>
                <w:tcPr>
                  <w:tcW w:w="1496"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C</w:t>
                  </w:r>
                </w:p>
              </w:tc>
              <w:tc>
                <w:tcPr>
                  <w:tcW w:w="1496"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32"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传输损失值[dB（A）]</w:t>
                  </w:r>
                </w:p>
              </w:tc>
              <w:tc>
                <w:tcPr>
                  <w:tcW w:w="1496"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20</w:t>
                  </w:r>
                </w:p>
              </w:tc>
              <w:tc>
                <w:tcPr>
                  <w:tcW w:w="1496"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15</w:t>
                  </w:r>
                </w:p>
              </w:tc>
              <w:tc>
                <w:tcPr>
                  <w:tcW w:w="1496"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10</w:t>
                  </w:r>
                </w:p>
              </w:tc>
              <w:tc>
                <w:tcPr>
                  <w:tcW w:w="1496" w:type="dxa"/>
                  <w:vAlign w:val="center"/>
                </w:tcPr>
                <w:p>
                  <w:pPr>
                    <w:pStyle w:val="23"/>
                    <w:rPr>
                      <w:rFonts w:hint="default" w:ascii="Times New Roman" w:hAnsi="Times New Roman" w:cs="Times New Roman"/>
                      <w:color w:val="auto"/>
                    </w:rPr>
                  </w:pPr>
                  <w:r>
                    <w:rPr>
                      <w:rFonts w:hint="default" w:ascii="Times New Roman" w:hAnsi="Times New Roman" w:cs="Times New Roman"/>
                      <w:color w:val="auto"/>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016" w:type="dxa"/>
                  <w:gridSpan w:val="5"/>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注：A：围墙开小窗且密闭，门经隔声处理；B：围墙开小窗但不密闭，门未经隔声处 理，但较密闭； C：围墙开大窗且不密闭，门不密闭；D：门、窗部分敞开。</w:t>
                  </w:r>
                </w:p>
              </w:tc>
            </w:tr>
          </w:tbl>
          <w:p>
            <w:pPr>
              <w:ind w:firstLine="480"/>
              <w:rPr>
                <w:rFonts w:hint="default" w:ascii="Times New Roman" w:hAnsi="Times New Roman" w:cs="Times New Roman"/>
                <w:color w:val="auto"/>
              </w:rPr>
            </w:pPr>
            <w:r>
              <w:rPr>
                <w:rFonts w:hint="default" w:ascii="Times New Roman" w:hAnsi="Times New Roman" w:cs="Times New Roman"/>
                <w:color w:val="auto"/>
              </w:rPr>
              <w:t>项目声源所在车间墙体及门窗按照表4.2-5中条件B取值，车间墙体隔声损失量按15dB（A）计。</w:t>
            </w:r>
          </w:p>
          <w:p>
            <w:pPr>
              <w:ind w:firstLine="480"/>
              <w:rPr>
                <w:rFonts w:hint="default" w:ascii="Times New Roman" w:hAnsi="Times New Roman" w:cs="Times New Roman"/>
                <w:color w:val="auto"/>
              </w:rPr>
            </w:pPr>
            <w:r>
              <w:rPr>
                <w:rFonts w:hint="default" w:ascii="Times New Roman" w:hAnsi="Times New Roman" w:cs="Times New Roman"/>
                <w:color w:val="auto"/>
              </w:rPr>
              <w:t>计算各声源在预测点产生的等效声级贡献值，其计算公式如下：</w:t>
            </w:r>
          </w:p>
          <w:p>
            <w:pPr>
              <w:pBdr>
                <w:top w:val="none" w:color="auto" w:sz="0" w:space="1"/>
                <w:left w:val="none" w:color="auto" w:sz="0" w:space="4"/>
                <w:bottom w:val="none" w:color="auto" w:sz="0" w:space="1"/>
                <w:right w:val="none" w:color="auto" w:sz="0" w:space="4"/>
              </w:pBdr>
              <w:ind w:firstLine="480"/>
              <w:jc w:val="center"/>
              <w:rPr>
                <w:rFonts w:hint="default" w:ascii="Times New Roman" w:hAnsi="Times New Roman" w:cs="Times New Roman"/>
                <w:color w:val="auto"/>
              </w:rPr>
            </w:pPr>
            <w:r>
              <w:rPr>
                <w:rFonts w:hint="default" w:ascii="Times New Roman" w:hAnsi="Times New Roman" w:cs="Times New Roman"/>
                <w:color w:val="auto"/>
              </w:rPr>
              <w:object>
                <v:shape id="_x0000_i1028" o:spt="75" type="#_x0000_t75" style="height:33.85pt;width:118.2pt;" o:ole="t" filled="f" o:preferrelative="t" stroked="f" coordsize="21600,21600">
                  <v:path/>
                  <v:fill on="f" focussize="0,0"/>
                  <v:stroke on="f" joinstyle="miter"/>
                  <v:imagedata r:id="rId29" o:title=""/>
                  <o:lock v:ext="edit" aspectratio="t"/>
                  <w10:wrap type="none"/>
                  <w10:anchorlock/>
                </v:shape>
                <o:OLEObject Type="Embed" ProgID="Equation.KSEE3" ShapeID="_x0000_i1028" DrawAspect="Content" ObjectID="_1468075727" r:id="rId28">
                  <o:LockedField>false</o:LockedField>
                </o:OLEObject>
              </w:object>
            </w:r>
          </w:p>
          <w:p>
            <w:pPr>
              <w:ind w:firstLine="480"/>
              <w:rPr>
                <w:rFonts w:hint="default" w:ascii="Times New Roman" w:hAnsi="Times New Roman" w:cs="Times New Roman"/>
                <w:color w:val="auto"/>
              </w:rPr>
            </w:pPr>
            <w:r>
              <w:rPr>
                <w:rFonts w:hint="default" w:ascii="Times New Roman" w:hAnsi="Times New Roman" w:cs="Times New Roman"/>
                <w:color w:val="auto"/>
              </w:rPr>
              <w:t>式中：Leqg：建设项目声源在预测点的等效声级贡献值，dB（A）</w:t>
            </w:r>
          </w:p>
          <w:p>
            <w:pPr>
              <w:ind w:firstLine="1200" w:firstLineChars="500"/>
              <w:rPr>
                <w:rFonts w:hint="default" w:ascii="Times New Roman" w:hAnsi="Times New Roman" w:cs="Times New Roman"/>
                <w:color w:val="auto"/>
              </w:rPr>
            </w:pPr>
            <w:r>
              <w:rPr>
                <w:rFonts w:hint="default" w:ascii="Times New Roman" w:hAnsi="Times New Roman" w:cs="Times New Roman"/>
                <w:color w:val="auto"/>
              </w:rPr>
              <w:t>LAi：第 i 声源至预测点处的声压级，dB（A）；</w:t>
            </w:r>
          </w:p>
          <w:p>
            <w:pPr>
              <w:ind w:firstLine="1200" w:firstLineChars="500"/>
              <w:rPr>
                <w:rFonts w:hint="default" w:ascii="Times New Roman" w:hAnsi="Times New Roman" w:cs="Times New Roman"/>
                <w:color w:val="auto"/>
              </w:rPr>
            </w:pPr>
            <w:r>
              <w:rPr>
                <w:rFonts w:hint="default" w:ascii="Times New Roman" w:hAnsi="Times New Roman" w:cs="Times New Roman"/>
                <w:color w:val="auto"/>
              </w:rPr>
              <w:t>n：声源个数。</w:t>
            </w:r>
          </w:p>
          <w:p>
            <w:pPr>
              <w:ind w:firstLine="480"/>
              <w:rPr>
                <w:rFonts w:hint="default" w:ascii="Times New Roman" w:hAnsi="Times New Roman" w:cs="Times New Roman"/>
                <w:color w:val="auto"/>
              </w:rPr>
            </w:pPr>
            <w:r>
              <w:rPr>
                <w:rFonts w:hint="default" w:ascii="Times New Roman" w:hAnsi="Times New Roman" w:cs="Times New Roman"/>
                <w:color w:val="auto"/>
              </w:rPr>
              <w:t>（3）预测结果与分析</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根据总平布置分析，并考虑各噪声源分布情况，据此评价推算出高噪声源对各厂界的噪声贡献值。本项目夜间不生产，改建后运营期厂界昼间噪声预测值结果见表4.2-6。</w:t>
            </w:r>
          </w:p>
          <w:p>
            <w:pPr>
              <w:pStyle w:val="19"/>
              <w:rPr>
                <w:rFonts w:hint="default" w:ascii="Times New Roman" w:hAnsi="Times New Roman" w:cs="Times New Roman"/>
                <w:color w:val="auto"/>
              </w:rPr>
            </w:pPr>
            <w:r>
              <w:rPr>
                <w:rFonts w:hint="default" w:ascii="Times New Roman" w:hAnsi="Times New Roman" w:cs="Times New Roman"/>
                <w:color w:val="auto"/>
              </w:rPr>
              <w:t>表4.2-6  项目噪声源强及预测值  单位：dB(A)</w:t>
            </w:r>
          </w:p>
          <w:tbl>
            <w:tblPr>
              <w:tblStyle w:val="15"/>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45"/>
              <w:gridCol w:w="695"/>
              <w:gridCol w:w="934"/>
              <w:gridCol w:w="941"/>
              <w:gridCol w:w="889"/>
              <w:gridCol w:w="921"/>
              <w:gridCol w:w="934"/>
              <w:gridCol w:w="710"/>
              <w:gridCol w:w="6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trPr>
              <w:tc>
                <w:tcPr>
                  <w:tcW w:w="1271" w:type="pct"/>
                  <w:gridSpan w:val="2"/>
                  <w:vMerge w:val="restart"/>
                  <w:vAlign w:val="center"/>
                </w:tcPr>
                <w:p>
                  <w:pPr>
                    <w:pStyle w:val="23"/>
                    <w:rPr>
                      <w:rFonts w:hint="default" w:ascii="Times New Roman" w:hAnsi="Times New Roman" w:cs="Times New Roman"/>
                      <w:b/>
                      <w:bCs/>
                      <w:color w:val="auto"/>
                    </w:rPr>
                  </w:pPr>
                  <w:r>
                    <w:rPr>
                      <w:rFonts w:hint="default" w:ascii="Times New Roman" w:hAnsi="Times New Roman" w:cs="Times New Roman"/>
                      <w:b/>
                      <w:bCs/>
                      <w:color w:val="auto"/>
                    </w:rPr>
                    <w:t>预测点</w:t>
                  </w:r>
                </w:p>
              </w:tc>
              <w:tc>
                <w:tcPr>
                  <w:tcW w:w="1168" w:type="pct"/>
                  <w:gridSpan w:val="2"/>
                  <w:vAlign w:val="center"/>
                </w:tcPr>
                <w:p>
                  <w:pPr>
                    <w:pStyle w:val="23"/>
                    <w:rPr>
                      <w:rFonts w:hint="default" w:ascii="Times New Roman" w:hAnsi="Times New Roman" w:cs="Times New Roman"/>
                      <w:b/>
                      <w:bCs/>
                      <w:color w:val="auto"/>
                    </w:rPr>
                  </w:pPr>
                  <w:r>
                    <w:rPr>
                      <w:rFonts w:hint="default" w:ascii="Times New Roman" w:hAnsi="Times New Roman" w:cs="Times New Roman"/>
                      <w:b/>
                      <w:bCs/>
                      <w:color w:val="auto"/>
                    </w:rPr>
                    <w:t>生产车间噪声源</w:t>
                  </w:r>
                </w:p>
              </w:tc>
              <w:tc>
                <w:tcPr>
                  <w:tcW w:w="554" w:type="pct"/>
                  <w:vMerge w:val="restart"/>
                  <w:vAlign w:val="center"/>
                </w:tcPr>
                <w:p>
                  <w:pPr>
                    <w:pStyle w:val="23"/>
                    <w:rPr>
                      <w:rFonts w:hint="default" w:ascii="Times New Roman" w:hAnsi="Times New Roman" w:cs="Times New Roman"/>
                      <w:b/>
                      <w:bCs/>
                      <w:color w:val="auto"/>
                    </w:rPr>
                  </w:pPr>
                  <w:r>
                    <w:rPr>
                      <w:rFonts w:hint="default" w:ascii="Times New Roman" w:hAnsi="Times New Roman" w:cs="Times New Roman"/>
                      <w:b/>
                      <w:bCs/>
                      <w:color w:val="auto"/>
                    </w:rPr>
                    <w:t>贡献值</w:t>
                  </w:r>
                </w:p>
              </w:tc>
              <w:tc>
                <w:tcPr>
                  <w:tcW w:w="574" w:type="pct"/>
                  <w:vMerge w:val="restart"/>
                  <w:vAlign w:val="center"/>
                </w:tcPr>
                <w:p>
                  <w:pPr>
                    <w:pStyle w:val="23"/>
                    <w:rPr>
                      <w:rFonts w:hint="default" w:ascii="Times New Roman" w:hAnsi="Times New Roman" w:cs="Times New Roman"/>
                      <w:b/>
                      <w:bCs/>
                      <w:color w:val="auto"/>
                    </w:rPr>
                  </w:pPr>
                  <w:r>
                    <w:rPr>
                      <w:rFonts w:hint="default" w:ascii="Times New Roman" w:hAnsi="Times New Roman" w:cs="Times New Roman"/>
                      <w:b/>
                      <w:bCs/>
                      <w:color w:val="auto"/>
                    </w:rPr>
                    <w:t>现状值</w:t>
                  </w:r>
                </w:p>
              </w:tc>
              <w:tc>
                <w:tcPr>
                  <w:tcW w:w="582" w:type="pct"/>
                  <w:vMerge w:val="restart"/>
                  <w:vAlign w:val="center"/>
                </w:tcPr>
                <w:p>
                  <w:pPr>
                    <w:pStyle w:val="23"/>
                    <w:rPr>
                      <w:rFonts w:hint="default" w:ascii="Times New Roman" w:hAnsi="Times New Roman" w:cs="Times New Roman"/>
                      <w:b/>
                      <w:bCs/>
                      <w:color w:val="auto"/>
                    </w:rPr>
                  </w:pPr>
                  <w:r>
                    <w:rPr>
                      <w:rFonts w:hint="default" w:ascii="Times New Roman" w:hAnsi="Times New Roman" w:cs="Times New Roman"/>
                      <w:b/>
                      <w:bCs/>
                      <w:color w:val="auto"/>
                    </w:rPr>
                    <w:t>预测值</w:t>
                  </w:r>
                </w:p>
              </w:tc>
              <w:tc>
                <w:tcPr>
                  <w:tcW w:w="442" w:type="pct"/>
                  <w:vMerge w:val="restart"/>
                  <w:vAlign w:val="center"/>
                </w:tcPr>
                <w:p>
                  <w:pPr>
                    <w:pStyle w:val="23"/>
                    <w:rPr>
                      <w:rFonts w:hint="default" w:ascii="Times New Roman" w:hAnsi="Times New Roman" w:cs="Times New Roman"/>
                      <w:b/>
                      <w:bCs/>
                      <w:color w:val="auto"/>
                    </w:rPr>
                  </w:pPr>
                  <w:r>
                    <w:rPr>
                      <w:rFonts w:hint="default" w:ascii="Times New Roman" w:hAnsi="Times New Roman" w:cs="Times New Roman"/>
                      <w:b/>
                      <w:bCs/>
                      <w:color w:val="auto"/>
                    </w:rPr>
                    <w:t>执行标准</w:t>
                  </w:r>
                </w:p>
              </w:tc>
              <w:tc>
                <w:tcPr>
                  <w:tcW w:w="404" w:type="pct"/>
                  <w:vMerge w:val="restart"/>
                  <w:vAlign w:val="center"/>
                </w:tcPr>
                <w:p>
                  <w:pPr>
                    <w:pStyle w:val="23"/>
                    <w:rPr>
                      <w:rFonts w:hint="default" w:ascii="Times New Roman" w:hAnsi="Times New Roman" w:cs="Times New Roman"/>
                      <w:b/>
                      <w:bCs/>
                      <w:color w:val="auto"/>
                    </w:rPr>
                  </w:pPr>
                  <w:r>
                    <w:rPr>
                      <w:rFonts w:hint="default" w:ascii="Times New Roman" w:hAnsi="Times New Roman" w:cs="Times New Roman"/>
                      <w:b/>
                      <w:bCs/>
                      <w:color w:val="auto"/>
                    </w:rPr>
                    <w:t>达标</w:t>
                  </w:r>
                </w:p>
                <w:p>
                  <w:pPr>
                    <w:pStyle w:val="23"/>
                    <w:rPr>
                      <w:rFonts w:hint="default" w:ascii="Times New Roman" w:hAnsi="Times New Roman" w:cs="Times New Roman"/>
                      <w:b/>
                      <w:bCs/>
                      <w:color w:val="auto"/>
                    </w:rPr>
                  </w:pPr>
                  <w:r>
                    <w:rPr>
                      <w:rFonts w:hint="default" w:ascii="Times New Roman" w:hAnsi="Times New Roman" w:cs="Times New Roman"/>
                      <w:b/>
                      <w:bCs/>
                      <w:color w:val="auto"/>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1271" w:type="pct"/>
                  <w:gridSpan w:val="2"/>
                  <w:vMerge w:val="continue"/>
                  <w:vAlign w:val="center"/>
                </w:tcPr>
                <w:p>
                  <w:pPr>
                    <w:pStyle w:val="23"/>
                    <w:rPr>
                      <w:rFonts w:hint="default" w:ascii="Times New Roman" w:hAnsi="Times New Roman" w:cs="Times New Roman"/>
                      <w:color w:val="auto"/>
                    </w:rPr>
                  </w:pPr>
                </w:p>
              </w:tc>
              <w:tc>
                <w:tcPr>
                  <w:tcW w:w="582" w:type="pct"/>
                  <w:vAlign w:val="center"/>
                </w:tcPr>
                <w:p>
                  <w:pPr>
                    <w:pStyle w:val="23"/>
                    <w:rPr>
                      <w:rFonts w:hint="default" w:ascii="Times New Roman" w:hAnsi="Times New Roman" w:cs="Times New Roman"/>
                      <w:b/>
                      <w:bCs/>
                      <w:color w:val="auto"/>
                    </w:rPr>
                  </w:pPr>
                  <w:r>
                    <w:rPr>
                      <w:rFonts w:hint="default" w:ascii="Times New Roman" w:hAnsi="Times New Roman" w:cs="Times New Roman"/>
                      <w:b/>
                      <w:bCs/>
                      <w:color w:val="auto"/>
                    </w:rPr>
                    <w:t>噪声源强</w:t>
                  </w:r>
                </w:p>
              </w:tc>
              <w:tc>
                <w:tcPr>
                  <w:tcW w:w="586" w:type="pct"/>
                  <w:vAlign w:val="center"/>
                </w:tcPr>
                <w:p>
                  <w:pPr>
                    <w:pStyle w:val="23"/>
                    <w:rPr>
                      <w:rFonts w:hint="default" w:ascii="Times New Roman" w:hAnsi="Times New Roman" w:cs="Times New Roman"/>
                      <w:b/>
                      <w:bCs/>
                      <w:color w:val="auto"/>
                    </w:rPr>
                  </w:pPr>
                  <w:r>
                    <w:rPr>
                      <w:rFonts w:hint="default" w:ascii="Times New Roman" w:hAnsi="Times New Roman" w:cs="Times New Roman"/>
                      <w:b/>
                      <w:bCs/>
                      <w:color w:val="auto"/>
                    </w:rPr>
                    <w:t>距离（m）</w:t>
                  </w:r>
                </w:p>
              </w:tc>
              <w:tc>
                <w:tcPr>
                  <w:tcW w:w="554" w:type="pct"/>
                  <w:vMerge w:val="continue"/>
                  <w:vAlign w:val="center"/>
                </w:tcPr>
                <w:p>
                  <w:pPr>
                    <w:pStyle w:val="23"/>
                    <w:rPr>
                      <w:rFonts w:hint="default" w:ascii="Times New Roman" w:hAnsi="Times New Roman" w:cs="Times New Roman"/>
                      <w:color w:val="auto"/>
                    </w:rPr>
                  </w:pPr>
                </w:p>
              </w:tc>
              <w:tc>
                <w:tcPr>
                  <w:tcW w:w="574" w:type="pct"/>
                  <w:vMerge w:val="continue"/>
                  <w:vAlign w:val="center"/>
                </w:tcPr>
                <w:p>
                  <w:pPr>
                    <w:pStyle w:val="23"/>
                    <w:rPr>
                      <w:rFonts w:hint="default" w:ascii="Times New Roman" w:hAnsi="Times New Roman" w:cs="Times New Roman"/>
                      <w:color w:val="auto"/>
                    </w:rPr>
                  </w:pPr>
                </w:p>
              </w:tc>
              <w:tc>
                <w:tcPr>
                  <w:tcW w:w="582" w:type="pct"/>
                  <w:vMerge w:val="continue"/>
                  <w:vAlign w:val="center"/>
                </w:tcPr>
                <w:p>
                  <w:pPr>
                    <w:pStyle w:val="23"/>
                    <w:rPr>
                      <w:rFonts w:hint="default" w:ascii="Times New Roman" w:hAnsi="Times New Roman" w:cs="Times New Roman"/>
                      <w:color w:val="auto"/>
                    </w:rPr>
                  </w:pPr>
                </w:p>
              </w:tc>
              <w:tc>
                <w:tcPr>
                  <w:tcW w:w="442" w:type="pct"/>
                  <w:vMerge w:val="continue"/>
                  <w:vAlign w:val="center"/>
                </w:tcPr>
                <w:p>
                  <w:pPr>
                    <w:pStyle w:val="23"/>
                    <w:rPr>
                      <w:rFonts w:hint="default" w:ascii="Times New Roman" w:hAnsi="Times New Roman" w:cs="Times New Roman"/>
                      <w:color w:val="auto"/>
                    </w:rPr>
                  </w:pPr>
                </w:p>
              </w:tc>
              <w:tc>
                <w:tcPr>
                  <w:tcW w:w="404" w:type="pct"/>
                  <w:vMerge w:val="continue"/>
                  <w:vAlign w:val="center"/>
                </w:tcPr>
                <w:p>
                  <w:pPr>
                    <w:pStyle w:val="23"/>
                    <w:rPr>
                      <w:rFonts w:hint="default" w:ascii="Times New Roman" w:hAnsi="Times New Roman" w:cs="Times New Roman"/>
                      <w:color w:va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trPr>
              <w:tc>
                <w:tcPr>
                  <w:tcW w:w="838"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西侧厂界</w:t>
                  </w:r>
                </w:p>
              </w:tc>
              <w:tc>
                <w:tcPr>
                  <w:tcW w:w="433"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昼间</w:t>
                  </w:r>
                </w:p>
              </w:tc>
              <w:tc>
                <w:tcPr>
                  <w:tcW w:w="582" w:type="pct"/>
                  <w:vMerge w:val="restart"/>
                  <w:vAlign w:val="center"/>
                </w:tcPr>
                <w:p>
                  <w:pPr>
                    <w:pStyle w:val="23"/>
                    <w:rPr>
                      <w:rFonts w:hint="default" w:ascii="Times New Roman" w:hAnsi="Times New Roman" w:cs="Times New Roman"/>
                      <w:color w:val="auto"/>
                    </w:rPr>
                  </w:pPr>
                  <w:r>
                    <w:rPr>
                      <w:rFonts w:hint="default" w:ascii="Times New Roman" w:hAnsi="Times New Roman" w:cs="Times New Roman"/>
                      <w:color w:val="auto"/>
                      <w:lang w:val="en-US" w:eastAsia="zh-CN"/>
                    </w:rPr>
                    <w:t>90.41</w:t>
                  </w:r>
                  <w:r>
                    <w:rPr>
                      <w:rFonts w:hint="default" w:ascii="Times New Roman" w:hAnsi="Times New Roman" w:cs="Times New Roman"/>
                      <w:color w:val="auto"/>
                    </w:rPr>
                    <w:t>dB（A）</w:t>
                  </w:r>
                </w:p>
              </w:tc>
              <w:tc>
                <w:tcPr>
                  <w:tcW w:w="586"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105</w:t>
                  </w:r>
                </w:p>
              </w:tc>
              <w:tc>
                <w:tcPr>
                  <w:tcW w:w="889" w:type="dxa"/>
                  <w:vAlign w:val="center"/>
                </w:tcPr>
                <w:p>
                  <w:pPr>
                    <w:pStyle w:val="23"/>
                    <w:ind w:firstLine="0" w:firstLineChars="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 xml:space="preserve">35.0 </w:t>
                  </w:r>
                </w:p>
              </w:tc>
              <w:tc>
                <w:tcPr>
                  <w:tcW w:w="574" w:type="pct"/>
                  <w:vAlign w:val="center"/>
                </w:tcPr>
                <w:p>
                  <w:pPr>
                    <w:pStyle w:val="23"/>
                    <w:ind w:firstLine="0" w:firstLineChars="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59.1</w:t>
                  </w:r>
                </w:p>
              </w:tc>
              <w:tc>
                <w:tcPr>
                  <w:tcW w:w="934" w:type="dxa"/>
                  <w:vAlign w:val="center"/>
                </w:tcPr>
                <w:p>
                  <w:pPr>
                    <w:pStyle w:val="23"/>
                    <w:ind w:firstLine="0" w:firstLineChars="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 xml:space="preserve">59.1 </w:t>
                  </w:r>
                </w:p>
              </w:tc>
              <w:tc>
                <w:tcPr>
                  <w:tcW w:w="442" w:type="pct"/>
                  <w:vAlign w:val="center"/>
                </w:tcPr>
                <w:p>
                  <w:pPr>
                    <w:pStyle w:val="23"/>
                    <w:ind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65</w:t>
                  </w:r>
                </w:p>
              </w:tc>
              <w:tc>
                <w:tcPr>
                  <w:tcW w:w="404"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trPr>
              <w:tc>
                <w:tcPr>
                  <w:tcW w:w="838"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西南侧厂界</w:t>
                  </w:r>
                </w:p>
              </w:tc>
              <w:tc>
                <w:tcPr>
                  <w:tcW w:w="433"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昼间</w:t>
                  </w:r>
                </w:p>
              </w:tc>
              <w:tc>
                <w:tcPr>
                  <w:tcW w:w="582" w:type="pct"/>
                  <w:vMerge w:val="continue"/>
                  <w:vAlign w:val="center"/>
                </w:tcPr>
                <w:p>
                  <w:pPr>
                    <w:pStyle w:val="23"/>
                    <w:rPr>
                      <w:rFonts w:hint="default" w:ascii="Times New Roman" w:hAnsi="Times New Roman" w:cs="Times New Roman"/>
                      <w:color w:val="auto"/>
                    </w:rPr>
                  </w:pPr>
                </w:p>
              </w:tc>
              <w:tc>
                <w:tcPr>
                  <w:tcW w:w="586"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130</w:t>
                  </w:r>
                </w:p>
              </w:tc>
              <w:tc>
                <w:tcPr>
                  <w:tcW w:w="889" w:type="dxa"/>
                  <w:vAlign w:val="center"/>
                </w:tcPr>
                <w:p>
                  <w:pPr>
                    <w:pStyle w:val="23"/>
                    <w:ind w:firstLine="0" w:firstLineChars="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 xml:space="preserve">33.1 </w:t>
                  </w:r>
                </w:p>
              </w:tc>
              <w:tc>
                <w:tcPr>
                  <w:tcW w:w="574" w:type="pct"/>
                  <w:vAlign w:val="center"/>
                </w:tcPr>
                <w:p>
                  <w:pPr>
                    <w:pStyle w:val="23"/>
                    <w:ind w:firstLine="0" w:firstLineChars="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58.7</w:t>
                  </w:r>
                </w:p>
              </w:tc>
              <w:tc>
                <w:tcPr>
                  <w:tcW w:w="934" w:type="dxa"/>
                  <w:vAlign w:val="center"/>
                </w:tcPr>
                <w:p>
                  <w:pPr>
                    <w:pStyle w:val="23"/>
                    <w:ind w:firstLine="0" w:firstLineChars="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 xml:space="preserve">58.7 </w:t>
                  </w:r>
                </w:p>
              </w:tc>
              <w:tc>
                <w:tcPr>
                  <w:tcW w:w="442" w:type="pct"/>
                  <w:vAlign w:val="center"/>
                </w:tcPr>
                <w:p>
                  <w:pPr>
                    <w:pStyle w:val="23"/>
                    <w:ind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65</w:t>
                  </w:r>
                </w:p>
              </w:tc>
              <w:tc>
                <w:tcPr>
                  <w:tcW w:w="404"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trPr>
              <w:tc>
                <w:tcPr>
                  <w:tcW w:w="838"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南侧1厂界</w:t>
                  </w:r>
                </w:p>
              </w:tc>
              <w:tc>
                <w:tcPr>
                  <w:tcW w:w="433"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昼间</w:t>
                  </w:r>
                </w:p>
              </w:tc>
              <w:tc>
                <w:tcPr>
                  <w:tcW w:w="582" w:type="pct"/>
                  <w:vMerge w:val="continue"/>
                  <w:vAlign w:val="center"/>
                </w:tcPr>
                <w:p>
                  <w:pPr>
                    <w:pStyle w:val="23"/>
                    <w:rPr>
                      <w:rFonts w:hint="default" w:ascii="Times New Roman" w:hAnsi="Times New Roman" w:cs="Times New Roman"/>
                      <w:color w:val="auto"/>
                    </w:rPr>
                  </w:pPr>
                </w:p>
              </w:tc>
              <w:tc>
                <w:tcPr>
                  <w:tcW w:w="586"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107</w:t>
                  </w:r>
                </w:p>
              </w:tc>
              <w:tc>
                <w:tcPr>
                  <w:tcW w:w="889" w:type="dxa"/>
                  <w:tcBorders>
                    <w:bottom w:val="single" w:color="auto" w:sz="4" w:space="0"/>
                  </w:tcBorders>
                  <w:vAlign w:val="center"/>
                </w:tcPr>
                <w:p>
                  <w:pPr>
                    <w:pStyle w:val="23"/>
                    <w:ind w:firstLine="0" w:firstLineChars="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 xml:space="preserve">34.8 </w:t>
                  </w:r>
                </w:p>
              </w:tc>
              <w:tc>
                <w:tcPr>
                  <w:tcW w:w="574" w:type="pct"/>
                  <w:tcBorders>
                    <w:bottom w:val="single" w:color="auto" w:sz="4" w:space="0"/>
                  </w:tcBorders>
                  <w:vAlign w:val="center"/>
                </w:tcPr>
                <w:p>
                  <w:pPr>
                    <w:pStyle w:val="23"/>
                    <w:ind w:firstLine="0" w:firstLineChars="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53.4</w:t>
                  </w:r>
                </w:p>
              </w:tc>
              <w:tc>
                <w:tcPr>
                  <w:tcW w:w="934" w:type="dxa"/>
                  <w:tcBorders>
                    <w:bottom w:val="single" w:color="auto" w:sz="4" w:space="0"/>
                  </w:tcBorders>
                  <w:vAlign w:val="center"/>
                </w:tcPr>
                <w:p>
                  <w:pPr>
                    <w:pStyle w:val="23"/>
                    <w:ind w:firstLine="0" w:firstLineChars="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 xml:space="preserve">53.5 </w:t>
                  </w:r>
                </w:p>
              </w:tc>
              <w:tc>
                <w:tcPr>
                  <w:tcW w:w="442" w:type="pct"/>
                  <w:tcBorders>
                    <w:bottom w:val="single" w:color="auto" w:sz="4" w:space="0"/>
                  </w:tcBorders>
                  <w:vAlign w:val="center"/>
                </w:tcPr>
                <w:p>
                  <w:pPr>
                    <w:pStyle w:val="23"/>
                    <w:ind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65</w:t>
                  </w:r>
                </w:p>
              </w:tc>
              <w:tc>
                <w:tcPr>
                  <w:tcW w:w="404" w:type="pct"/>
                  <w:tcBorders>
                    <w:bottom w:val="single" w:color="auto" w:sz="4" w:space="0"/>
                  </w:tcBorders>
                  <w:vAlign w:val="center"/>
                </w:tcPr>
                <w:p>
                  <w:pPr>
                    <w:pStyle w:val="23"/>
                    <w:rPr>
                      <w:rFonts w:hint="default" w:ascii="Times New Roman" w:hAnsi="Times New Roman" w:cs="Times New Roman"/>
                      <w:color w:val="auto"/>
                    </w:rPr>
                  </w:pPr>
                  <w:r>
                    <w:rPr>
                      <w:rFonts w:hint="default" w:ascii="Times New Roman" w:hAnsi="Times New Roman" w:cs="Times New Roman"/>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trPr>
              <w:tc>
                <w:tcPr>
                  <w:tcW w:w="838"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南侧2厂界</w:t>
                  </w:r>
                </w:p>
              </w:tc>
              <w:tc>
                <w:tcPr>
                  <w:tcW w:w="433"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昼间</w:t>
                  </w:r>
                </w:p>
              </w:tc>
              <w:tc>
                <w:tcPr>
                  <w:tcW w:w="582" w:type="pct"/>
                  <w:vMerge w:val="continue"/>
                  <w:vAlign w:val="center"/>
                </w:tcPr>
                <w:p>
                  <w:pPr>
                    <w:pStyle w:val="23"/>
                    <w:rPr>
                      <w:rFonts w:hint="default" w:ascii="Times New Roman" w:hAnsi="Times New Roman" w:cs="Times New Roman"/>
                      <w:color w:val="auto"/>
                    </w:rPr>
                  </w:pPr>
                </w:p>
              </w:tc>
              <w:tc>
                <w:tcPr>
                  <w:tcW w:w="586"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58</w:t>
                  </w:r>
                </w:p>
              </w:tc>
              <w:tc>
                <w:tcPr>
                  <w:tcW w:w="889" w:type="dxa"/>
                  <w:vAlign w:val="center"/>
                </w:tcPr>
                <w:p>
                  <w:pPr>
                    <w:pStyle w:val="23"/>
                    <w:ind w:firstLine="0" w:firstLineChars="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 xml:space="preserve">40.1 </w:t>
                  </w:r>
                </w:p>
              </w:tc>
              <w:tc>
                <w:tcPr>
                  <w:tcW w:w="574" w:type="pct"/>
                  <w:vAlign w:val="center"/>
                </w:tcPr>
                <w:p>
                  <w:pPr>
                    <w:pStyle w:val="23"/>
                    <w:ind w:firstLine="0" w:firstLineChars="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54.1</w:t>
                  </w:r>
                </w:p>
              </w:tc>
              <w:tc>
                <w:tcPr>
                  <w:tcW w:w="934" w:type="dxa"/>
                  <w:vAlign w:val="center"/>
                </w:tcPr>
                <w:p>
                  <w:pPr>
                    <w:pStyle w:val="23"/>
                    <w:ind w:firstLine="0" w:firstLineChars="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 xml:space="preserve">54.3 </w:t>
                  </w:r>
                </w:p>
              </w:tc>
              <w:tc>
                <w:tcPr>
                  <w:tcW w:w="442" w:type="pct"/>
                  <w:vAlign w:val="center"/>
                </w:tcPr>
                <w:p>
                  <w:pPr>
                    <w:pStyle w:val="23"/>
                    <w:ind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65</w:t>
                  </w:r>
                </w:p>
              </w:tc>
              <w:tc>
                <w:tcPr>
                  <w:tcW w:w="404"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trPr>
              <w:tc>
                <w:tcPr>
                  <w:tcW w:w="838"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东南侧厂界</w:t>
                  </w:r>
                </w:p>
              </w:tc>
              <w:tc>
                <w:tcPr>
                  <w:tcW w:w="433"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昼间</w:t>
                  </w:r>
                </w:p>
              </w:tc>
              <w:tc>
                <w:tcPr>
                  <w:tcW w:w="582" w:type="pct"/>
                  <w:vMerge w:val="continue"/>
                  <w:vAlign w:val="center"/>
                </w:tcPr>
                <w:p>
                  <w:pPr>
                    <w:pStyle w:val="23"/>
                    <w:rPr>
                      <w:rFonts w:hint="default" w:ascii="Times New Roman" w:hAnsi="Times New Roman" w:cs="Times New Roman"/>
                      <w:color w:val="auto"/>
                    </w:rPr>
                  </w:pPr>
                </w:p>
              </w:tc>
              <w:tc>
                <w:tcPr>
                  <w:tcW w:w="586"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36</w:t>
                  </w:r>
                </w:p>
              </w:tc>
              <w:tc>
                <w:tcPr>
                  <w:tcW w:w="889" w:type="dxa"/>
                  <w:vAlign w:val="center"/>
                </w:tcPr>
                <w:p>
                  <w:pPr>
                    <w:pStyle w:val="23"/>
                    <w:ind w:firstLine="0" w:firstLineChars="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 xml:space="preserve">44.3 </w:t>
                  </w:r>
                </w:p>
              </w:tc>
              <w:tc>
                <w:tcPr>
                  <w:tcW w:w="574" w:type="pct"/>
                  <w:vAlign w:val="center"/>
                </w:tcPr>
                <w:p>
                  <w:pPr>
                    <w:pStyle w:val="23"/>
                    <w:ind w:firstLine="0" w:firstLineChars="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53.5</w:t>
                  </w:r>
                </w:p>
              </w:tc>
              <w:tc>
                <w:tcPr>
                  <w:tcW w:w="934" w:type="dxa"/>
                  <w:vAlign w:val="center"/>
                </w:tcPr>
                <w:p>
                  <w:pPr>
                    <w:pStyle w:val="23"/>
                    <w:ind w:firstLine="0" w:firstLineChars="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 xml:space="preserve">54.0 </w:t>
                  </w:r>
                </w:p>
              </w:tc>
              <w:tc>
                <w:tcPr>
                  <w:tcW w:w="442" w:type="pct"/>
                  <w:vAlign w:val="center"/>
                </w:tcPr>
                <w:p>
                  <w:pPr>
                    <w:pStyle w:val="23"/>
                    <w:ind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65</w:t>
                  </w:r>
                </w:p>
              </w:tc>
              <w:tc>
                <w:tcPr>
                  <w:tcW w:w="404"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trPr>
              <w:tc>
                <w:tcPr>
                  <w:tcW w:w="838"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东侧厂界</w:t>
                  </w:r>
                </w:p>
              </w:tc>
              <w:tc>
                <w:tcPr>
                  <w:tcW w:w="433"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昼间</w:t>
                  </w:r>
                </w:p>
              </w:tc>
              <w:tc>
                <w:tcPr>
                  <w:tcW w:w="582" w:type="pct"/>
                  <w:vMerge w:val="continue"/>
                  <w:vAlign w:val="center"/>
                </w:tcPr>
                <w:p>
                  <w:pPr>
                    <w:pStyle w:val="23"/>
                    <w:rPr>
                      <w:rFonts w:hint="default" w:ascii="Times New Roman" w:hAnsi="Times New Roman" w:cs="Times New Roman"/>
                      <w:color w:val="auto"/>
                    </w:rPr>
                  </w:pPr>
                </w:p>
              </w:tc>
              <w:tc>
                <w:tcPr>
                  <w:tcW w:w="586"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40</w:t>
                  </w:r>
                </w:p>
              </w:tc>
              <w:tc>
                <w:tcPr>
                  <w:tcW w:w="889" w:type="dxa"/>
                  <w:vAlign w:val="center"/>
                </w:tcPr>
                <w:p>
                  <w:pPr>
                    <w:pStyle w:val="23"/>
                    <w:ind w:firstLine="0" w:firstLineChars="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 xml:space="preserve">43.4 </w:t>
                  </w:r>
                </w:p>
              </w:tc>
              <w:tc>
                <w:tcPr>
                  <w:tcW w:w="574" w:type="pct"/>
                  <w:vAlign w:val="center"/>
                </w:tcPr>
                <w:p>
                  <w:pPr>
                    <w:pStyle w:val="23"/>
                    <w:ind w:firstLine="0" w:firstLineChars="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52.9</w:t>
                  </w:r>
                </w:p>
              </w:tc>
              <w:tc>
                <w:tcPr>
                  <w:tcW w:w="934" w:type="dxa"/>
                  <w:vAlign w:val="center"/>
                </w:tcPr>
                <w:p>
                  <w:pPr>
                    <w:pStyle w:val="23"/>
                    <w:ind w:firstLine="0" w:firstLineChars="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 xml:space="preserve">53.4 </w:t>
                  </w:r>
                </w:p>
              </w:tc>
              <w:tc>
                <w:tcPr>
                  <w:tcW w:w="442" w:type="pct"/>
                  <w:vAlign w:val="center"/>
                </w:tcPr>
                <w:p>
                  <w:pPr>
                    <w:pStyle w:val="23"/>
                    <w:ind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65</w:t>
                  </w:r>
                </w:p>
              </w:tc>
              <w:tc>
                <w:tcPr>
                  <w:tcW w:w="404"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trPr>
              <w:tc>
                <w:tcPr>
                  <w:tcW w:w="838"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北侧1厂界</w:t>
                  </w:r>
                </w:p>
              </w:tc>
              <w:tc>
                <w:tcPr>
                  <w:tcW w:w="433"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昼间</w:t>
                  </w:r>
                </w:p>
              </w:tc>
              <w:tc>
                <w:tcPr>
                  <w:tcW w:w="582" w:type="pct"/>
                  <w:vMerge w:val="continue"/>
                  <w:vAlign w:val="center"/>
                </w:tcPr>
                <w:p>
                  <w:pPr>
                    <w:pStyle w:val="23"/>
                    <w:rPr>
                      <w:rFonts w:hint="default" w:ascii="Times New Roman" w:hAnsi="Times New Roman" w:cs="Times New Roman"/>
                      <w:color w:val="auto"/>
                    </w:rPr>
                  </w:pPr>
                </w:p>
              </w:tc>
              <w:tc>
                <w:tcPr>
                  <w:tcW w:w="586"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70</w:t>
                  </w:r>
                </w:p>
              </w:tc>
              <w:tc>
                <w:tcPr>
                  <w:tcW w:w="889" w:type="dxa"/>
                  <w:vAlign w:val="center"/>
                </w:tcPr>
                <w:p>
                  <w:pPr>
                    <w:pStyle w:val="23"/>
                    <w:ind w:firstLine="0" w:firstLineChars="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 xml:space="preserve">38.5 </w:t>
                  </w:r>
                </w:p>
              </w:tc>
              <w:tc>
                <w:tcPr>
                  <w:tcW w:w="574" w:type="pct"/>
                  <w:vAlign w:val="center"/>
                </w:tcPr>
                <w:p>
                  <w:pPr>
                    <w:pStyle w:val="23"/>
                    <w:ind w:firstLine="0" w:firstLineChars="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53.6</w:t>
                  </w:r>
                </w:p>
              </w:tc>
              <w:tc>
                <w:tcPr>
                  <w:tcW w:w="934" w:type="dxa"/>
                  <w:vAlign w:val="center"/>
                </w:tcPr>
                <w:p>
                  <w:pPr>
                    <w:pStyle w:val="23"/>
                    <w:ind w:firstLine="0" w:firstLineChars="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 xml:space="preserve">53.7 </w:t>
                  </w:r>
                </w:p>
              </w:tc>
              <w:tc>
                <w:tcPr>
                  <w:tcW w:w="442" w:type="pct"/>
                  <w:vAlign w:val="center"/>
                </w:tcPr>
                <w:p>
                  <w:pPr>
                    <w:pStyle w:val="23"/>
                    <w:ind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65</w:t>
                  </w:r>
                </w:p>
              </w:tc>
              <w:tc>
                <w:tcPr>
                  <w:tcW w:w="404"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trPr>
              <w:tc>
                <w:tcPr>
                  <w:tcW w:w="838"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北侧2厂界</w:t>
                  </w:r>
                </w:p>
              </w:tc>
              <w:tc>
                <w:tcPr>
                  <w:tcW w:w="433"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昼间</w:t>
                  </w:r>
                </w:p>
              </w:tc>
              <w:tc>
                <w:tcPr>
                  <w:tcW w:w="582" w:type="pct"/>
                  <w:vMerge w:val="continue"/>
                  <w:tcBorders>
                    <w:bottom w:val="single" w:color="auto" w:sz="4" w:space="0"/>
                  </w:tcBorders>
                  <w:vAlign w:val="center"/>
                </w:tcPr>
                <w:p>
                  <w:pPr>
                    <w:pStyle w:val="23"/>
                    <w:rPr>
                      <w:rFonts w:hint="default" w:ascii="Times New Roman" w:hAnsi="Times New Roman" w:cs="Times New Roman"/>
                      <w:color w:val="auto"/>
                    </w:rPr>
                  </w:pPr>
                </w:p>
              </w:tc>
              <w:tc>
                <w:tcPr>
                  <w:tcW w:w="586" w:type="pct"/>
                  <w:vAlign w:val="center"/>
                </w:tcPr>
                <w:p>
                  <w:pPr>
                    <w:pStyle w:val="23"/>
                    <w:rPr>
                      <w:rFonts w:hint="default" w:ascii="Times New Roman" w:hAnsi="Times New Roman" w:cs="Times New Roman"/>
                      <w:color w:val="auto"/>
                    </w:rPr>
                  </w:pPr>
                  <w:r>
                    <w:rPr>
                      <w:rFonts w:hint="default" w:ascii="Times New Roman" w:hAnsi="Times New Roman" w:cs="Times New Roman"/>
                      <w:color w:val="auto"/>
                    </w:rPr>
                    <w:t>92</w:t>
                  </w:r>
                </w:p>
              </w:tc>
              <w:tc>
                <w:tcPr>
                  <w:tcW w:w="889" w:type="dxa"/>
                  <w:tcBorders>
                    <w:bottom w:val="single" w:color="auto" w:sz="4" w:space="0"/>
                  </w:tcBorders>
                  <w:vAlign w:val="center"/>
                </w:tcPr>
                <w:p>
                  <w:pPr>
                    <w:pStyle w:val="23"/>
                    <w:ind w:firstLine="0" w:firstLineChars="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 xml:space="preserve">36.1 </w:t>
                  </w:r>
                </w:p>
              </w:tc>
              <w:tc>
                <w:tcPr>
                  <w:tcW w:w="574" w:type="pct"/>
                  <w:tcBorders>
                    <w:bottom w:val="single" w:color="auto" w:sz="4" w:space="0"/>
                  </w:tcBorders>
                  <w:vAlign w:val="center"/>
                </w:tcPr>
                <w:p>
                  <w:pPr>
                    <w:pStyle w:val="23"/>
                    <w:ind w:firstLine="0" w:firstLineChars="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54.4</w:t>
                  </w:r>
                </w:p>
              </w:tc>
              <w:tc>
                <w:tcPr>
                  <w:tcW w:w="934" w:type="dxa"/>
                  <w:tcBorders>
                    <w:bottom w:val="single" w:color="auto" w:sz="4" w:space="0"/>
                  </w:tcBorders>
                  <w:vAlign w:val="center"/>
                </w:tcPr>
                <w:p>
                  <w:pPr>
                    <w:pStyle w:val="23"/>
                    <w:ind w:firstLine="0" w:firstLineChars="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 xml:space="preserve">54.5 </w:t>
                  </w:r>
                </w:p>
              </w:tc>
              <w:tc>
                <w:tcPr>
                  <w:tcW w:w="442" w:type="pct"/>
                  <w:tcBorders>
                    <w:bottom w:val="single" w:color="auto" w:sz="4" w:space="0"/>
                  </w:tcBorders>
                  <w:vAlign w:val="center"/>
                </w:tcPr>
                <w:p>
                  <w:pPr>
                    <w:pStyle w:val="23"/>
                    <w:ind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65</w:t>
                  </w:r>
                </w:p>
              </w:tc>
              <w:tc>
                <w:tcPr>
                  <w:tcW w:w="404" w:type="pct"/>
                  <w:tcBorders>
                    <w:bottom w:val="single" w:color="auto" w:sz="4" w:space="0"/>
                  </w:tcBorders>
                  <w:vAlign w:val="center"/>
                </w:tcPr>
                <w:p>
                  <w:pPr>
                    <w:pStyle w:val="23"/>
                    <w:rPr>
                      <w:rFonts w:hint="default" w:ascii="Times New Roman" w:hAnsi="Times New Roman" w:cs="Times New Roman"/>
                      <w:color w:val="auto"/>
                    </w:rPr>
                  </w:pPr>
                  <w:r>
                    <w:rPr>
                      <w:rFonts w:hint="default" w:ascii="Times New Roman" w:hAnsi="Times New Roman" w:cs="Times New Roman"/>
                      <w:color w:val="auto"/>
                    </w:rPr>
                    <w:t>达标</w:t>
                  </w:r>
                </w:p>
              </w:tc>
            </w:tr>
          </w:tbl>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由上表可知，本项目主要锅炉等设备安置于锅炉房内，在采取相应的环保措施后，厂界四周噪声贡献值满足《工业企业厂界环境噪声排放标准》(GB12348-2008）3类标准要求，厂界50m范围内不存在学校、厂区、居民等敏感目标，不会产生扰民现象，因此本项目噪声不会对周边产生明显影响。</w:t>
            </w:r>
          </w:p>
          <w:p>
            <w:pPr>
              <w:ind w:firstLine="0" w:firstLineChars="0"/>
              <w:outlineLvl w:val="2"/>
              <w:rPr>
                <w:rFonts w:hint="default" w:ascii="Times New Roman" w:hAnsi="Times New Roman" w:cs="Times New Roman"/>
                <w:b/>
                <w:color w:val="auto"/>
                <w:sz w:val="30"/>
                <w:szCs w:val="30"/>
              </w:rPr>
            </w:pPr>
            <w:r>
              <w:rPr>
                <w:rFonts w:hint="default" w:ascii="Times New Roman" w:hAnsi="Times New Roman" w:cs="Times New Roman"/>
                <w:b/>
                <w:color w:val="auto"/>
                <w:sz w:val="30"/>
                <w:szCs w:val="30"/>
              </w:rPr>
              <w:t>4.2.4固体废物环境保护措施</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本项目拟新增1台燃气锅炉，运营后，无新增固体废物产生。</w:t>
            </w:r>
          </w:p>
          <w:p>
            <w:pPr>
              <w:pStyle w:val="4"/>
              <w:pBdr>
                <w:top w:val="none" w:color="auto" w:sz="0" w:space="1"/>
                <w:left w:val="none" w:color="auto" w:sz="0" w:space="4"/>
                <w:bottom w:val="none" w:color="auto" w:sz="0" w:space="1"/>
                <w:right w:val="none" w:color="auto" w:sz="0" w:space="4"/>
              </w:pBdr>
              <w:ind w:left="0" w:firstLine="0"/>
              <w:rPr>
                <w:rFonts w:hint="default" w:ascii="Times New Roman" w:hAnsi="Times New Roman" w:cs="Times New Roman"/>
                <w:color w:val="auto"/>
              </w:rPr>
            </w:pPr>
            <w:r>
              <w:rPr>
                <w:rFonts w:hint="default" w:ascii="Times New Roman" w:hAnsi="Times New Roman" w:cs="Times New Roman"/>
                <w:color w:val="auto"/>
              </w:rPr>
              <w:t>环境风险</w:t>
            </w:r>
          </w:p>
          <w:p>
            <w:pPr>
              <w:pBdr>
                <w:top w:val="none" w:color="auto" w:sz="0" w:space="1"/>
                <w:left w:val="none" w:color="auto" w:sz="0" w:space="4"/>
                <w:bottom w:val="none" w:color="auto" w:sz="0" w:space="1"/>
                <w:right w:val="none" w:color="auto" w:sz="0" w:space="4"/>
              </w:pBdr>
              <w:ind w:firstLine="0" w:firstLineChars="0"/>
              <w:outlineLvl w:val="2"/>
              <w:rPr>
                <w:rFonts w:hint="default" w:ascii="Times New Roman" w:hAnsi="Times New Roman" w:cs="Times New Roman"/>
                <w:b/>
                <w:color w:val="auto"/>
                <w:sz w:val="30"/>
                <w:szCs w:val="30"/>
              </w:rPr>
            </w:pPr>
            <w:r>
              <w:rPr>
                <w:rFonts w:hint="default" w:ascii="Times New Roman" w:hAnsi="Times New Roman" w:cs="Times New Roman"/>
                <w:b/>
                <w:color w:val="auto"/>
                <w:sz w:val="30"/>
                <w:szCs w:val="30"/>
              </w:rPr>
              <w:t>4.3.1风险物质</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项目锅炉使用天然气，本项目天然气主要为输气管道。所以项目运营期主要分析管道天然气在生产过程中存在火灾、爆炸、泄漏等环境风险可能。</w:t>
            </w:r>
          </w:p>
          <w:p>
            <w:pPr>
              <w:ind w:firstLine="482"/>
              <w:jc w:val="center"/>
              <w:rPr>
                <w:rFonts w:hint="default" w:ascii="Times New Roman" w:hAnsi="Times New Roman" w:cs="Times New Roman"/>
                <w:b/>
                <w:color w:val="auto"/>
              </w:rPr>
            </w:pPr>
            <w:r>
              <w:rPr>
                <w:rFonts w:hint="default" w:ascii="Times New Roman" w:hAnsi="Times New Roman" w:cs="Times New Roman"/>
                <w:b/>
                <w:color w:val="auto"/>
              </w:rPr>
              <w:t>表4.3-1 天然气理化性质一览表</w:t>
            </w:r>
          </w:p>
          <w:tbl>
            <w:tblPr>
              <w:tblStyle w:val="1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33"/>
              <w:gridCol w:w="2520"/>
              <w:gridCol w:w="1967"/>
              <w:gridCol w:w="20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9" w:type="dxa"/>
                  <w:shd w:val="clear" w:color="auto" w:fill="auto"/>
                  <w:vAlign w:val="center"/>
                </w:tcPr>
                <w:p>
                  <w:pPr>
                    <w:pStyle w:val="23"/>
                    <w:rPr>
                      <w:rFonts w:hint="default" w:ascii="Times New Roman" w:hAnsi="Times New Roman" w:cs="Times New Roman"/>
                      <w:bCs/>
                      <w:color w:val="auto"/>
                    </w:rPr>
                  </w:pPr>
                  <w:bookmarkStart w:id="44" w:name="_Hlk82091911"/>
                  <w:r>
                    <w:rPr>
                      <w:rFonts w:hint="default" w:ascii="Times New Roman" w:hAnsi="Times New Roman" w:cs="Times New Roman"/>
                      <w:bCs/>
                      <w:color w:val="auto"/>
                    </w:rPr>
                    <w:t>名称</w:t>
                  </w:r>
                </w:p>
              </w:tc>
              <w:tc>
                <w:tcPr>
                  <w:tcW w:w="2893" w:type="dxa"/>
                  <w:shd w:val="clear" w:color="auto" w:fill="auto"/>
                  <w:vAlign w:val="center"/>
                </w:tcPr>
                <w:p>
                  <w:pPr>
                    <w:pStyle w:val="23"/>
                    <w:rPr>
                      <w:rFonts w:hint="default" w:ascii="Times New Roman" w:hAnsi="Times New Roman" w:cs="Times New Roman"/>
                      <w:bCs/>
                      <w:color w:val="auto"/>
                    </w:rPr>
                  </w:pPr>
                  <w:r>
                    <w:rPr>
                      <w:rFonts w:hint="default" w:ascii="Times New Roman" w:hAnsi="Times New Roman" w:cs="Times New Roman"/>
                      <w:bCs/>
                      <w:color w:val="auto"/>
                    </w:rPr>
                    <w:t>天然气</w:t>
                  </w:r>
                </w:p>
              </w:tc>
              <w:tc>
                <w:tcPr>
                  <w:tcW w:w="2351" w:type="dxa"/>
                  <w:shd w:val="clear" w:color="auto" w:fill="auto"/>
                  <w:vAlign w:val="center"/>
                </w:tcPr>
                <w:p>
                  <w:pPr>
                    <w:pStyle w:val="23"/>
                    <w:rPr>
                      <w:rFonts w:hint="default" w:ascii="Times New Roman" w:hAnsi="Times New Roman" w:cs="Times New Roman"/>
                      <w:bCs/>
                      <w:color w:val="auto"/>
                    </w:rPr>
                  </w:pPr>
                  <w:r>
                    <w:rPr>
                      <w:rFonts w:hint="default" w:ascii="Times New Roman" w:hAnsi="Times New Roman" w:cs="Times New Roman"/>
                      <w:bCs/>
                      <w:color w:val="auto"/>
                    </w:rPr>
                    <w:t>危险性类别</w:t>
                  </w:r>
                </w:p>
              </w:tc>
              <w:tc>
                <w:tcPr>
                  <w:tcW w:w="2352" w:type="dxa"/>
                  <w:shd w:val="clear" w:color="auto" w:fill="auto"/>
                  <w:vAlign w:val="center"/>
                </w:tcPr>
                <w:p>
                  <w:pPr>
                    <w:pStyle w:val="23"/>
                    <w:rPr>
                      <w:rFonts w:hint="default" w:ascii="Times New Roman" w:hAnsi="Times New Roman" w:cs="Times New Roman"/>
                      <w:bCs/>
                      <w:color w:val="auto"/>
                    </w:rPr>
                  </w:pPr>
                  <w:r>
                    <w:rPr>
                      <w:rFonts w:hint="default" w:ascii="Times New Roman" w:hAnsi="Times New Roman" w:cs="Times New Roman"/>
                      <w:bCs/>
                      <w:color w:val="auto"/>
                    </w:rPr>
                    <w:t>第2.1类易燃气体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9" w:type="dxa"/>
                  <w:shd w:val="clear" w:color="auto" w:fill="auto"/>
                  <w:vAlign w:val="center"/>
                </w:tcPr>
                <w:p>
                  <w:pPr>
                    <w:pStyle w:val="23"/>
                    <w:rPr>
                      <w:rFonts w:hint="default" w:ascii="Times New Roman" w:hAnsi="Times New Roman" w:cs="Times New Roman"/>
                      <w:bCs/>
                      <w:color w:val="auto"/>
                    </w:rPr>
                  </w:pPr>
                  <w:r>
                    <w:rPr>
                      <w:rFonts w:hint="default" w:ascii="Times New Roman" w:hAnsi="Times New Roman" w:cs="Times New Roman"/>
                      <w:bCs/>
                      <w:color w:val="auto"/>
                    </w:rPr>
                    <w:t>主要成分</w:t>
                  </w:r>
                </w:p>
              </w:tc>
              <w:tc>
                <w:tcPr>
                  <w:tcW w:w="2893" w:type="dxa"/>
                  <w:shd w:val="clear" w:color="auto" w:fill="auto"/>
                  <w:vAlign w:val="center"/>
                </w:tcPr>
                <w:p>
                  <w:pPr>
                    <w:pStyle w:val="23"/>
                    <w:rPr>
                      <w:rFonts w:hint="default" w:ascii="Times New Roman" w:hAnsi="Times New Roman" w:cs="Times New Roman"/>
                      <w:bCs/>
                      <w:color w:val="auto"/>
                    </w:rPr>
                  </w:pPr>
                  <w:r>
                    <w:rPr>
                      <w:rFonts w:hint="default" w:ascii="Times New Roman" w:hAnsi="Times New Roman" w:cs="Times New Roman"/>
                      <w:bCs/>
                      <w:color w:val="auto"/>
                    </w:rPr>
                    <w:t>甲烷（85%）</w:t>
                  </w:r>
                </w:p>
              </w:tc>
              <w:tc>
                <w:tcPr>
                  <w:tcW w:w="2351" w:type="dxa"/>
                  <w:shd w:val="clear" w:color="auto" w:fill="auto"/>
                  <w:vAlign w:val="center"/>
                </w:tcPr>
                <w:p>
                  <w:pPr>
                    <w:pStyle w:val="23"/>
                    <w:rPr>
                      <w:rFonts w:hint="default" w:ascii="Times New Roman" w:hAnsi="Times New Roman" w:cs="Times New Roman"/>
                      <w:bCs/>
                      <w:color w:val="auto"/>
                    </w:rPr>
                  </w:pPr>
                  <w:r>
                    <w:rPr>
                      <w:rFonts w:hint="default" w:ascii="Times New Roman" w:hAnsi="Times New Roman" w:cs="Times New Roman"/>
                      <w:bCs/>
                      <w:color w:val="auto"/>
                    </w:rPr>
                    <w:t>分子式</w:t>
                  </w:r>
                </w:p>
              </w:tc>
              <w:tc>
                <w:tcPr>
                  <w:tcW w:w="2352" w:type="dxa"/>
                  <w:shd w:val="clear" w:color="auto" w:fill="auto"/>
                  <w:vAlign w:val="center"/>
                </w:tcPr>
                <w:p>
                  <w:pPr>
                    <w:pStyle w:val="23"/>
                    <w:rPr>
                      <w:rFonts w:hint="default" w:ascii="Times New Roman" w:hAnsi="Times New Roman" w:cs="Times New Roman"/>
                      <w:bCs/>
                      <w:color w:val="auto"/>
                    </w:rPr>
                  </w:pPr>
                  <w:r>
                    <w:rPr>
                      <w:rFonts w:hint="default" w:ascii="Times New Roman" w:hAnsi="Times New Roman" w:cs="Times New Roman"/>
                      <w:bCs/>
                      <w:color w:val="auto"/>
                    </w:rPr>
                    <w:t>CH4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9" w:type="dxa"/>
                  <w:shd w:val="clear" w:color="auto" w:fill="auto"/>
                  <w:vAlign w:val="center"/>
                </w:tcPr>
                <w:p>
                  <w:pPr>
                    <w:pStyle w:val="23"/>
                    <w:rPr>
                      <w:rFonts w:hint="default" w:ascii="Times New Roman" w:hAnsi="Times New Roman" w:cs="Times New Roman"/>
                      <w:bCs/>
                      <w:color w:val="auto"/>
                    </w:rPr>
                  </w:pPr>
                  <w:r>
                    <w:rPr>
                      <w:rFonts w:hint="default" w:ascii="Times New Roman" w:hAnsi="Times New Roman" w:cs="Times New Roman"/>
                      <w:bCs/>
                      <w:color w:val="auto"/>
                    </w:rPr>
                    <w:t>用途</w:t>
                  </w:r>
                </w:p>
              </w:tc>
              <w:tc>
                <w:tcPr>
                  <w:tcW w:w="7596" w:type="dxa"/>
                  <w:gridSpan w:val="3"/>
                  <w:shd w:val="clear" w:color="auto" w:fill="auto"/>
                  <w:vAlign w:val="center"/>
                </w:tcPr>
                <w:p>
                  <w:pPr>
                    <w:pStyle w:val="23"/>
                    <w:rPr>
                      <w:rFonts w:hint="default" w:ascii="Times New Roman" w:hAnsi="Times New Roman" w:cs="Times New Roman"/>
                      <w:bCs/>
                      <w:color w:val="auto"/>
                    </w:rPr>
                  </w:pPr>
                  <w:r>
                    <w:rPr>
                      <w:rFonts w:hint="default" w:ascii="Times New Roman" w:hAnsi="Times New Roman" w:cs="Times New Roman"/>
                      <w:bCs/>
                      <w:color w:val="auto"/>
                    </w:rPr>
                    <w:t>用作燃料和用于炭黑、 氢、 乙炔、 甲醛等的制造。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9" w:type="dxa"/>
                  <w:vMerge w:val="restart"/>
                  <w:shd w:val="clear" w:color="auto" w:fill="auto"/>
                  <w:vAlign w:val="center"/>
                </w:tcPr>
                <w:p>
                  <w:pPr>
                    <w:pStyle w:val="23"/>
                    <w:rPr>
                      <w:rFonts w:hint="default" w:ascii="Times New Roman" w:hAnsi="Times New Roman" w:cs="Times New Roman"/>
                      <w:bCs/>
                      <w:color w:val="auto"/>
                    </w:rPr>
                  </w:pPr>
                  <w:r>
                    <w:rPr>
                      <w:rFonts w:hint="default" w:ascii="Times New Roman" w:hAnsi="Times New Roman" w:cs="Times New Roman"/>
                      <w:bCs/>
                      <w:color w:val="auto"/>
                    </w:rPr>
                    <w:t>理化性质</w:t>
                  </w:r>
                </w:p>
              </w:tc>
              <w:tc>
                <w:tcPr>
                  <w:tcW w:w="7596" w:type="dxa"/>
                  <w:gridSpan w:val="3"/>
                  <w:shd w:val="clear" w:color="auto" w:fill="auto"/>
                  <w:vAlign w:val="center"/>
                </w:tcPr>
                <w:p>
                  <w:pPr>
                    <w:pStyle w:val="23"/>
                    <w:rPr>
                      <w:rFonts w:hint="default" w:ascii="Times New Roman" w:hAnsi="Times New Roman" w:cs="Times New Roman"/>
                      <w:bCs/>
                      <w:color w:val="auto"/>
                    </w:rPr>
                  </w:pPr>
                  <w:r>
                    <w:rPr>
                      <w:rFonts w:hint="default" w:ascii="Times New Roman" w:hAnsi="Times New Roman" w:cs="Times New Roman"/>
                      <w:bCs/>
                      <w:color w:val="auto"/>
                    </w:rPr>
                    <w:t>外观与性状：无色无臭气体；燃烧热（kJ/mol）：889.5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9" w:type="dxa"/>
                  <w:vMerge w:val="continue"/>
                  <w:shd w:val="clear" w:color="auto" w:fill="auto"/>
                  <w:vAlign w:val="center"/>
                </w:tcPr>
                <w:p>
                  <w:pPr>
                    <w:pStyle w:val="23"/>
                    <w:rPr>
                      <w:rFonts w:hint="default" w:ascii="Times New Roman" w:hAnsi="Times New Roman" w:cs="Times New Roman"/>
                      <w:bCs/>
                      <w:color w:val="auto"/>
                    </w:rPr>
                  </w:pPr>
                </w:p>
              </w:tc>
              <w:tc>
                <w:tcPr>
                  <w:tcW w:w="7596" w:type="dxa"/>
                  <w:gridSpan w:val="3"/>
                  <w:shd w:val="clear" w:color="auto" w:fill="auto"/>
                  <w:vAlign w:val="center"/>
                </w:tcPr>
                <w:p>
                  <w:pPr>
                    <w:pStyle w:val="23"/>
                    <w:rPr>
                      <w:rFonts w:hint="default" w:ascii="Times New Roman" w:hAnsi="Times New Roman" w:cs="Times New Roman"/>
                      <w:bCs/>
                      <w:color w:val="auto"/>
                    </w:rPr>
                  </w:pPr>
                  <w:r>
                    <w:rPr>
                      <w:rFonts w:hint="default" w:ascii="Times New Roman" w:hAnsi="Times New Roman" w:cs="Times New Roman"/>
                      <w:bCs/>
                      <w:color w:val="auto"/>
                    </w:rPr>
                    <w:t>相对密度（水=1）：0.42（-164℃）；熔点（℃）： -182.5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9" w:type="dxa"/>
                  <w:vMerge w:val="continue"/>
                  <w:shd w:val="clear" w:color="auto" w:fill="auto"/>
                  <w:vAlign w:val="center"/>
                </w:tcPr>
                <w:p>
                  <w:pPr>
                    <w:pStyle w:val="23"/>
                    <w:rPr>
                      <w:rFonts w:hint="default" w:ascii="Times New Roman" w:hAnsi="Times New Roman" w:cs="Times New Roman"/>
                      <w:bCs/>
                      <w:color w:val="auto"/>
                    </w:rPr>
                  </w:pPr>
                </w:p>
              </w:tc>
              <w:tc>
                <w:tcPr>
                  <w:tcW w:w="7596" w:type="dxa"/>
                  <w:gridSpan w:val="3"/>
                  <w:shd w:val="clear" w:color="auto" w:fill="auto"/>
                  <w:vAlign w:val="center"/>
                </w:tcPr>
                <w:p>
                  <w:pPr>
                    <w:pStyle w:val="23"/>
                    <w:rPr>
                      <w:rFonts w:hint="default" w:ascii="Times New Roman" w:hAnsi="Times New Roman" w:cs="Times New Roman"/>
                      <w:bCs/>
                      <w:color w:val="auto"/>
                    </w:rPr>
                  </w:pPr>
                  <w:r>
                    <w:rPr>
                      <w:rFonts w:hint="default" w:ascii="Times New Roman" w:hAnsi="Times New Roman" w:cs="Times New Roman"/>
                      <w:bCs/>
                      <w:color w:val="auto"/>
                    </w:rPr>
                    <w:t>相对密度（空气=1）：0.6 ；沸点（℃）：-161.5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9" w:type="dxa"/>
                  <w:vMerge w:val="continue"/>
                  <w:shd w:val="clear" w:color="auto" w:fill="auto"/>
                  <w:vAlign w:val="center"/>
                </w:tcPr>
                <w:p>
                  <w:pPr>
                    <w:pStyle w:val="23"/>
                    <w:rPr>
                      <w:rFonts w:hint="default" w:ascii="Times New Roman" w:hAnsi="Times New Roman" w:cs="Times New Roman"/>
                      <w:bCs/>
                      <w:color w:val="auto"/>
                    </w:rPr>
                  </w:pPr>
                </w:p>
              </w:tc>
              <w:tc>
                <w:tcPr>
                  <w:tcW w:w="7596" w:type="dxa"/>
                  <w:gridSpan w:val="3"/>
                  <w:shd w:val="clear" w:color="auto" w:fill="auto"/>
                  <w:vAlign w:val="center"/>
                </w:tcPr>
                <w:p>
                  <w:pPr>
                    <w:pStyle w:val="23"/>
                    <w:rPr>
                      <w:rFonts w:hint="default" w:ascii="Times New Roman" w:hAnsi="Times New Roman" w:cs="Times New Roman"/>
                      <w:bCs/>
                      <w:color w:val="auto"/>
                    </w:rPr>
                  </w:pPr>
                  <w:r>
                    <w:rPr>
                      <w:rFonts w:hint="default" w:ascii="Times New Roman" w:hAnsi="Times New Roman" w:cs="Times New Roman"/>
                      <w:bCs/>
                      <w:color w:val="auto"/>
                    </w:rPr>
                    <w:t>临界温度（℃）：-82.6 ；饱和蒸气压（kPa）：53.32（-168.8℃）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9" w:type="dxa"/>
                  <w:vMerge w:val="continue"/>
                  <w:shd w:val="clear" w:color="auto" w:fill="auto"/>
                  <w:vAlign w:val="center"/>
                </w:tcPr>
                <w:p>
                  <w:pPr>
                    <w:pStyle w:val="23"/>
                    <w:rPr>
                      <w:rFonts w:hint="default" w:ascii="Times New Roman" w:hAnsi="Times New Roman" w:cs="Times New Roman"/>
                      <w:bCs/>
                      <w:color w:val="auto"/>
                    </w:rPr>
                  </w:pPr>
                </w:p>
              </w:tc>
              <w:tc>
                <w:tcPr>
                  <w:tcW w:w="7596" w:type="dxa"/>
                  <w:gridSpan w:val="3"/>
                  <w:shd w:val="clear" w:color="auto" w:fill="auto"/>
                  <w:vAlign w:val="center"/>
                </w:tcPr>
                <w:p>
                  <w:pPr>
                    <w:pStyle w:val="23"/>
                    <w:rPr>
                      <w:rFonts w:hint="default" w:ascii="Times New Roman" w:hAnsi="Times New Roman" w:cs="Times New Roman"/>
                      <w:bCs/>
                      <w:color w:val="auto"/>
                    </w:rPr>
                  </w:pPr>
                  <w:r>
                    <w:rPr>
                      <w:rFonts w:hint="default" w:ascii="Times New Roman" w:hAnsi="Times New Roman" w:cs="Times New Roman"/>
                      <w:bCs/>
                      <w:color w:val="auto"/>
                    </w:rPr>
                    <w:t>爆炸下限％（V/V）：5.3；爆炸上限％（V/V）：15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9" w:type="dxa"/>
                  <w:vMerge w:val="continue"/>
                  <w:shd w:val="clear" w:color="auto" w:fill="auto"/>
                  <w:vAlign w:val="center"/>
                </w:tcPr>
                <w:p>
                  <w:pPr>
                    <w:pStyle w:val="23"/>
                    <w:rPr>
                      <w:rFonts w:hint="default" w:ascii="Times New Roman" w:hAnsi="Times New Roman" w:cs="Times New Roman"/>
                      <w:bCs/>
                      <w:color w:val="auto"/>
                    </w:rPr>
                  </w:pPr>
                </w:p>
              </w:tc>
              <w:tc>
                <w:tcPr>
                  <w:tcW w:w="7596" w:type="dxa"/>
                  <w:gridSpan w:val="3"/>
                  <w:shd w:val="clear" w:color="auto" w:fill="auto"/>
                  <w:vAlign w:val="center"/>
                </w:tcPr>
                <w:p>
                  <w:pPr>
                    <w:pStyle w:val="23"/>
                    <w:rPr>
                      <w:rFonts w:hint="default" w:ascii="Times New Roman" w:hAnsi="Times New Roman" w:cs="Times New Roman"/>
                      <w:bCs/>
                      <w:color w:val="auto"/>
                    </w:rPr>
                  </w:pPr>
                  <w:r>
                    <w:rPr>
                      <w:rFonts w:hint="default" w:ascii="Times New Roman" w:hAnsi="Times New Roman" w:cs="Times New Roman"/>
                      <w:bCs/>
                      <w:color w:val="auto"/>
                    </w:rPr>
                    <w:t>引燃温度（℃）：538 ；最小点火能（mJ）：0.28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9" w:type="dxa"/>
                  <w:vMerge w:val="continue"/>
                  <w:shd w:val="clear" w:color="auto" w:fill="auto"/>
                  <w:vAlign w:val="center"/>
                </w:tcPr>
                <w:p>
                  <w:pPr>
                    <w:pStyle w:val="23"/>
                    <w:rPr>
                      <w:rFonts w:hint="default" w:ascii="Times New Roman" w:hAnsi="Times New Roman" w:cs="Times New Roman"/>
                      <w:bCs/>
                      <w:color w:val="auto"/>
                    </w:rPr>
                  </w:pPr>
                </w:p>
              </w:tc>
              <w:tc>
                <w:tcPr>
                  <w:tcW w:w="7596" w:type="dxa"/>
                  <w:gridSpan w:val="3"/>
                  <w:shd w:val="clear" w:color="auto" w:fill="auto"/>
                  <w:vAlign w:val="center"/>
                </w:tcPr>
                <w:p>
                  <w:pPr>
                    <w:pStyle w:val="23"/>
                    <w:rPr>
                      <w:rFonts w:hint="default" w:ascii="Times New Roman" w:hAnsi="Times New Roman" w:cs="Times New Roman"/>
                      <w:bCs/>
                      <w:color w:val="auto"/>
                    </w:rPr>
                  </w:pPr>
                  <w:r>
                    <w:rPr>
                      <w:rFonts w:hint="default" w:ascii="Times New Roman" w:hAnsi="Times New Roman" w:cs="Times New Roman"/>
                      <w:bCs/>
                      <w:color w:val="auto"/>
                    </w:rPr>
                    <w:t>闪点（℃）： -188；最大爆炸压力（MPa）：0.717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9" w:type="dxa"/>
                  <w:vMerge w:val="continue"/>
                  <w:shd w:val="clear" w:color="auto" w:fill="auto"/>
                  <w:vAlign w:val="center"/>
                </w:tcPr>
                <w:p>
                  <w:pPr>
                    <w:pStyle w:val="23"/>
                    <w:rPr>
                      <w:rFonts w:hint="default" w:ascii="Times New Roman" w:hAnsi="Times New Roman" w:cs="Times New Roman"/>
                      <w:bCs/>
                      <w:color w:val="auto"/>
                    </w:rPr>
                  </w:pPr>
                </w:p>
              </w:tc>
              <w:tc>
                <w:tcPr>
                  <w:tcW w:w="7596" w:type="dxa"/>
                  <w:gridSpan w:val="3"/>
                  <w:shd w:val="clear" w:color="auto" w:fill="auto"/>
                  <w:vAlign w:val="center"/>
                </w:tcPr>
                <w:p>
                  <w:pPr>
                    <w:pStyle w:val="23"/>
                    <w:rPr>
                      <w:rFonts w:hint="default" w:ascii="Times New Roman" w:hAnsi="Times New Roman" w:cs="Times New Roman"/>
                      <w:bCs/>
                      <w:color w:val="auto"/>
                    </w:rPr>
                  </w:pPr>
                  <w:r>
                    <w:rPr>
                      <w:rFonts w:hint="default" w:ascii="Times New Roman" w:hAnsi="Times New Roman" w:cs="Times New Roman"/>
                      <w:bCs/>
                      <w:color w:val="auto"/>
                    </w:rPr>
                    <w:t>溶解性：微溶于水、 溶于醇、 乙醚；临界压力（MPa）： 4.59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9" w:type="dxa"/>
                  <w:shd w:val="clear" w:color="auto" w:fill="auto"/>
                  <w:vAlign w:val="center"/>
                </w:tcPr>
                <w:p>
                  <w:pPr>
                    <w:pStyle w:val="23"/>
                    <w:rPr>
                      <w:rFonts w:hint="default" w:ascii="Times New Roman" w:hAnsi="Times New Roman" w:cs="Times New Roman"/>
                      <w:bCs/>
                      <w:color w:val="auto"/>
                    </w:rPr>
                  </w:pPr>
                  <w:r>
                    <w:rPr>
                      <w:rFonts w:hint="default" w:ascii="Times New Roman" w:hAnsi="Times New Roman" w:cs="Times New Roman"/>
                      <w:bCs/>
                      <w:color w:val="auto"/>
                    </w:rPr>
                    <w:t>毒理性质及健康危害</w:t>
                  </w:r>
                </w:p>
              </w:tc>
              <w:tc>
                <w:tcPr>
                  <w:tcW w:w="7596" w:type="dxa"/>
                  <w:gridSpan w:val="3"/>
                  <w:shd w:val="clear" w:color="auto" w:fill="auto"/>
                  <w:vAlign w:val="center"/>
                </w:tcPr>
                <w:p>
                  <w:pPr>
                    <w:pStyle w:val="23"/>
                    <w:jc w:val="left"/>
                    <w:rPr>
                      <w:rFonts w:hint="default" w:ascii="Times New Roman" w:hAnsi="Times New Roman" w:cs="Times New Roman"/>
                      <w:bCs/>
                      <w:color w:val="auto"/>
                    </w:rPr>
                  </w:pPr>
                  <w:r>
                    <w:rPr>
                      <w:rFonts w:hint="default" w:ascii="Times New Roman" w:hAnsi="Times New Roman" w:cs="Times New Roman"/>
                      <w:bCs/>
                      <w:color w:val="auto"/>
                    </w:rPr>
                    <w:t>对人基本无毒， 但浓度过高时， 使空气中氧含量明显降低， 使人窒息， 当空气中甲烷达 25%～30%时， 可引起头痛、 头晕、 乏力、 注意力不集中、 呼吸和心跳加速、 共济失调， 若不及时脱离， 可致窒息死亡。 皮肤接触液化本品，可致冻伤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9" w:type="dxa"/>
                  <w:shd w:val="clear" w:color="auto" w:fill="auto"/>
                  <w:vAlign w:val="center"/>
                </w:tcPr>
                <w:p>
                  <w:pPr>
                    <w:pStyle w:val="23"/>
                    <w:rPr>
                      <w:rFonts w:hint="default" w:ascii="Times New Roman" w:hAnsi="Times New Roman" w:cs="Times New Roman"/>
                      <w:bCs/>
                      <w:color w:val="auto"/>
                    </w:rPr>
                  </w:pPr>
                  <w:r>
                    <w:rPr>
                      <w:rFonts w:hint="default" w:ascii="Times New Roman" w:hAnsi="Times New Roman" w:cs="Times New Roman"/>
                      <w:bCs/>
                      <w:color w:val="auto"/>
                    </w:rPr>
                    <w:t>急救措施</w:t>
                  </w:r>
                </w:p>
              </w:tc>
              <w:tc>
                <w:tcPr>
                  <w:tcW w:w="7596" w:type="dxa"/>
                  <w:gridSpan w:val="3"/>
                  <w:shd w:val="clear" w:color="auto" w:fill="auto"/>
                  <w:vAlign w:val="center"/>
                </w:tcPr>
                <w:p>
                  <w:pPr>
                    <w:pStyle w:val="23"/>
                    <w:jc w:val="left"/>
                    <w:rPr>
                      <w:rFonts w:hint="default" w:ascii="Times New Roman" w:hAnsi="Times New Roman" w:cs="Times New Roman"/>
                      <w:bCs/>
                      <w:color w:val="auto"/>
                    </w:rPr>
                  </w:pPr>
                  <w:r>
                    <w:rPr>
                      <w:rFonts w:hint="default" w:ascii="Times New Roman" w:hAnsi="Times New Roman" w:cs="Times New Roman"/>
                      <w:bCs/>
                      <w:color w:val="auto"/>
                    </w:rPr>
                    <w:t>吸入：迅速脱离现场至空气新鲜处。保持呼吸道通畅。呼吸困难时给输氧。呼吸停止时，立即进行人工呼吸，就医。</w:t>
                  </w:r>
                </w:p>
                <w:p>
                  <w:pPr>
                    <w:pStyle w:val="23"/>
                    <w:jc w:val="left"/>
                    <w:rPr>
                      <w:rFonts w:hint="default" w:ascii="Times New Roman" w:hAnsi="Times New Roman" w:cs="Times New Roman"/>
                      <w:bCs/>
                      <w:color w:val="auto"/>
                    </w:rPr>
                  </w:pPr>
                  <w:r>
                    <w:rPr>
                      <w:rFonts w:hint="default" w:ascii="Times New Roman" w:hAnsi="Times New Roman" w:cs="Times New Roman"/>
                      <w:bCs/>
                      <w:color w:val="auto"/>
                    </w:rPr>
                    <w:t>眼睛接触：眼睛接触导致冻伤或冻灼伤，立即侵入温水中，不要用超过41℃的热水洗，如果没有浸洗条件，用大量温水至少冲洗 15 分钟。提起眼睑，并充分清洗。 如没有医学建议，请勿使用药膏，马上就医。</w:t>
                  </w:r>
                </w:p>
                <w:p>
                  <w:pPr>
                    <w:pStyle w:val="23"/>
                    <w:jc w:val="left"/>
                    <w:rPr>
                      <w:rFonts w:hint="default" w:ascii="Times New Roman" w:hAnsi="Times New Roman" w:cs="Times New Roman"/>
                      <w:bCs/>
                      <w:color w:val="auto"/>
                    </w:rPr>
                  </w:pPr>
                  <w:r>
                    <w:rPr>
                      <w:rFonts w:hint="default" w:ascii="Times New Roman" w:hAnsi="Times New Roman" w:cs="Times New Roman"/>
                      <w:bCs/>
                      <w:color w:val="auto"/>
                    </w:rPr>
                    <w:t>皮肤接触：皮肤接触导致冻伤或冻灼伤，不可用手揉搓冻伤的部位，如果大面积冻伤，需要用温水冲洗，不要用超过 41℃的热水洗，同时脱去衣物，立即就医。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9" w:type="dxa"/>
                  <w:shd w:val="clear" w:color="auto" w:fill="auto"/>
                  <w:vAlign w:val="center"/>
                </w:tcPr>
                <w:p>
                  <w:pPr>
                    <w:pStyle w:val="23"/>
                    <w:rPr>
                      <w:rFonts w:hint="default" w:ascii="Times New Roman" w:hAnsi="Times New Roman" w:cs="Times New Roman"/>
                      <w:bCs/>
                      <w:color w:val="auto"/>
                    </w:rPr>
                  </w:pPr>
                  <w:r>
                    <w:rPr>
                      <w:rFonts w:hint="default" w:ascii="Times New Roman" w:hAnsi="Times New Roman" w:cs="Times New Roman"/>
                      <w:bCs/>
                      <w:color w:val="auto"/>
                    </w:rPr>
                    <w:t>泄露应急处理</w:t>
                  </w:r>
                </w:p>
              </w:tc>
              <w:tc>
                <w:tcPr>
                  <w:tcW w:w="7596" w:type="dxa"/>
                  <w:gridSpan w:val="3"/>
                  <w:shd w:val="clear" w:color="auto" w:fill="auto"/>
                  <w:vAlign w:val="center"/>
                </w:tcPr>
                <w:p>
                  <w:pPr>
                    <w:pStyle w:val="23"/>
                    <w:jc w:val="left"/>
                    <w:rPr>
                      <w:rFonts w:hint="default" w:ascii="Times New Roman" w:hAnsi="Times New Roman" w:cs="Times New Roman"/>
                      <w:bCs/>
                      <w:color w:val="auto"/>
                    </w:rPr>
                  </w:pPr>
                  <w:r>
                    <w:rPr>
                      <w:rFonts w:hint="default" w:ascii="Times New Roman" w:hAnsi="Times New Roman" w:cs="Times New Roman"/>
                      <w:bCs/>
                      <w:color w:val="auto"/>
                    </w:rPr>
                    <w:t>迅速撤离泄漏污染区人员至上风处，并进行隔离，严格限制出入。切断火源，建议应急处理人员戴自给正压式呼吸器，穿防静电工作服。尽可能切断泄漏源。合理通风，加速扩散。喷雾状水稀释、溶解。构筑围堤或挖坑收容产生的大量废水。如有可能，将漏出气用排风机送至空旷地方或装设适当喷头烧掉。</w:t>
                  </w:r>
                </w:p>
              </w:tc>
            </w:tr>
            <w:bookmarkEnd w:id="44"/>
          </w:tbl>
          <w:p>
            <w:pPr>
              <w:pBdr>
                <w:top w:val="none" w:color="auto" w:sz="0" w:space="1"/>
                <w:left w:val="none" w:color="auto" w:sz="0" w:space="4"/>
                <w:bottom w:val="none" w:color="auto" w:sz="0" w:space="1"/>
                <w:right w:val="none" w:color="auto" w:sz="0" w:space="4"/>
              </w:pBdr>
              <w:ind w:firstLine="0" w:firstLineChars="0"/>
              <w:outlineLvl w:val="2"/>
              <w:rPr>
                <w:rFonts w:hint="default" w:ascii="Times New Roman" w:hAnsi="Times New Roman" w:cs="Times New Roman"/>
                <w:b/>
                <w:color w:val="auto"/>
                <w:sz w:val="30"/>
                <w:szCs w:val="30"/>
              </w:rPr>
            </w:pPr>
            <w:r>
              <w:rPr>
                <w:rFonts w:hint="default" w:ascii="Times New Roman" w:hAnsi="Times New Roman" w:cs="Times New Roman"/>
                <w:b/>
                <w:color w:val="auto"/>
                <w:sz w:val="30"/>
                <w:szCs w:val="30"/>
              </w:rPr>
              <w:t>4.3.2环境风险潜势</w:t>
            </w:r>
          </w:p>
          <w:p>
            <w:pPr>
              <w:ind w:firstLine="480"/>
              <w:rPr>
                <w:rFonts w:hint="default" w:ascii="Times New Roman" w:hAnsi="Times New Roman" w:cs="Times New Roman"/>
                <w:color w:val="auto"/>
              </w:rPr>
            </w:pPr>
            <w:r>
              <w:rPr>
                <w:rFonts w:hint="default" w:ascii="Times New Roman" w:hAnsi="Times New Roman" w:cs="Times New Roman"/>
                <w:color w:val="auto"/>
                <w:lang w:val="zh-CN"/>
              </w:rPr>
              <w:t>根据</w:t>
            </w:r>
            <w:r>
              <w:rPr>
                <w:rFonts w:hint="default" w:ascii="Times New Roman" w:hAnsi="Times New Roman" w:cs="Times New Roman"/>
                <w:color w:val="auto"/>
                <w:kern w:val="0"/>
                <w:lang w:bidi="ar"/>
              </w:rPr>
              <w:t>《建设项目环境风险评价技术导则》（HJ169-2018）附录C，</w:t>
            </w:r>
            <w:r>
              <w:rPr>
                <w:rFonts w:hint="default" w:ascii="Times New Roman" w:hAnsi="Times New Roman" w:cs="Times New Roman"/>
                <w:color w:val="auto"/>
              </w:rPr>
              <w:t>计算所涉及的每种危险物质在厂界内的最大存在总量与其在《建设项目环境风险评价技术导则》（HJ169-2018）附录B中对应临界量的比值Q。在不同厂区的同一种物质，按其在厂界内的最大存在总量计算。当企业只涉及一种风险物质时，该物质的数量与其临界量的比值，即为Q。当企业存在多种化学物质时，则按下式计算物质总量与其临界量比值（Q）：</w:t>
            </w:r>
          </w:p>
          <w:p>
            <w:pPr>
              <w:ind w:firstLine="480"/>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0" distR="0">
                  <wp:extent cx="1903730" cy="464185"/>
                  <wp:effectExtent l="0" t="0" r="1270" b="0"/>
                  <wp:docPr id="2" name="图片 2" descr="C:\Users\admin\AppData\Roaming\Tencent\Users\506048567\QQ\WinTemp\RichOle\`_O{@QX45~6E2EU4~BK~(Z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admin\AppData\Roaming\Tencent\Users\506048567\QQ\WinTemp\RichOle\`_O{@QX45~6E2EU4~BK~(ZR.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1903730" cy="464185"/>
                          </a:xfrm>
                          <a:prstGeom prst="rect">
                            <a:avLst/>
                          </a:prstGeom>
                          <a:noFill/>
                          <a:ln>
                            <a:noFill/>
                          </a:ln>
                        </pic:spPr>
                      </pic:pic>
                    </a:graphicData>
                  </a:graphic>
                </wp:inline>
              </w:drawing>
            </w:r>
          </w:p>
          <w:p>
            <w:pPr>
              <w:ind w:firstLine="480"/>
              <w:rPr>
                <w:rFonts w:hint="default" w:ascii="Times New Roman" w:hAnsi="Times New Roman" w:cs="Times New Roman"/>
                <w:color w:val="auto"/>
              </w:rPr>
            </w:pPr>
            <w:r>
              <w:rPr>
                <w:rFonts w:hint="default" w:ascii="Times New Roman" w:hAnsi="Times New Roman" w:cs="Times New Roman"/>
                <w:color w:val="auto"/>
              </w:rPr>
              <w:t>式中：q1，q2，...，qn——每种风险物质的存在量，t；</w:t>
            </w:r>
          </w:p>
          <w:p>
            <w:pPr>
              <w:ind w:firstLine="480"/>
              <w:rPr>
                <w:rFonts w:hint="default" w:ascii="Times New Roman" w:hAnsi="Times New Roman" w:cs="Times New Roman"/>
                <w:color w:val="auto"/>
              </w:rPr>
            </w:pPr>
            <w:r>
              <w:rPr>
                <w:rFonts w:hint="default" w:ascii="Times New Roman" w:hAnsi="Times New Roman" w:cs="Times New Roman"/>
                <w:color w:val="auto"/>
              </w:rPr>
              <w:t>Q1，Q2，...，Qn——每种风险物质的临界量，t。</w:t>
            </w:r>
          </w:p>
          <w:p>
            <w:pPr>
              <w:ind w:firstLine="480"/>
              <w:rPr>
                <w:rFonts w:hint="default" w:ascii="Times New Roman" w:hAnsi="Times New Roman" w:cs="Times New Roman"/>
                <w:color w:val="auto"/>
              </w:rPr>
            </w:pPr>
            <w:r>
              <w:rPr>
                <w:rFonts w:hint="default" w:ascii="Times New Roman" w:hAnsi="Times New Roman" w:cs="Times New Roman"/>
                <w:color w:val="auto"/>
              </w:rPr>
              <w:t>当Q＜1时，该项目环境风险潜势为</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 1 \* ROMAN </w:instrText>
            </w:r>
            <w:r>
              <w:rPr>
                <w:rFonts w:hint="default" w:ascii="Times New Roman" w:hAnsi="Times New Roman" w:cs="Times New Roman"/>
                <w:color w:val="auto"/>
              </w:rPr>
              <w:fldChar w:fldCharType="separate"/>
            </w:r>
            <w:r>
              <w:rPr>
                <w:rFonts w:hint="default" w:ascii="Times New Roman" w:hAnsi="Times New Roman" w:cs="Times New Roman"/>
                <w:color w:val="auto"/>
              </w:rPr>
              <w:t>I</w:t>
            </w:r>
            <w:r>
              <w:rPr>
                <w:rFonts w:hint="default" w:ascii="Times New Roman" w:hAnsi="Times New Roman" w:cs="Times New Roman"/>
                <w:color w:val="auto"/>
              </w:rPr>
              <w:fldChar w:fldCharType="end"/>
            </w:r>
            <w:r>
              <w:rPr>
                <w:rFonts w:hint="default" w:ascii="Times New Roman" w:hAnsi="Times New Roman" w:cs="Times New Roman"/>
                <w:color w:val="auto"/>
              </w:rPr>
              <w:t>。</w:t>
            </w:r>
          </w:p>
          <w:p>
            <w:pPr>
              <w:ind w:firstLine="480"/>
              <w:rPr>
                <w:rFonts w:hint="default" w:ascii="Times New Roman" w:hAnsi="Times New Roman" w:cs="Times New Roman"/>
                <w:color w:val="auto"/>
              </w:rPr>
            </w:pPr>
            <w:r>
              <w:rPr>
                <w:rFonts w:hint="default" w:ascii="Times New Roman" w:hAnsi="Times New Roman" w:cs="Times New Roman"/>
                <w:color w:val="auto"/>
              </w:rPr>
              <w:t>当Q≥1时，将Q值划分为：（1）1≤Q＜10；（2）10≤Q＜100；（3）Q≥100。</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lang w:val="zh-CN"/>
              </w:rPr>
              <w:t>本项目涉及的危险物质情况及临界量比值详见表</w:t>
            </w:r>
            <w:r>
              <w:rPr>
                <w:rFonts w:hint="default" w:ascii="Times New Roman" w:hAnsi="Times New Roman" w:cs="Times New Roman"/>
                <w:color w:val="auto"/>
                <w:lang w:val="en-US" w:eastAsia="zh-CN"/>
              </w:rPr>
              <w:t>4.6-2</w:t>
            </w:r>
            <w:r>
              <w:rPr>
                <w:rFonts w:hint="default" w:ascii="Times New Roman" w:hAnsi="Times New Roman" w:cs="Times New Roman"/>
                <w:color w:val="auto"/>
                <w:lang w:val="zh-CN"/>
              </w:rPr>
              <w:t>。由下表可知项目危险物质的临界量比值</w:t>
            </w:r>
            <w:r>
              <w:rPr>
                <w:rFonts w:hint="default" w:ascii="Times New Roman" w:hAnsi="Times New Roman" w:cs="Times New Roman"/>
                <w:color w:val="auto"/>
                <w:kern w:val="0"/>
                <w:lang w:bidi="ar"/>
              </w:rPr>
              <w:t>Q=0.0001＜1，</w:t>
            </w:r>
            <w:r>
              <w:rPr>
                <w:rFonts w:hint="default" w:ascii="Times New Roman" w:hAnsi="Times New Roman" w:cs="Times New Roman"/>
                <w:color w:val="auto"/>
              </w:rPr>
              <w:t>项目环境风险潜势为Ⅰ。</w:t>
            </w:r>
          </w:p>
          <w:p>
            <w:pPr>
              <w:ind w:firstLine="482"/>
              <w:jc w:val="center"/>
              <w:rPr>
                <w:rFonts w:hint="default" w:ascii="Times New Roman" w:hAnsi="Times New Roman" w:cs="Times New Roman"/>
                <w:b/>
                <w:color w:val="auto"/>
              </w:rPr>
            </w:pPr>
            <w:r>
              <w:rPr>
                <w:rFonts w:hint="default" w:ascii="Times New Roman" w:hAnsi="Times New Roman" w:cs="Times New Roman"/>
                <w:b/>
                <w:color w:val="auto"/>
              </w:rPr>
              <w:t>表4.3-2  项目危险物质情况及临界量比值</w:t>
            </w:r>
          </w:p>
          <w:tbl>
            <w:tblPr>
              <w:tblStyle w:val="1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4"/>
              <w:gridCol w:w="1886"/>
              <w:gridCol w:w="1054"/>
              <w:gridCol w:w="1714"/>
              <w:gridCol w:w="1302"/>
              <w:gridCol w:w="14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Align w:val="center"/>
                </w:tcPr>
                <w:p>
                  <w:pPr>
                    <w:pStyle w:val="23"/>
                    <w:rPr>
                      <w:rFonts w:hint="default" w:ascii="Times New Roman" w:hAnsi="Times New Roman" w:cs="Times New Roman"/>
                      <w:bCs/>
                      <w:color w:val="auto"/>
                    </w:rPr>
                  </w:pPr>
                  <w:r>
                    <w:rPr>
                      <w:rFonts w:hint="default" w:ascii="Times New Roman" w:hAnsi="Times New Roman" w:cs="Times New Roman"/>
                      <w:bCs/>
                      <w:color w:val="auto"/>
                    </w:rPr>
                    <w:t>序号</w:t>
                  </w:r>
                </w:p>
              </w:tc>
              <w:tc>
                <w:tcPr>
                  <w:tcW w:w="1175" w:type="pct"/>
                  <w:vAlign w:val="center"/>
                </w:tcPr>
                <w:p>
                  <w:pPr>
                    <w:pStyle w:val="23"/>
                    <w:rPr>
                      <w:rFonts w:hint="default" w:ascii="Times New Roman" w:hAnsi="Times New Roman" w:cs="Times New Roman"/>
                      <w:bCs/>
                      <w:color w:val="auto"/>
                    </w:rPr>
                  </w:pPr>
                  <w:r>
                    <w:rPr>
                      <w:rFonts w:hint="default" w:ascii="Times New Roman" w:hAnsi="Times New Roman" w:cs="Times New Roman"/>
                      <w:bCs/>
                      <w:color w:val="auto"/>
                    </w:rPr>
                    <w:t>危险物质名称</w:t>
                  </w:r>
                </w:p>
              </w:tc>
              <w:tc>
                <w:tcPr>
                  <w:tcW w:w="657" w:type="pct"/>
                  <w:vAlign w:val="center"/>
                </w:tcPr>
                <w:p>
                  <w:pPr>
                    <w:pStyle w:val="23"/>
                    <w:rPr>
                      <w:rFonts w:hint="default" w:ascii="Times New Roman" w:hAnsi="Times New Roman" w:cs="Times New Roman"/>
                      <w:bCs/>
                      <w:color w:val="auto"/>
                    </w:rPr>
                  </w:pPr>
                  <w:r>
                    <w:rPr>
                      <w:rFonts w:hint="default" w:ascii="Times New Roman" w:hAnsi="Times New Roman" w:cs="Times New Roman"/>
                      <w:bCs/>
                      <w:color w:val="auto"/>
                    </w:rPr>
                    <w:t>CAS号</w:t>
                  </w:r>
                </w:p>
              </w:tc>
              <w:tc>
                <w:tcPr>
                  <w:tcW w:w="1068" w:type="pct"/>
                  <w:vAlign w:val="center"/>
                </w:tcPr>
                <w:p>
                  <w:pPr>
                    <w:pStyle w:val="23"/>
                    <w:rPr>
                      <w:rFonts w:hint="default" w:ascii="Times New Roman" w:hAnsi="Times New Roman" w:cs="Times New Roman"/>
                      <w:bCs/>
                      <w:color w:val="auto"/>
                    </w:rPr>
                  </w:pPr>
                  <w:r>
                    <w:rPr>
                      <w:rFonts w:hint="default" w:ascii="Times New Roman" w:hAnsi="Times New Roman" w:cs="Times New Roman"/>
                      <w:bCs/>
                      <w:color w:val="auto"/>
                    </w:rPr>
                    <w:t>最大贮存量/</w:t>
                  </w:r>
                </w:p>
                <w:p>
                  <w:pPr>
                    <w:pStyle w:val="23"/>
                    <w:rPr>
                      <w:rFonts w:hint="default" w:ascii="Times New Roman" w:hAnsi="Times New Roman" w:cs="Times New Roman"/>
                      <w:bCs/>
                      <w:color w:val="auto"/>
                    </w:rPr>
                  </w:pPr>
                  <w:r>
                    <w:rPr>
                      <w:rFonts w:hint="default" w:ascii="Times New Roman" w:hAnsi="Times New Roman" w:cs="Times New Roman"/>
                      <w:bCs/>
                      <w:color w:val="auto"/>
                    </w:rPr>
                    <w:t>最大在线量（t）</w:t>
                  </w:r>
                </w:p>
              </w:tc>
              <w:tc>
                <w:tcPr>
                  <w:tcW w:w="811" w:type="pct"/>
                  <w:vAlign w:val="center"/>
                </w:tcPr>
                <w:p>
                  <w:pPr>
                    <w:pStyle w:val="23"/>
                    <w:rPr>
                      <w:rFonts w:hint="default" w:ascii="Times New Roman" w:hAnsi="Times New Roman" w:cs="Times New Roman"/>
                      <w:bCs/>
                      <w:color w:val="auto"/>
                    </w:rPr>
                  </w:pPr>
                  <w:r>
                    <w:rPr>
                      <w:rFonts w:hint="default" w:ascii="Times New Roman" w:hAnsi="Times New Roman" w:cs="Times New Roman"/>
                      <w:bCs/>
                      <w:color w:val="auto"/>
                    </w:rPr>
                    <w:t>临界量（t）</w:t>
                  </w:r>
                </w:p>
              </w:tc>
              <w:tc>
                <w:tcPr>
                  <w:tcW w:w="900" w:type="pct"/>
                  <w:vAlign w:val="center"/>
                </w:tcPr>
                <w:p>
                  <w:pPr>
                    <w:pStyle w:val="23"/>
                    <w:rPr>
                      <w:rFonts w:hint="default" w:ascii="Times New Roman" w:hAnsi="Times New Roman" w:cs="Times New Roman"/>
                      <w:bCs/>
                      <w:color w:val="auto"/>
                    </w:rPr>
                  </w:pPr>
                  <w:r>
                    <w:rPr>
                      <w:rFonts w:hint="default" w:ascii="Times New Roman" w:hAnsi="Times New Roman" w:cs="Times New Roman"/>
                      <w:bCs/>
                      <w:color w:val="auto"/>
                    </w:rPr>
                    <w:t>临界量比值Q</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89" w:type="pct"/>
                  <w:vAlign w:val="center"/>
                </w:tcPr>
                <w:p>
                  <w:pPr>
                    <w:pStyle w:val="23"/>
                    <w:rPr>
                      <w:rFonts w:hint="default" w:ascii="Times New Roman" w:hAnsi="Times New Roman" w:cs="Times New Roman"/>
                      <w:bCs/>
                      <w:color w:val="auto"/>
                    </w:rPr>
                  </w:pPr>
                  <w:r>
                    <w:rPr>
                      <w:rFonts w:hint="default" w:ascii="Times New Roman" w:hAnsi="Times New Roman" w:cs="Times New Roman"/>
                      <w:bCs/>
                      <w:color w:val="auto"/>
                    </w:rPr>
                    <w:t>1</w:t>
                  </w:r>
                </w:p>
              </w:tc>
              <w:tc>
                <w:tcPr>
                  <w:tcW w:w="1175" w:type="pct"/>
                  <w:vAlign w:val="center"/>
                </w:tcPr>
                <w:p>
                  <w:pPr>
                    <w:pStyle w:val="23"/>
                    <w:rPr>
                      <w:rFonts w:hint="default" w:ascii="Times New Roman" w:hAnsi="Times New Roman" w:cs="Times New Roman"/>
                      <w:bCs/>
                      <w:color w:val="auto"/>
                    </w:rPr>
                  </w:pPr>
                  <w:r>
                    <w:rPr>
                      <w:rFonts w:hint="default" w:ascii="Times New Roman" w:hAnsi="Times New Roman" w:cs="Times New Roman"/>
                      <w:bCs/>
                      <w:color w:val="auto"/>
                    </w:rPr>
                    <w:t>天然气（以甲烷计）</w:t>
                  </w:r>
                </w:p>
              </w:tc>
              <w:tc>
                <w:tcPr>
                  <w:tcW w:w="657" w:type="pct"/>
                  <w:vAlign w:val="center"/>
                </w:tcPr>
                <w:p>
                  <w:pPr>
                    <w:pStyle w:val="23"/>
                    <w:rPr>
                      <w:rFonts w:hint="default" w:ascii="Times New Roman" w:hAnsi="Times New Roman" w:cs="Times New Roman"/>
                      <w:bCs/>
                      <w:color w:val="auto"/>
                    </w:rPr>
                  </w:pPr>
                  <w:r>
                    <w:rPr>
                      <w:rFonts w:hint="default" w:ascii="Times New Roman" w:hAnsi="Times New Roman" w:cs="Times New Roman"/>
                      <w:bCs/>
                      <w:color w:val="auto"/>
                    </w:rPr>
                    <w:t>74-82-8</w:t>
                  </w:r>
                </w:p>
              </w:tc>
              <w:tc>
                <w:tcPr>
                  <w:tcW w:w="1068" w:type="pct"/>
                  <w:vAlign w:val="center"/>
                </w:tcPr>
                <w:p>
                  <w:pPr>
                    <w:pStyle w:val="23"/>
                    <w:rPr>
                      <w:rFonts w:hint="default" w:ascii="Times New Roman" w:hAnsi="Times New Roman" w:cs="Times New Roman"/>
                      <w:bCs/>
                      <w:color w:val="auto"/>
                    </w:rPr>
                  </w:pPr>
                  <w:r>
                    <w:rPr>
                      <w:rFonts w:hint="default" w:ascii="Times New Roman" w:hAnsi="Times New Roman" w:cs="Times New Roman"/>
                      <w:bCs/>
                      <w:color w:val="auto"/>
                    </w:rPr>
                    <w:t>0.001</w:t>
                  </w:r>
                </w:p>
              </w:tc>
              <w:tc>
                <w:tcPr>
                  <w:tcW w:w="811" w:type="pct"/>
                  <w:vAlign w:val="center"/>
                </w:tcPr>
                <w:p>
                  <w:pPr>
                    <w:pStyle w:val="23"/>
                    <w:rPr>
                      <w:rFonts w:hint="default" w:ascii="Times New Roman" w:hAnsi="Times New Roman" w:cs="Times New Roman"/>
                      <w:bCs/>
                      <w:color w:val="auto"/>
                    </w:rPr>
                  </w:pPr>
                  <w:r>
                    <w:rPr>
                      <w:rFonts w:hint="default" w:ascii="Times New Roman" w:hAnsi="Times New Roman" w:cs="Times New Roman"/>
                      <w:bCs/>
                      <w:color w:val="auto"/>
                    </w:rPr>
                    <w:t>10</w:t>
                  </w:r>
                </w:p>
              </w:tc>
              <w:tc>
                <w:tcPr>
                  <w:tcW w:w="900" w:type="pct"/>
                  <w:vAlign w:val="center"/>
                </w:tcPr>
                <w:p>
                  <w:pPr>
                    <w:pStyle w:val="23"/>
                    <w:rPr>
                      <w:rFonts w:hint="default" w:ascii="Times New Roman" w:hAnsi="Times New Roman" w:cs="Times New Roman"/>
                      <w:bCs/>
                      <w:color w:val="auto"/>
                    </w:rPr>
                  </w:pPr>
                  <w:r>
                    <w:rPr>
                      <w:rFonts w:hint="default" w:ascii="Times New Roman" w:hAnsi="Times New Roman" w:cs="Times New Roman"/>
                      <w:bCs/>
                      <w:color w:val="auto"/>
                    </w:rPr>
                    <w:t>0.0001</w:t>
                  </w:r>
                </w:p>
              </w:tc>
            </w:tr>
          </w:tbl>
          <w:p>
            <w:pPr>
              <w:pBdr>
                <w:top w:val="none" w:color="auto" w:sz="0" w:space="1"/>
                <w:left w:val="none" w:color="auto" w:sz="0" w:space="4"/>
                <w:bottom w:val="none" w:color="auto" w:sz="0" w:space="1"/>
                <w:right w:val="none" w:color="auto" w:sz="0" w:space="4"/>
              </w:pBdr>
              <w:ind w:firstLine="0" w:firstLineChars="0"/>
              <w:rPr>
                <w:rFonts w:hint="default" w:ascii="Times New Roman" w:hAnsi="Times New Roman" w:cs="Times New Roman"/>
                <w:color w:val="auto"/>
                <w:sz w:val="21"/>
              </w:rPr>
            </w:pPr>
            <w:r>
              <w:rPr>
                <w:rFonts w:hint="default" w:ascii="Times New Roman" w:hAnsi="Times New Roman" w:cs="Times New Roman"/>
                <w:color w:val="auto"/>
                <w:sz w:val="21"/>
              </w:rPr>
              <w:t>注：项目使用的天然气由市政天然气管网提供，厂区内不设天然气储存区，厂区内天然气管道在线量约为0.001t。</w:t>
            </w:r>
          </w:p>
          <w:p>
            <w:pPr>
              <w:pBdr>
                <w:top w:val="none" w:color="auto" w:sz="0" w:space="1"/>
                <w:left w:val="none" w:color="auto" w:sz="0" w:space="4"/>
                <w:bottom w:val="none" w:color="auto" w:sz="0" w:space="1"/>
                <w:right w:val="none" w:color="auto" w:sz="0" w:space="4"/>
              </w:pBdr>
              <w:ind w:firstLine="0" w:firstLineChars="0"/>
              <w:outlineLvl w:val="2"/>
              <w:rPr>
                <w:rFonts w:hint="default" w:ascii="Times New Roman" w:hAnsi="Times New Roman" w:cs="Times New Roman"/>
                <w:b/>
                <w:color w:val="auto"/>
                <w:sz w:val="30"/>
                <w:szCs w:val="30"/>
              </w:rPr>
            </w:pPr>
            <w:r>
              <w:rPr>
                <w:rFonts w:hint="default" w:ascii="Times New Roman" w:hAnsi="Times New Roman" w:cs="Times New Roman"/>
                <w:b/>
                <w:color w:val="auto"/>
                <w:sz w:val="30"/>
                <w:szCs w:val="30"/>
              </w:rPr>
              <w:t>4.3.3风险源分布情况</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根据本项目生产工艺特点，本项目存在的主要环境风险单元为天然气管道、锅炉房。天然气管道和锅炉房会存在一定的环境风险。</w:t>
            </w:r>
          </w:p>
          <w:p>
            <w:pPr>
              <w:pBdr>
                <w:top w:val="none" w:color="auto" w:sz="0" w:space="1"/>
                <w:left w:val="none" w:color="auto" w:sz="0" w:space="4"/>
                <w:bottom w:val="none" w:color="auto" w:sz="0" w:space="1"/>
                <w:right w:val="none" w:color="auto" w:sz="0" w:space="4"/>
              </w:pBdr>
              <w:ind w:firstLine="0" w:firstLineChars="0"/>
              <w:outlineLvl w:val="2"/>
              <w:rPr>
                <w:rFonts w:hint="default" w:ascii="Times New Roman" w:hAnsi="Times New Roman" w:cs="Times New Roman"/>
                <w:b/>
                <w:color w:val="auto"/>
                <w:sz w:val="30"/>
                <w:szCs w:val="30"/>
              </w:rPr>
            </w:pPr>
            <w:r>
              <w:rPr>
                <w:rFonts w:hint="default" w:ascii="Times New Roman" w:hAnsi="Times New Roman" w:cs="Times New Roman"/>
                <w:b/>
                <w:color w:val="auto"/>
                <w:sz w:val="30"/>
                <w:szCs w:val="30"/>
              </w:rPr>
              <w:t>4.3.4环境风险分析</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天然气泄漏事故：根据建设方提供资料，本项目天然气管道设有切断阀门，在管线发生泄漏后，可及时关闭阀门，在最短的时间内切断气源，防止大量天然气外泄，事故响应时间约为1分钟，天然气泄漏时间最多为5分钟，天然气为清洁气体，对周边大气环境影响不大。</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火灾爆炸事故次生伴生影响:天然气为易燃气体，与空气能形成爆炸性混合物，容易发生火灾爆炸。除爆炸冲击波和热辐射伤害之外，火灾和爆炸过程中天然气燃烧后主要产生水、CO、CO</w:t>
            </w:r>
            <w:r>
              <w:rPr>
                <w:rFonts w:hint="default" w:ascii="Times New Roman" w:hAnsi="Times New Roman" w:cs="Times New Roman"/>
                <w:color w:val="auto"/>
                <w:vertAlign w:val="subscript"/>
              </w:rPr>
              <w:t>2</w:t>
            </w:r>
            <w:r>
              <w:rPr>
                <w:rFonts w:hint="default" w:ascii="Times New Roman" w:hAnsi="Times New Roman" w:cs="Times New Roman"/>
                <w:color w:val="auto"/>
              </w:rPr>
              <w:t>、SO</w:t>
            </w:r>
            <w:r>
              <w:rPr>
                <w:rFonts w:hint="default" w:ascii="Times New Roman" w:hAnsi="Times New Roman" w:cs="Times New Roman"/>
                <w:color w:val="auto"/>
                <w:vertAlign w:val="subscript"/>
              </w:rPr>
              <w:t>2</w:t>
            </w:r>
            <w:r>
              <w:rPr>
                <w:rFonts w:hint="default" w:ascii="Times New Roman" w:hAnsi="Times New Roman" w:cs="Times New Roman"/>
                <w:color w:val="auto"/>
              </w:rPr>
              <w:t>等物质，短时间内会对周边大气环境造成影响。管道天然气起火，应切断气源，用泡沫、干粉、二氧化碳等进行灭火。</w:t>
            </w:r>
          </w:p>
          <w:p>
            <w:pPr>
              <w:pBdr>
                <w:top w:val="none" w:color="auto" w:sz="0" w:space="1"/>
                <w:left w:val="none" w:color="auto" w:sz="0" w:space="4"/>
                <w:bottom w:val="none" w:color="auto" w:sz="0" w:space="1"/>
                <w:right w:val="none" w:color="auto" w:sz="0" w:space="4"/>
              </w:pBdr>
              <w:ind w:firstLine="0" w:firstLineChars="0"/>
              <w:outlineLvl w:val="2"/>
              <w:rPr>
                <w:rFonts w:hint="default" w:ascii="Times New Roman" w:hAnsi="Times New Roman" w:cs="Times New Roman"/>
                <w:b/>
                <w:color w:val="auto"/>
                <w:sz w:val="30"/>
                <w:szCs w:val="30"/>
              </w:rPr>
            </w:pPr>
            <w:r>
              <w:rPr>
                <w:rFonts w:hint="default" w:ascii="Times New Roman" w:hAnsi="Times New Roman" w:cs="Times New Roman"/>
                <w:b/>
                <w:color w:val="auto"/>
                <w:sz w:val="30"/>
                <w:szCs w:val="30"/>
              </w:rPr>
              <w:t>4.3.5环境风险防范措施和事故应急措施</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（1）环境风险防范措施</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为保障安全，减少事故的发生，并降低事故对环境的影响，建设单位应根据有关法规及管理要求，建立系统完善的事故风险防范与应急措施的计划和实施。在项目建设过程中采取的事故防范与应急措施具体如下：</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大气：</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①企业应加强设备管理维护，严防天然气泄漏的发生，定期对天然气管线检查，及时发现破损和漏处，及时处理，设置天然气气体浓度报警装置及其他安全措施；</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②移动式灭火设备，按照、GB50140-2005《建筑灭火器配置设计规范》，锅炉房和厂房内配置一定数量不同类型、不同规格的移动式灭火器材，以便及时扑救初始零星火灾；</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③锅炉房内应设置可燃气体报警系统，房内照明灯具及其它电器设备均要求采用防爆型设备；</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④张贴有安全事故告知标识、区域安全提示牌、“禁止烟火”等制度及标识；</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⑤设置事故状态下人员疏散通道，并进行张贴；</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⑥根据《中华人民共和国安全生产法》、《安全生产许可条例》等法律法规要求，履行安全评价相关手续。</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（2）根据项目特性,对发生环境风险事故的应急措施如下：</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①调压装置设计采用在线并联监控、调压器自投的切换方式，一旦因故障至使调压器失效，调压器后压力会迅速升高，该路切断阀立刻自动关闭，当备用调压器检测到压力骤升信号后，自动进入运行状态。同时控制室发出声光报警信号，通知操作人员去现场分析检查事故原因以备维修更换；</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②燃气管道与锅炉的连接处以及燃气调压柜附近设置可燃气体浓度报警器，一旦检测到泄漏的天然气后，立刻发出声光报警信号，通知操作人员去现场排除事故隐患，同时系统自动启动事故排风设施，将泄露的天然气迅速排至室外，确保锅炉的安全运行；</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③一旦发生天然气泄漏事故，应迅速撤离污染区人员至安全区，并进行隔离，周围设警告标志，严格限制出入；</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④当发生火灾及燃爆事故时，现场人员或其他人员应该立刻拨打火警电话119并立即通知有关人员停止作业，尽快切断所有电源，组织人员和其他易燃物品的疏散，并利用就近的消防器材将火苗扑灭。当火灾进入发展阶段、猛烈阶段，应由消防队来组织灭火，现场人员在确保安全的情况下不可逃离现场，应和消防人员配合，做好灭火工作。</w:t>
            </w:r>
          </w:p>
          <w:p>
            <w:pPr>
              <w:pBdr>
                <w:top w:val="none" w:color="auto" w:sz="0" w:space="1"/>
                <w:left w:val="none" w:color="auto" w:sz="0" w:space="4"/>
                <w:bottom w:val="none" w:color="auto" w:sz="0" w:space="1"/>
                <w:right w:val="none" w:color="auto" w:sz="0" w:space="4"/>
              </w:pBdr>
              <w:ind w:firstLine="0" w:firstLineChars="0"/>
              <w:outlineLvl w:val="2"/>
              <w:rPr>
                <w:rFonts w:hint="default" w:ascii="Times New Roman" w:hAnsi="Times New Roman" w:cs="Times New Roman"/>
                <w:b/>
                <w:color w:val="auto"/>
                <w:sz w:val="30"/>
                <w:szCs w:val="30"/>
              </w:rPr>
            </w:pPr>
            <w:r>
              <w:rPr>
                <w:rFonts w:hint="default" w:ascii="Times New Roman" w:hAnsi="Times New Roman" w:cs="Times New Roman"/>
                <w:b/>
                <w:color w:val="auto"/>
                <w:sz w:val="30"/>
                <w:szCs w:val="30"/>
              </w:rPr>
              <w:t>4.3.6分析结论</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本评价对本项目的环境风险提出相应的应急措施及计划，为建设单位提供参考，建设单位应根据生产中的实际情况认真落实，在采取有效的防范措施、制定相应的应急防范措施的前提下，建设单位可将事故风险的影响减至最小，本项目环境风险可防控。</w:t>
            </w:r>
          </w:p>
          <w:p>
            <w:pPr>
              <w:pStyle w:val="4"/>
              <w:pBdr>
                <w:top w:val="none" w:color="auto" w:sz="0" w:space="1"/>
                <w:left w:val="none" w:color="auto" w:sz="0" w:space="4"/>
                <w:bottom w:val="none" w:color="auto" w:sz="0" w:space="1"/>
                <w:right w:val="none" w:color="auto" w:sz="0" w:space="4"/>
              </w:pBdr>
              <w:ind w:left="0" w:firstLine="0"/>
              <w:rPr>
                <w:rFonts w:hint="default" w:ascii="Times New Roman" w:hAnsi="Times New Roman" w:cs="Times New Roman"/>
                <w:color w:val="auto"/>
              </w:rPr>
            </w:pPr>
            <w:r>
              <w:rPr>
                <w:rFonts w:hint="default" w:ascii="Times New Roman" w:hAnsi="Times New Roman" w:cs="Times New Roman"/>
                <w:color w:val="auto"/>
              </w:rPr>
              <w:t>地下水、土壤环境影响和保护措施</w:t>
            </w:r>
          </w:p>
          <w:p>
            <w:pPr>
              <w:pBdr>
                <w:top w:val="none" w:color="auto" w:sz="0" w:space="1"/>
                <w:left w:val="none" w:color="auto" w:sz="0" w:space="4"/>
                <w:bottom w:val="none" w:color="auto" w:sz="0" w:space="1"/>
                <w:right w:val="none" w:color="auto" w:sz="0" w:space="4"/>
              </w:pBdr>
              <w:ind w:firstLine="0" w:firstLineChars="0"/>
              <w:outlineLvl w:val="2"/>
              <w:rPr>
                <w:rFonts w:hint="default" w:ascii="Times New Roman" w:hAnsi="Times New Roman" w:cs="Times New Roman"/>
                <w:b/>
                <w:color w:val="auto"/>
                <w:sz w:val="30"/>
                <w:szCs w:val="30"/>
              </w:rPr>
            </w:pPr>
            <w:r>
              <w:rPr>
                <w:rFonts w:hint="default" w:ascii="Times New Roman" w:hAnsi="Times New Roman" w:cs="Times New Roman"/>
                <w:b/>
                <w:color w:val="auto"/>
                <w:sz w:val="30"/>
                <w:szCs w:val="30"/>
              </w:rPr>
              <w:t>4.4.1地下水、土壤环境影响分析</w:t>
            </w:r>
          </w:p>
          <w:p>
            <w:pPr>
              <w:ind w:firstLine="480"/>
              <w:rPr>
                <w:rFonts w:hint="default" w:ascii="Times New Roman" w:hAnsi="Times New Roman" w:cs="Times New Roman"/>
                <w:color w:val="auto"/>
              </w:rPr>
            </w:pPr>
            <w:r>
              <w:rPr>
                <w:rFonts w:hint="default" w:ascii="Times New Roman" w:hAnsi="Times New Roman" w:cs="Times New Roman"/>
                <w:color w:val="auto"/>
              </w:rPr>
              <w:t>（1）地下水环境</w:t>
            </w:r>
          </w:p>
          <w:p>
            <w:pPr>
              <w:ind w:firstLine="480"/>
              <w:rPr>
                <w:rFonts w:hint="default" w:ascii="Times New Roman" w:hAnsi="Times New Roman" w:cs="Times New Roman"/>
                <w:color w:val="auto"/>
              </w:rPr>
            </w:pPr>
            <w:r>
              <w:rPr>
                <w:rFonts w:hint="default" w:ascii="Times New Roman" w:hAnsi="Times New Roman" w:cs="Times New Roman"/>
                <w:color w:val="auto"/>
              </w:rPr>
              <w:t>根据《环境影响评价技术导则 地下水环境》(HJ610-2016)“地下水环境影响评价行业分类表”，本项目地下水环境影响评价类别为Ⅳ类，不进行评价工作等级的划分，本评价不再对地下水环境影响进行评价。</w:t>
            </w:r>
          </w:p>
          <w:p>
            <w:pPr>
              <w:ind w:firstLine="480"/>
              <w:rPr>
                <w:rFonts w:hint="default" w:ascii="Times New Roman" w:hAnsi="Times New Roman" w:cs="Times New Roman"/>
                <w:color w:val="auto"/>
              </w:rPr>
            </w:pPr>
            <w:r>
              <w:rPr>
                <w:rFonts w:hint="default" w:ascii="Times New Roman" w:hAnsi="Times New Roman" w:cs="Times New Roman"/>
                <w:color w:val="auto"/>
              </w:rPr>
              <w:t>（2）土壤环境</w:t>
            </w:r>
          </w:p>
          <w:p>
            <w:pPr>
              <w:ind w:firstLine="480"/>
              <w:rPr>
                <w:rFonts w:hint="default" w:ascii="Times New Roman" w:hAnsi="Times New Roman" w:cs="Times New Roman"/>
                <w:bCs/>
                <w:color w:val="auto"/>
              </w:rPr>
            </w:pPr>
            <w:r>
              <w:rPr>
                <w:rFonts w:hint="default" w:ascii="Times New Roman" w:hAnsi="Times New Roman" w:cs="Times New Roman"/>
                <w:bCs/>
                <w:color w:val="auto"/>
              </w:rPr>
              <w:t>根据《中华人民共和国土壤污染防治法》（2018.8.31）第十八条的规定，“各类涉及土地利用的规划和可能造成土壤污染的建设项目，应当依法进行环境影响评价”。根据《环境影响评价技术导则  土壤环境（试行）》（HJ964-2018）中的评价工作等级的判定依据。</w:t>
            </w:r>
          </w:p>
          <w:p>
            <w:pPr>
              <w:ind w:firstLine="480"/>
              <w:rPr>
                <w:rFonts w:hint="default" w:ascii="Times New Roman" w:hAnsi="Times New Roman" w:cs="Times New Roman"/>
                <w:bCs/>
                <w:color w:val="auto"/>
              </w:rPr>
            </w:pPr>
            <w:r>
              <w:rPr>
                <w:rFonts w:hint="default" w:ascii="Times New Roman" w:hAnsi="Times New Roman" w:cs="Times New Roman"/>
                <w:bCs/>
                <w:color w:val="auto"/>
              </w:rPr>
              <w:t>根据《环境影响评价技术导则  土壤环境（试行）》（HJ964-2018）表3污染影响型项目分级表，本项目利用已有的锅炉房进行改建，对土壤的污染较轻，本项目属于不敏感类型，对照导则中附录A 土壤环境影响评价项目类别，项目类别为Ⅱ类，占地面积为60m</w:t>
            </w:r>
            <w:r>
              <w:rPr>
                <w:rFonts w:hint="default" w:ascii="Times New Roman" w:hAnsi="Times New Roman" w:cs="Times New Roman"/>
                <w:bCs/>
                <w:color w:val="auto"/>
                <w:vertAlign w:val="superscript"/>
              </w:rPr>
              <w:t>2</w:t>
            </w:r>
            <w:r>
              <w:rPr>
                <w:rFonts w:hint="default" w:ascii="Times New Roman" w:hAnsi="Times New Roman" w:cs="Times New Roman"/>
                <w:bCs/>
                <w:color w:val="auto"/>
              </w:rPr>
              <w:t>，属于小型（≤5hm</w:t>
            </w:r>
            <w:r>
              <w:rPr>
                <w:rFonts w:hint="default" w:ascii="Times New Roman" w:hAnsi="Times New Roman" w:cs="Times New Roman"/>
                <w:bCs/>
                <w:color w:val="auto"/>
                <w:vertAlign w:val="superscript"/>
              </w:rPr>
              <w:t>2</w:t>
            </w:r>
            <w:r>
              <w:rPr>
                <w:rFonts w:hint="default" w:ascii="Times New Roman" w:hAnsi="Times New Roman" w:cs="Times New Roman"/>
                <w:bCs/>
                <w:color w:val="auto"/>
              </w:rPr>
              <w:t>）。</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bCs/>
                <w:color w:val="auto"/>
              </w:rPr>
            </w:pPr>
            <w:r>
              <w:rPr>
                <w:rFonts w:hint="default" w:ascii="Times New Roman" w:hAnsi="Times New Roman" w:cs="Times New Roman"/>
                <w:bCs/>
                <w:color w:val="auto"/>
              </w:rPr>
              <w:t>综上所述，根据《环境影响评价技术导则  土壤环境（试行）》（HJ964-2018）表4中污染影响型评价工作等级划分表，本项目土壤评价等级为三级。本项目地面硬化，无生产废水产生，</w:t>
            </w:r>
            <w:r>
              <w:rPr>
                <w:rFonts w:hint="default" w:ascii="Times New Roman" w:hAnsi="Times New Roman" w:cs="Times New Roman"/>
                <w:color w:val="auto"/>
              </w:rPr>
              <w:t>不存在污染物地面漫流、垂直入渗问题；本项目天然气为清洁能源，燃烧废气经8m烟囱高空达标排放，因此本项目可不考虑大气沉降，不涉及地面漫流影响及入渗途径影响，项目对土壤环境的影响无源无途径，因此本项目对厂区及周边土壤的环境影响很小</w:t>
            </w:r>
            <w:r>
              <w:rPr>
                <w:rFonts w:hint="default" w:ascii="Times New Roman" w:hAnsi="Times New Roman" w:cs="Times New Roman"/>
                <w:bCs/>
                <w:color w:val="auto"/>
              </w:rPr>
              <w:t>。</w:t>
            </w:r>
          </w:p>
          <w:p>
            <w:pPr>
              <w:pBdr>
                <w:top w:val="none" w:color="auto" w:sz="0" w:space="1"/>
                <w:left w:val="none" w:color="auto" w:sz="0" w:space="4"/>
                <w:bottom w:val="none" w:color="auto" w:sz="0" w:space="1"/>
                <w:right w:val="none" w:color="auto" w:sz="0" w:space="4"/>
              </w:pBdr>
              <w:ind w:firstLine="0" w:firstLineChars="0"/>
              <w:outlineLvl w:val="2"/>
              <w:rPr>
                <w:rFonts w:hint="default" w:ascii="Times New Roman" w:hAnsi="Times New Roman" w:cs="Times New Roman"/>
                <w:b/>
                <w:color w:val="auto"/>
                <w:sz w:val="30"/>
                <w:szCs w:val="30"/>
              </w:rPr>
            </w:pPr>
            <w:r>
              <w:rPr>
                <w:rFonts w:hint="default" w:ascii="Times New Roman" w:hAnsi="Times New Roman" w:cs="Times New Roman"/>
                <w:b/>
                <w:color w:val="auto"/>
                <w:sz w:val="30"/>
                <w:szCs w:val="30"/>
              </w:rPr>
              <w:t>4.4.2土壤环境防控措施</w:t>
            </w:r>
          </w:p>
          <w:p>
            <w:pPr>
              <w:ind w:firstLine="480"/>
              <w:rPr>
                <w:rFonts w:hint="default" w:ascii="Times New Roman" w:hAnsi="Times New Roman" w:cs="Times New Roman"/>
                <w:color w:val="auto"/>
              </w:rPr>
            </w:pPr>
            <w:r>
              <w:rPr>
                <w:rFonts w:hint="default" w:ascii="Times New Roman" w:hAnsi="Times New Roman" w:cs="Times New Roman"/>
                <w:color w:val="auto"/>
              </w:rPr>
              <w:t>根据</w:t>
            </w:r>
            <w:r>
              <w:rPr>
                <w:rFonts w:hint="default" w:ascii="Times New Roman" w:hAnsi="Times New Roman" w:cs="Times New Roman"/>
                <w:bCs/>
                <w:color w:val="auto"/>
              </w:rPr>
              <w:t>《环境影响评价技术导则－土壤环境（试行）》（HJ964-2018）</w:t>
            </w:r>
            <w:r>
              <w:rPr>
                <w:rFonts w:hint="default" w:ascii="Times New Roman" w:hAnsi="Times New Roman" w:cs="Times New Roman"/>
                <w:color w:val="auto"/>
              </w:rPr>
              <w:t>，污染影响类项目，涉及大气沉降影响的，占地范围内应采取绿化措施，以种植具有较强吸附能力的植物为主；涉及地面漫流影响，应根据建设项目所在地的地形特点优化地面布局，必要时设置地面硬化、围堰或围墙，以防止土壤环境污染；涉及入渗途径影响的，应根据相关标准规范要求，对设备设施采取相应的防渗措施，以防止土壤环境污染。本项目地面均已硬化，建议建设单位加强对设备的规范管理。</w:t>
            </w:r>
          </w:p>
          <w:p>
            <w:pPr>
              <w:pBdr>
                <w:top w:val="none" w:color="auto" w:sz="0" w:space="1"/>
                <w:left w:val="none" w:color="auto" w:sz="0" w:space="4"/>
                <w:bottom w:val="none" w:color="auto" w:sz="0" w:space="1"/>
                <w:right w:val="none" w:color="auto" w:sz="0" w:space="4"/>
              </w:pBdr>
              <w:ind w:firstLine="0" w:firstLineChars="0"/>
              <w:outlineLvl w:val="2"/>
              <w:rPr>
                <w:rFonts w:hint="default" w:ascii="Times New Roman" w:hAnsi="Times New Roman" w:cs="Times New Roman"/>
                <w:b/>
                <w:color w:val="auto"/>
                <w:sz w:val="30"/>
                <w:szCs w:val="30"/>
              </w:rPr>
            </w:pPr>
            <w:r>
              <w:rPr>
                <w:rFonts w:hint="default" w:ascii="Times New Roman" w:hAnsi="Times New Roman" w:cs="Times New Roman"/>
                <w:b/>
                <w:color w:val="auto"/>
                <w:sz w:val="30"/>
                <w:szCs w:val="30"/>
              </w:rPr>
              <w:t>4.4.3跟踪监测要求</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本项目选址于闽侯经济技术开发区南中路9号福建众安药业有限公司已有锅炉房内，周边以工业企业为主，项目周边地面均已硬化，土壤环境相对不敏感，采取有效的防渗措施后，项目对土壤环境影响很小，本评价不对项目土壤环境进行跟踪监测。</w:t>
            </w:r>
          </w:p>
          <w:p>
            <w:pPr>
              <w:pStyle w:val="4"/>
              <w:keepNext/>
              <w:keepLines/>
              <w:pageBreakBefore w:val="0"/>
              <w:widowControl w:val="0"/>
              <w:pBdr>
                <w:top w:val="none" w:color="auto" w:sz="0" w:space="1"/>
                <w:left w:val="none" w:color="auto" w:sz="0" w:space="4"/>
                <w:bottom w:val="none" w:color="auto" w:sz="0" w:space="1"/>
                <w:right w:val="none" w:color="auto" w:sz="0" w:space="4"/>
              </w:pBdr>
              <w:kinsoku/>
              <w:wordWrap/>
              <w:overflowPunct/>
              <w:topLinePunct w:val="0"/>
              <w:autoSpaceDE/>
              <w:autoSpaceDN/>
              <w:bidi w:val="0"/>
              <w:adjustRightInd w:val="0"/>
              <w:snapToGrid w:val="0"/>
              <w:spacing w:before="0" w:after="0"/>
              <w:ind w:left="0" w:firstLine="0"/>
              <w:textAlignment w:val="auto"/>
              <w:rPr>
                <w:rFonts w:hint="default" w:ascii="Times New Roman" w:hAnsi="Times New Roman" w:cs="Times New Roman"/>
                <w:color w:val="auto"/>
              </w:rPr>
            </w:pPr>
            <w:r>
              <w:rPr>
                <w:rFonts w:hint="default" w:ascii="Times New Roman" w:hAnsi="Times New Roman" w:cs="Times New Roman"/>
                <w:color w:val="auto"/>
              </w:rPr>
              <w:t>自行监测计划</w:t>
            </w:r>
          </w:p>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r>
              <w:rPr>
                <w:rFonts w:hint="default" w:ascii="Times New Roman" w:hAnsi="Times New Roman" w:cs="Times New Roman"/>
                <w:color w:val="auto"/>
              </w:rPr>
              <w:t>本项目已于2021年6月申领排污许可证（编码：91350000058400146Y001U），本次拟改建锅炉根据《排污单位自行监测技术指南—火力发电及锅炉》（HJ 820-2017），制定相应的自行监测计划，具体见表4.5-1。</w:t>
            </w:r>
          </w:p>
          <w:p>
            <w:pPr>
              <w:pBdr>
                <w:top w:val="none" w:color="auto" w:sz="0" w:space="1"/>
                <w:left w:val="none" w:color="auto" w:sz="0" w:space="4"/>
                <w:bottom w:val="none" w:color="auto" w:sz="0" w:space="1"/>
                <w:right w:val="none" w:color="auto" w:sz="0" w:space="4"/>
              </w:pBdr>
              <w:spacing w:line="240" w:lineRule="auto"/>
              <w:ind w:firstLine="482"/>
              <w:jc w:val="center"/>
              <w:rPr>
                <w:rFonts w:hint="default" w:ascii="Times New Roman" w:hAnsi="Times New Roman" w:cs="Times New Roman"/>
                <w:b/>
                <w:color w:val="auto"/>
              </w:rPr>
            </w:pPr>
            <w:r>
              <w:rPr>
                <w:rFonts w:hint="default" w:ascii="Times New Roman" w:hAnsi="Times New Roman" w:cs="Times New Roman"/>
                <w:b/>
                <w:color w:val="auto"/>
              </w:rPr>
              <w:t>表4.5-1  本项目环境监测计划监测内容一览表</w:t>
            </w:r>
          </w:p>
          <w:tbl>
            <w:tblPr>
              <w:tblStyle w:val="14"/>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630"/>
              <w:gridCol w:w="1012"/>
              <w:gridCol w:w="3398"/>
              <w:gridCol w:w="1275"/>
              <w:gridCol w:w="1720"/>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631" w:type="dxa"/>
                  <w:vMerge w:val="restart"/>
                  <w:tcBorders>
                    <w:top w:val="single" w:color="000000" w:sz="12" w:space="0"/>
                    <w:left w:val="nil"/>
                    <w:right w:val="single" w:color="000000" w:sz="4" w:space="0"/>
                    <w:tl2br w:val="nil"/>
                    <w:tr2bl w:val="nil"/>
                  </w:tcBorders>
                  <w:vAlign w:val="center"/>
                </w:tcPr>
                <w:p>
                  <w:pPr>
                    <w:pStyle w:val="23"/>
                    <w:rPr>
                      <w:rFonts w:hint="default" w:ascii="Times New Roman" w:hAnsi="Times New Roman" w:cs="Times New Roman"/>
                      <w:color w:val="auto"/>
                    </w:rPr>
                  </w:pPr>
                  <w:r>
                    <w:rPr>
                      <w:rFonts w:hint="default" w:ascii="Times New Roman" w:hAnsi="Times New Roman" w:cs="Times New Roman"/>
                      <w:color w:val="auto"/>
                    </w:rPr>
                    <w:t>自行监测</w:t>
                  </w:r>
                </w:p>
              </w:tc>
              <w:tc>
                <w:tcPr>
                  <w:tcW w:w="1013"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23"/>
                    <w:rPr>
                      <w:rFonts w:hint="default" w:ascii="Times New Roman" w:hAnsi="Times New Roman" w:cs="Times New Roman"/>
                      <w:color w:val="auto"/>
                    </w:rPr>
                  </w:pPr>
                  <w:r>
                    <w:rPr>
                      <w:rFonts w:hint="default" w:ascii="Times New Roman" w:hAnsi="Times New Roman" w:cs="Times New Roman"/>
                      <w:color w:val="auto"/>
                    </w:rPr>
                    <w:t>项目</w:t>
                  </w:r>
                </w:p>
              </w:tc>
              <w:tc>
                <w:tcPr>
                  <w:tcW w:w="3402"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23"/>
                    <w:rPr>
                      <w:rFonts w:hint="default" w:ascii="Times New Roman" w:hAnsi="Times New Roman" w:cs="Times New Roman"/>
                      <w:color w:val="auto"/>
                    </w:rPr>
                  </w:pPr>
                  <w:r>
                    <w:rPr>
                      <w:rFonts w:hint="default" w:ascii="Times New Roman" w:hAnsi="Times New Roman" w:cs="Times New Roman"/>
                      <w:color w:val="auto"/>
                    </w:rPr>
                    <w:t>监测内容</w:t>
                  </w:r>
                </w:p>
              </w:tc>
              <w:tc>
                <w:tcPr>
                  <w:tcW w:w="1276" w:type="dxa"/>
                  <w:tcBorders>
                    <w:top w:val="single" w:color="000000" w:sz="12" w:space="0"/>
                    <w:left w:val="single" w:color="000000" w:sz="4" w:space="0"/>
                    <w:bottom w:val="single" w:color="000000" w:sz="4" w:space="0"/>
                    <w:right w:val="single" w:color="000000" w:sz="4" w:space="0"/>
                    <w:tl2br w:val="nil"/>
                    <w:tr2bl w:val="nil"/>
                  </w:tcBorders>
                  <w:vAlign w:val="center"/>
                </w:tcPr>
                <w:p>
                  <w:pPr>
                    <w:pStyle w:val="23"/>
                    <w:rPr>
                      <w:rFonts w:hint="default" w:ascii="Times New Roman" w:hAnsi="Times New Roman" w:cs="Times New Roman"/>
                      <w:color w:val="auto"/>
                    </w:rPr>
                  </w:pPr>
                  <w:r>
                    <w:rPr>
                      <w:rFonts w:hint="default" w:ascii="Times New Roman" w:hAnsi="Times New Roman" w:cs="Times New Roman"/>
                      <w:color w:val="auto"/>
                    </w:rPr>
                    <w:t>监测频次</w:t>
                  </w:r>
                </w:p>
              </w:tc>
              <w:tc>
                <w:tcPr>
                  <w:tcW w:w="1722" w:type="dxa"/>
                  <w:tcBorders>
                    <w:top w:val="single" w:color="000000" w:sz="12" w:space="0"/>
                    <w:left w:val="single" w:color="000000" w:sz="4" w:space="0"/>
                    <w:bottom w:val="single" w:color="000000" w:sz="4" w:space="0"/>
                    <w:right w:val="nil"/>
                    <w:tl2br w:val="nil"/>
                    <w:tr2bl w:val="nil"/>
                  </w:tcBorders>
                  <w:vAlign w:val="center"/>
                </w:tcPr>
                <w:p>
                  <w:pPr>
                    <w:pStyle w:val="23"/>
                    <w:rPr>
                      <w:rFonts w:hint="default" w:ascii="Times New Roman" w:hAnsi="Times New Roman" w:cs="Times New Roman"/>
                      <w:color w:val="auto"/>
                    </w:rPr>
                  </w:pPr>
                  <w:r>
                    <w:rPr>
                      <w:rFonts w:hint="default" w:ascii="Times New Roman" w:hAnsi="Times New Roman" w:cs="Times New Roman"/>
                      <w:color w:val="auto"/>
                    </w:rPr>
                    <w:t>监测点位</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631" w:type="dxa"/>
                  <w:vMerge w:val="continue"/>
                  <w:tcBorders>
                    <w:left w:val="nil"/>
                    <w:right w:val="single" w:color="000000" w:sz="4" w:space="0"/>
                    <w:tl2br w:val="nil"/>
                    <w:tr2bl w:val="nil"/>
                  </w:tcBorders>
                  <w:vAlign w:val="center"/>
                </w:tcPr>
                <w:p>
                  <w:pPr>
                    <w:pStyle w:val="23"/>
                    <w:rPr>
                      <w:rFonts w:hint="default" w:ascii="Times New Roman" w:hAnsi="Times New Roman" w:cs="Times New Roman"/>
                      <w:color w:val="auto"/>
                    </w:rPr>
                  </w:pPr>
                </w:p>
              </w:tc>
              <w:tc>
                <w:tcPr>
                  <w:tcW w:w="1013" w:type="dxa"/>
                  <w:vMerge w:val="restart"/>
                  <w:tcBorders>
                    <w:top w:val="single" w:color="000000" w:sz="4" w:space="0"/>
                    <w:left w:val="single" w:color="000000" w:sz="4" w:space="0"/>
                    <w:right w:val="single" w:color="000000" w:sz="4" w:space="0"/>
                    <w:tl2br w:val="nil"/>
                    <w:tr2bl w:val="nil"/>
                  </w:tcBorders>
                  <w:vAlign w:val="center"/>
                </w:tcPr>
                <w:p>
                  <w:pPr>
                    <w:pStyle w:val="23"/>
                    <w:rPr>
                      <w:rFonts w:hint="default" w:ascii="Times New Roman" w:hAnsi="Times New Roman" w:cs="Times New Roman"/>
                      <w:color w:val="auto"/>
                    </w:rPr>
                  </w:pPr>
                  <w:r>
                    <w:rPr>
                      <w:rFonts w:hint="default" w:ascii="Times New Roman" w:hAnsi="Times New Roman" w:cs="Times New Roman"/>
                      <w:color w:val="auto"/>
                    </w:rPr>
                    <w:t>废气</w:t>
                  </w:r>
                </w:p>
              </w:tc>
              <w:tc>
                <w:tcPr>
                  <w:tcW w:w="3402"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氮氧化物</w:t>
                  </w:r>
                </w:p>
              </w:tc>
              <w:tc>
                <w:tcPr>
                  <w:tcW w:w="1276"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每月一次</w:t>
                  </w:r>
                </w:p>
              </w:tc>
              <w:tc>
                <w:tcPr>
                  <w:tcW w:w="1722" w:type="dxa"/>
                  <w:vMerge w:val="restart"/>
                  <w:tcBorders>
                    <w:top w:val="single" w:color="000000" w:sz="4" w:space="0"/>
                    <w:left w:val="single" w:color="000000" w:sz="4" w:space="0"/>
                    <w:right w:val="nil"/>
                    <w:tl2br w:val="nil"/>
                    <w:tr2bl w:val="nil"/>
                  </w:tcBorders>
                  <w:vAlign w:val="center"/>
                </w:tcPr>
                <w:p>
                  <w:pPr>
                    <w:pStyle w:val="23"/>
                    <w:rPr>
                      <w:rFonts w:hint="default" w:ascii="Times New Roman" w:hAnsi="Times New Roman" w:cs="Times New Roman"/>
                      <w:color w:val="auto"/>
                    </w:rPr>
                  </w:pPr>
                  <w:r>
                    <w:rPr>
                      <w:rFonts w:hint="default" w:ascii="Times New Roman" w:hAnsi="Times New Roman" w:cs="Times New Roman"/>
                      <w:color w:val="auto"/>
                    </w:rPr>
                    <w:t>锅炉排气筒出口</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631" w:type="dxa"/>
                  <w:vMerge w:val="continue"/>
                  <w:tcBorders>
                    <w:left w:val="nil"/>
                    <w:bottom w:val="single" w:color="000000" w:sz="4" w:space="0"/>
                    <w:right w:val="single" w:color="000000" w:sz="4" w:space="0"/>
                    <w:tl2br w:val="nil"/>
                    <w:tr2bl w:val="nil"/>
                  </w:tcBorders>
                  <w:vAlign w:val="center"/>
                </w:tcPr>
                <w:p>
                  <w:pPr>
                    <w:pStyle w:val="23"/>
                    <w:rPr>
                      <w:rFonts w:hint="default" w:ascii="Times New Roman" w:hAnsi="Times New Roman" w:cs="Times New Roman"/>
                      <w:color w:val="auto"/>
                    </w:rPr>
                  </w:pPr>
                </w:p>
              </w:tc>
              <w:tc>
                <w:tcPr>
                  <w:tcW w:w="1013" w:type="dxa"/>
                  <w:vMerge w:val="continue"/>
                  <w:tcBorders>
                    <w:left w:val="single" w:color="000000" w:sz="4" w:space="0"/>
                    <w:bottom w:val="single" w:color="000000" w:sz="4" w:space="0"/>
                    <w:right w:val="single" w:color="000000" w:sz="4" w:space="0"/>
                    <w:tl2br w:val="nil"/>
                    <w:tr2bl w:val="nil"/>
                  </w:tcBorders>
                  <w:vAlign w:val="center"/>
                </w:tcPr>
                <w:p>
                  <w:pPr>
                    <w:pStyle w:val="23"/>
                    <w:rPr>
                      <w:rFonts w:hint="default" w:ascii="Times New Roman" w:hAnsi="Times New Roman" w:cs="Times New Roman"/>
                      <w:color w:val="auto"/>
                    </w:rPr>
                  </w:pPr>
                </w:p>
              </w:tc>
              <w:tc>
                <w:tcPr>
                  <w:tcW w:w="3402"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23"/>
                    <w:rPr>
                      <w:rFonts w:hint="default" w:ascii="Times New Roman" w:hAnsi="Times New Roman" w:cs="Times New Roman"/>
                      <w:color w:val="auto"/>
                    </w:rPr>
                  </w:pPr>
                  <w:r>
                    <w:rPr>
                      <w:rFonts w:hint="default" w:ascii="Times New Roman" w:hAnsi="Times New Roman" w:cs="Times New Roman"/>
                      <w:color w:val="auto"/>
                    </w:rPr>
                    <w:t>二氧化硫、颗粒物、林格曼黑度</w:t>
                  </w:r>
                </w:p>
              </w:tc>
              <w:tc>
                <w:tcPr>
                  <w:tcW w:w="1276" w:type="dxa"/>
                  <w:tcBorders>
                    <w:top w:val="single" w:color="000000" w:sz="4" w:space="0"/>
                    <w:left w:val="single" w:color="000000" w:sz="4" w:space="0"/>
                    <w:bottom w:val="single" w:color="000000" w:sz="4" w:space="0"/>
                    <w:right w:val="single" w:color="000000" w:sz="4" w:space="0"/>
                    <w:tl2br w:val="nil"/>
                    <w:tr2bl w:val="nil"/>
                  </w:tcBorders>
                  <w:vAlign w:val="center"/>
                </w:tcPr>
                <w:p>
                  <w:pPr>
                    <w:pStyle w:val="23"/>
                    <w:rPr>
                      <w:rFonts w:hint="default" w:ascii="Times New Roman" w:hAnsi="Times New Roman" w:cs="Times New Roman"/>
                      <w:color w:val="auto"/>
                    </w:rPr>
                  </w:pPr>
                  <w:r>
                    <w:rPr>
                      <w:rFonts w:hint="default" w:ascii="Times New Roman" w:hAnsi="Times New Roman" w:cs="Times New Roman"/>
                      <w:color w:val="auto"/>
                    </w:rPr>
                    <w:t>每年一次</w:t>
                  </w:r>
                </w:p>
              </w:tc>
              <w:tc>
                <w:tcPr>
                  <w:tcW w:w="1722" w:type="dxa"/>
                  <w:vMerge w:val="continue"/>
                  <w:tcBorders>
                    <w:left w:val="single" w:color="000000" w:sz="4" w:space="0"/>
                    <w:bottom w:val="single" w:color="000000" w:sz="4" w:space="0"/>
                    <w:right w:val="nil"/>
                    <w:tl2br w:val="nil"/>
                    <w:tr2bl w:val="nil"/>
                  </w:tcBorders>
                  <w:vAlign w:val="center"/>
                </w:tcPr>
                <w:p>
                  <w:pPr>
                    <w:pStyle w:val="23"/>
                    <w:rPr>
                      <w:rFonts w:hint="default" w:ascii="Times New Roman" w:hAnsi="Times New Roman" w:cs="Times New Roman"/>
                      <w:color w:val="auto"/>
                    </w:rPr>
                  </w:pPr>
                </w:p>
              </w:tc>
            </w:tr>
          </w:tbl>
          <w:p>
            <w:pPr>
              <w:pBdr>
                <w:top w:val="none" w:color="auto" w:sz="0" w:space="1"/>
                <w:left w:val="none" w:color="auto" w:sz="0" w:space="4"/>
                <w:bottom w:val="none" w:color="auto" w:sz="0" w:space="1"/>
                <w:right w:val="none" w:color="auto" w:sz="0" w:space="4"/>
              </w:pBdr>
              <w:ind w:firstLine="480"/>
              <w:rPr>
                <w:rFonts w:hint="default" w:ascii="Times New Roman" w:hAnsi="Times New Roman" w:cs="Times New Roman"/>
                <w:color w:val="auto"/>
              </w:rPr>
            </w:pPr>
          </w:p>
        </w:tc>
      </w:tr>
    </w:tbl>
    <w:p>
      <w:pPr>
        <w:adjustRightInd w:val="0"/>
        <w:snapToGrid w:val="0"/>
        <w:ind w:firstLine="562"/>
        <w:rPr>
          <w:rFonts w:hint="default" w:ascii="Times New Roman" w:hAnsi="Times New Roman" w:cs="Times New Roman"/>
          <w:b/>
          <w:color w:val="auto"/>
          <w:kern w:val="0"/>
          <w:sz w:val="28"/>
          <w:szCs w:val="28"/>
        </w:rPr>
        <w:sectPr>
          <w:pgSz w:w="11907" w:h="16840"/>
          <w:pgMar w:top="1701" w:right="1531" w:bottom="2127" w:left="1531" w:header="851" w:footer="851" w:gutter="0"/>
          <w:cols w:space="720" w:num="1"/>
          <w:docGrid w:linePitch="312" w:charSpace="0"/>
        </w:sectPr>
      </w:pPr>
    </w:p>
    <w:p>
      <w:pPr>
        <w:pStyle w:val="3"/>
        <w:ind w:firstLineChars="0"/>
        <w:rPr>
          <w:rFonts w:hint="default" w:ascii="Times New Roman" w:hAnsi="Times New Roman" w:cs="Times New Roman"/>
          <w:color w:val="auto"/>
        </w:rPr>
      </w:pPr>
      <w:bookmarkStart w:id="45" w:name="_Toc408"/>
      <w:bookmarkStart w:id="46" w:name="_Toc30005"/>
      <w:bookmarkStart w:id="47" w:name="_Hlk54167917"/>
      <w:r>
        <w:rPr>
          <w:rFonts w:hint="default" w:ascii="Times New Roman" w:hAnsi="Times New Roman" w:cs="Times New Roman"/>
          <w:color w:val="auto"/>
        </w:rPr>
        <w:t>环境保护措施监督检查清单</w:t>
      </w:r>
      <w:bookmarkEnd w:id="45"/>
      <w:bookmarkEnd w:id="46"/>
      <w:bookmarkEnd w:id="47"/>
    </w:p>
    <w:tbl>
      <w:tblPr>
        <w:tblStyle w:val="1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72"/>
        <w:gridCol w:w="1326"/>
        <w:gridCol w:w="1063"/>
        <w:gridCol w:w="1989"/>
        <w:gridCol w:w="315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72" w:type="dxa"/>
            <w:tcBorders>
              <w:tl2br w:val="single" w:color="auto" w:sz="4" w:space="0"/>
            </w:tcBorders>
          </w:tcPr>
          <w:p>
            <w:pPr>
              <w:adjustRightInd w:val="0"/>
              <w:snapToGrid w:val="0"/>
              <w:spacing w:line="240" w:lineRule="auto"/>
              <w:ind w:firstLine="0" w:firstLineChars="0"/>
              <w:rPr>
                <w:rFonts w:hint="default" w:ascii="Times New Roman" w:hAnsi="Times New Roman" w:cs="Times New Roman"/>
                <w:b/>
                <w:bCs/>
                <w:color w:val="auto"/>
                <w:sz w:val="21"/>
                <w:szCs w:val="21"/>
              </w:rPr>
            </w:pPr>
          </w:p>
          <w:p>
            <w:pPr>
              <w:adjustRightInd w:val="0"/>
              <w:snapToGrid w:val="0"/>
              <w:spacing w:line="240" w:lineRule="auto"/>
              <w:ind w:firstLine="0" w:firstLineChars="0"/>
              <w:jc w:val="right"/>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内容</w:t>
            </w:r>
          </w:p>
          <w:p>
            <w:pPr>
              <w:adjustRightInd w:val="0"/>
              <w:snapToGrid w:val="0"/>
              <w:spacing w:line="240" w:lineRule="auto"/>
              <w:ind w:firstLine="0" w:firstLineChars="0"/>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要素</w:t>
            </w:r>
          </w:p>
        </w:tc>
        <w:tc>
          <w:tcPr>
            <w:tcW w:w="1326" w:type="dxa"/>
            <w:vAlign w:val="center"/>
          </w:tcPr>
          <w:p>
            <w:pPr>
              <w:adjustRightInd w:val="0"/>
              <w:snapToGrid w:val="0"/>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排放口(编号、名称)</w:t>
            </w:r>
          </w:p>
          <w:p>
            <w:pPr>
              <w:adjustRightInd w:val="0"/>
              <w:snapToGrid w:val="0"/>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/污染源</w:t>
            </w:r>
          </w:p>
        </w:tc>
        <w:tc>
          <w:tcPr>
            <w:tcW w:w="1063" w:type="dxa"/>
            <w:vAlign w:val="center"/>
          </w:tcPr>
          <w:p>
            <w:pPr>
              <w:adjustRightInd w:val="0"/>
              <w:snapToGrid w:val="0"/>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污染物项目</w:t>
            </w:r>
          </w:p>
        </w:tc>
        <w:tc>
          <w:tcPr>
            <w:tcW w:w="1989" w:type="dxa"/>
            <w:vAlign w:val="center"/>
          </w:tcPr>
          <w:p>
            <w:pPr>
              <w:adjustRightInd w:val="0"/>
              <w:snapToGrid w:val="0"/>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环境保护措施</w:t>
            </w:r>
          </w:p>
        </w:tc>
        <w:tc>
          <w:tcPr>
            <w:tcW w:w="3150" w:type="dxa"/>
            <w:vAlign w:val="center"/>
          </w:tcPr>
          <w:p>
            <w:pPr>
              <w:adjustRightInd w:val="0"/>
              <w:snapToGrid w:val="0"/>
              <w:spacing w:line="240" w:lineRule="auto"/>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7" w:hRule="atLeast"/>
          <w:jc w:val="center"/>
        </w:trPr>
        <w:tc>
          <w:tcPr>
            <w:tcW w:w="1272" w:type="dxa"/>
            <w:vAlign w:val="center"/>
          </w:tcPr>
          <w:p>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大气环境</w:t>
            </w:r>
          </w:p>
        </w:tc>
        <w:tc>
          <w:tcPr>
            <w:tcW w:w="1326" w:type="dxa"/>
            <w:vAlign w:val="center"/>
          </w:tcPr>
          <w:p>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DA001</w:t>
            </w:r>
          </w:p>
          <w:p>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废气排放口</w:t>
            </w:r>
          </w:p>
        </w:tc>
        <w:tc>
          <w:tcPr>
            <w:tcW w:w="1063" w:type="dxa"/>
            <w:vAlign w:val="center"/>
          </w:tcPr>
          <w:p>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颗粒物、</w:t>
            </w:r>
            <w:r>
              <w:rPr>
                <w:rStyle w:val="37"/>
                <w:rFonts w:hint="default" w:ascii="Times New Roman" w:hAnsi="Times New Roman" w:cs="Times New Roman"/>
                <w:color w:val="auto"/>
              </w:rPr>
              <w:t>二氧化硫、氮氧化物</w:t>
            </w:r>
          </w:p>
        </w:tc>
        <w:tc>
          <w:tcPr>
            <w:tcW w:w="1989" w:type="dxa"/>
            <w:vAlign w:val="center"/>
          </w:tcPr>
          <w:p>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8m高烟囱排放</w:t>
            </w:r>
          </w:p>
        </w:tc>
        <w:tc>
          <w:tcPr>
            <w:tcW w:w="3150" w:type="dxa"/>
            <w:vAlign w:val="center"/>
          </w:tcPr>
          <w:p>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《锅炉大气污染物排放标准》(GB13271-2014) 表3中重点区域燃气锅炉标准（SO</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rPr>
              <w:t>允许排放浓度50mg/m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，氮氧化物允许排放浓度150mg/m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w:t>
            </w:r>
            <w:r>
              <w:rPr>
                <w:rFonts w:hint="eastAsia" w:cs="Times New Roman"/>
                <w:color w:val="auto"/>
                <w:sz w:val="21"/>
                <w:szCs w:val="21"/>
                <w:lang w:val="en-US" w:eastAsia="zh-CN"/>
              </w:rPr>
              <w:t>颗粒物</w:t>
            </w:r>
            <w:r>
              <w:rPr>
                <w:rFonts w:hint="default" w:ascii="Times New Roman" w:hAnsi="Times New Roman" w:cs="Times New Roman"/>
                <w:color w:val="auto"/>
                <w:sz w:val="21"/>
                <w:szCs w:val="21"/>
              </w:rPr>
              <w:t>允许排放浓度</w:t>
            </w:r>
            <w:r>
              <w:rPr>
                <w:rFonts w:hint="eastAsia" w:cs="Times New Roman"/>
                <w:color w:val="auto"/>
                <w:sz w:val="21"/>
                <w:szCs w:val="21"/>
                <w:lang w:val="en-US" w:eastAsia="zh-CN"/>
              </w:rPr>
              <w:t>20</w:t>
            </w:r>
            <w:r>
              <w:rPr>
                <w:rFonts w:hint="default" w:ascii="Times New Roman" w:hAnsi="Times New Roman" w:cs="Times New Roman"/>
                <w:color w:val="auto"/>
                <w:sz w:val="21"/>
                <w:szCs w:val="21"/>
              </w:rPr>
              <w:t>mg/m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，烟气黑度(林格曼级)排放限值≤1级)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7" w:hRule="atLeast"/>
          <w:jc w:val="center"/>
        </w:trPr>
        <w:tc>
          <w:tcPr>
            <w:tcW w:w="1272" w:type="dxa"/>
            <w:vAlign w:val="center"/>
          </w:tcPr>
          <w:p>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地表水环境</w:t>
            </w:r>
          </w:p>
        </w:tc>
        <w:tc>
          <w:tcPr>
            <w:tcW w:w="1326" w:type="dxa"/>
            <w:vAlign w:val="center"/>
          </w:tcPr>
          <w:p>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063" w:type="dxa"/>
            <w:vAlign w:val="center"/>
          </w:tcPr>
          <w:p>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989" w:type="dxa"/>
            <w:vAlign w:val="center"/>
          </w:tcPr>
          <w:p>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3150" w:type="dxa"/>
            <w:vAlign w:val="center"/>
          </w:tcPr>
          <w:p>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54" w:hRule="atLeast"/>
          <w:jc w:val="center"/>
        </w:trPr>
        <w:tc>
          <w:tcPr>
            <w:tcW w:w="1272" w:type="dxa"/>
            <w:vAlign w:val="center"/>
          </w:tcPr>
          <w:p>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声环境</w:t>
            </w:r>
          </w:p>
        </w:tc>
        <w:tc>
          <w:tcPr>
            <w:tcW w:w="1326" w:type="dxa"/>
            <w:vAlign w:val="center"/>
          </w:tcPr>
          <w:p>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厂界噪声</w:t>
            </w:r>
          </w:p>
        </w:tc>
        <w:tc>
          <w:tcPr>
            <w:tcW w:w="1063" w:type="dxa"/>
            <w:vAlign w:val="center"/>
          </w:tcPr>
          <w:p>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噪声值</w:t>
            </w:r>
          </w:p>
        </w:tc>
        <w:tc>
          <w:tcPr>
            <w:tcW w:w="1989" w:type="dxa"/>
            <w:vAlign w:val="center"/>
          </w:tcPr>
          <w:p>
            <w:pPr>
              <w:adjustRightInd w:val="0"/>
              <w:snapToGrid w:val="0"/>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基础减振，厂房隔音，加强设备维护保持设备良好运行状态</w:t>
            </w:r>
          </w:p>
        </w:tc>
        <w:tc>
          <w:tcPr>
            <w:tcW w:w="3150" w:type="dxa"/>
            <w:vAlign w:val="center"/>
          </w:tcPr>
          <w:p>
            <w:pPr>
              <w:adjustRightInd w:val="0"/>
              <w:snapToGrid w:val="0"/>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《工业企业厂界环境噪声排放标准》（GB12348-2008）中3类标准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83" w:hRule="atLeast"/>
          <w:jc w:val="center"/>
        </w:trPr>
        <w:tc>
          <w:tcPr>
            <w:tcW w:w="1272" w:type="dxa"/>
            <w:vAlign w:val="center"/>
          </w:tcPr>
          <w:p>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电磁辐射</w:t>
            </w:r>
          </w:p>
        </w:tc>
        <w:tc>
          <w:tcPr>
            <w:tcW w:w="1326" w:type="dxa"/>
            <w:vAlign w:val="center"/>
          </w:tcPr>
          <w:p>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063" w:type="dxa"/>
            <w:vAlign w:val="center"/>
          </w:tcPr>
          <w:p>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989" w:type="dxa"/>
            <w:vAlign w:val="center"/>
          </w:tcPr>
          <w:p>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3150" w:type="dxa"/>
            <w:vAlign w:val="center"/>
          </w:tcPr>
          <w:p>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42" w:hRule="atLeast"/>
          <w:jc w:val="center"/>
        </w:trPr>
        <w:tc>
          <w:tcPr>
            <w:tcW w:w="1272" w:type="dxa"/>
            <w:vAlign w:val="center"/>
          </w:tcPr>
          <w:p>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固体废物</w:t>
            </w:r>
          </w:p>
        </w:tc>
        <w:tc>
          <w:tcPr>
            <w:tcW w:w="7528" w:type="dxa"/>
            <w:gridSpan w:val="4"/>
            <w:vAlign w:val="center"/>
          </w:tcPr>
          <w:p>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34" w:hRule="atLeast"/>
          <w:jc w:val="center"/>
        </w:trPr>
        <w:tc>
          <w:tcPr>
            <w:tcW w:w="1272" w:type="dxa"/>
            <w:vAlign w:val="center"/>
          </w:tcPr>
          <w:p>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土壤及地下水污染防治措施</w:t>
            </w:r>
          </w:p>
        </w:tc>
        <w:tc>
          <w:tcPr>
            <w:tcW w:w="7528" w:type="dxa"/>
            <w:gridSpan w:val="4"/>
            <w:vAlign w:val="center"/>
          </w:tcPr>
          <w:p>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61" w:hRule="atLeast"/>
          <w:jc w:val="center"/>
        </w:trPr>
        <w:tc>
          <w:tcPr>
            <w:tcW w:w="1272" w:type="dxa"/>
            <w:vAlign w:val="center"/>
          </w:tcPr>
          <w:p>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生态保护</w:t>
            </w:r>
          </w:p>
          <w:p>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措施</w:t>
            </w:r>
          </w:p>
        </w:tc>
        <w:tc>
          <w:tcPr>
            <w:tcW w:w="7528" w:type="dxa"/>
            <w:gridSpan w:val="4"/>
            <w:vAlign w:val="center"/>
          </w:tcPr>
          <w:p>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本项目不涉及生态环境影响。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60" w:hRule="atLeast"/>
          <w:jc w:val="center"/>
        </w:trPr>
        <w:tc>
          <w:tcPr>
            <w:tcW w:w="1272" w:type="dxa"/>
            <w:vAlign w:val="center"/>
          </w:tcPr>
          <w:p>
            <w:pPr>
              <w:adjustRightInd w:val="0"/>
              <w:snapToGrid w:val="0"/>
              <w:spacing w:line="240" w:lineRule="auto"/>
              <w:ind w:firstLine="0" w:firstLineChars="0"/>
              <w:jc w:val="center"/>
              <w:rPr>
                <w:rFonts w:hint="default" w:ascii="Times New Roman" w:hAnsi="Times New Roman" w:cs="Times New Roman"/>
                <w:color w:val="auto"/>
                <w:spacing w:val="-8"/>
                <w:sz w:val="21"/>
                <w:szCs w:val="21"/>
              </w:rPr>
            </w:pPr>
            <w:r>
              <w:rPr>
                <w:rFonts w:hint="default" w:ascii="Times New Roman" w:hAnsi="Times New Roman" w:cs="Times New Roman"/>
                <w:color w:val="auto"/>
                <w:spacing w:val="-8"/>
                <w:sz w:val="21"/>
                <w:szCs w:val="21"/>
              </w:rPr>
              <w:t>环境风险</w:t>
            </w:r>
          </w:p>
          <w:p>
            <w:pPr>
              <w:adjustRightInd w:val="0"/>
              <w:snapToGrid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pacing w:val="-8"/>
                <w:sz w:val="21"/>
                <w:szCs w:val="21"/>
              </w:rPr>
              <w:t>防范措施</w:t>
            </w:r>
          </w:p>
        </w:tc>
        <w:tc>
          <w:tcPr>
            <w:tcW w:w="7528" w:type="dxa"/>
            <w:gridSpan w:val="4"/>
            <w:vAlign w:val="center"/>
          </w:tcPr>
          <w:p>
            <w:pPr>
              <w:autoSpaceDE w:val="0"/>
              <w:autoSpaceDN w:val="0"/>
              <w:adjustRightInd w:val="0"/>
              <w:snapToGrid w:val="0"/>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①总平面布置和建筑物分布物按《建筑设计防火规范》(GB500016-2006)等相关规范执行。</w:t>
            </w:r>
          </w:p>
          <w:p>
            <w:pPr>
              <w:autoSpaceDE w:val="0"/>
              <w:autoSpaceDN w:val="0"/>
              <w:adjustRightInd w:val="0"/>
              <w:snapToGrid w:val="0"/>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②天然气管道的材料应符合要求，对管道进行防腐保护，防止因腐蚀产生泄漏。③管道接管上必须设置安全阀和检修用的放散管；并设置紧急切断阀；在意外事故出现时，及时切断气源，避免事故范围的扩大。</w:t>
            </w:r>
          </w:p>
          <w:p>
            <w:pPr>
              <w:autoSpaceDE w:val="0"/>
              <w:autoSpaceDN w:val="0"/>
              <w:adjustRightInd w:val="0"/>
              <w:snapToGrid w:val="0"/>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④强化安全、消防和环保管理，完善环保安全管理机制，制定严格操作规程和环境管理的规章制度，加强日常监督检查；厂区内严禁烟火。</w:t>
            </w:r>
          </w:p>
          <w:p>
            <w:pPr>
              <w:autoSpaceDE w:val="0"/>
              <w:autoSpaceDN w:val="0"/>
              <w:adjustRightInd w:val="0"/>
              <w:snapToGrid w:val="0"/>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⑤加强职工的职业培训，规范操作，安全生产。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06" w:hRule="atLeast"/>
          <w:jc w:val="center"/>
        </w:trPr>
        <w:tc>
          <w:tcPr>
            <w:tcW w:w="1272" w:type="dxa"/>
            <w:vAlign w:val="center"/>
          </w:tcPr>
          <w:p>
            <w:pPr>
              <w:adjustRightInd w:val="0"/>
              <w:snapToGrid w:val="0"/>
              <w:spacing w:line="240" w:lineRule="auto"/>
              <w:ind w:firstLine="0" w:firstLineChars="0"/>
              <w:jc w:val="center"/>
              <w:rPr>
                <w:rFonts w:hint="default" w:ascii="Times New Roman" w:hAnsi="Times New Roman" w:cs="Times New Roman"/>
                <w:color w:val="auto"/>
                <w:spacing w:val="-8"/>
                <w:sz w:val="21"/>
                <w:szCs w:val="21"/>
              </w:rPr>
            </w:pPr>
            <w:r>
              <w:rPr>
                <w:rFonts w:hint="default" w:ascii="Times New Roman" w:hAnsi="Times New Roman" w:cs="Times New Roman"/>
                <w:color w:val="auto"/>
                <w:spacing w:val="-8"/>
                <w:sz w:val="21"/>
                <w:szCs w:val="21"/>
              </w:rPr>
              <w:t>其他环境管理要求</w:t>
            </w:r>
          </w:p>
        </w:tc>
        <w:tc>
          <w:tcPr>
            <w:tcW w:w="7528" w:type="dxa"/>
            <w:gridSpan w:val="4"/>
            <w:vAlign w:val="center"/>
          </w:tcPr>
          <w:p>
            <w:pPr>
              <w:autoSpaceDE w:val="0"/>
              <w:autoSpaceDN w:val="0"/>
              <w:adjustRightInd w:val="0"/>
              <w:snapToGrid w:val="0"/>
              <w:spacing w:line="240" w:lineRule="auto"/>
              <w:ind w:firstLine="210" w:firstLineChars="1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1、竣工环境保护验收</w:t>
            </w:r>
          </w:p>
          <w:p>
            <w:pPr>
              <w:autoSpaceDE w:val="0"/>
              <w:autoSpaceDN w:val="0"/>
              <w:adjustRightInd w:val="0"/>
              <w:snapToGrid w:val="0"/>
              <w:spacing w:line="240" w:lineRule="auto"/>
              <w:ind w:firstLine="210" w:firstLineChars="1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根据《建设项目竣工环境保护验收暂行办法》的规定，建设项目竣工后，建设单位应当如实查验、监测、记载建设项目环境保护设施的建设和调试情况，编制验收监测报告表。</w:t>
            </w:r>
          </w:p>
          <w:p>
            <w:pPr>
              <w:autoSpaceDE w:val="0"/>
              <w:autoSpaceDN w:val="0"/>
              <w:adjustRightInd w:val="0"/>
              <w:snapToGrid w:val="0"/>
              <w:spacing w:line="240" w:lineRule="auto"/>
              <w:ind w:firstLine="210" w:firstLineChars="1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2、排污许可管理要求</w:t>
            </w:r>
          </w:p>
          <w:p>
            <w:pPr>
              <w:autoSpaceDE w:val="0"/>
              <w:autoSpaceDN w:val="0"/>
              <w:adjustRightInd w:val="0"/>
              <w:snapToGrid w:val="0"/>
              <w:spacing w:line="240" w:lineRule="auto"/>
              <w:ind w:firstLine="0" w:firstLineChars="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根据《固定污染源排污许可分类管理名录（2019年版）》（生态环境部 第11号）可知，本项目涉及通用工序“锅炉”中的“，单台或者合计出力20吨/小时（14兆瓦）及以上的锅炉（不含电热锅炉）”，应进行排污许可简化管理。因此，建设单位应当在改建锅炉启动生产或者发生实际排污之前在全国排污许可证管理信息平台进行排污许可变更。</w:t>
            </w:r>
          </w:p>
          <w:p>
            <w:pPr>
              <w:pStyle w:val="2"/>
              <w:ind w:firstLine="210" w:firstLineChars="1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3、环保信息公开要求</w:t>
            </w:r>
          </w:p>
          <w:p>
            <w:pPr>
              <w:pStyle w:val="2"/>
              <w:ind w:firstLine="210" w:firstLineChars="1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根据《企业事业单位环境信息公开办法》(环境保护部令第31号)，企业事业单位应当按照强制公开和自愿公开相结合的原则，及时、如实地公开其环境信息。企业事业单位应当建立健全本单位环境信息公开制度，指定机构负责本单位环境信息公开日常工作，排污单位应当公开以下信息：</w:t>
            </w:r>
          </w:p>
          <w:p>
            <w:pPr>
              <w:pStyle w:val="2"/>
              <w:ind w:firstLine="210" w:firstLineChars="1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(一)基础信息，包括单位名称、组织机构代码、法定代表人、生产地址、联系方式，以及生产经营和管理服务的主要内容、产品及规模；</w:t>
            </w:r>
          </w:p>
          <w:p>
            <w:pPr>
              <w:pStyle w:val="2"/>
              <w:ind w:firstLine="210" w:firstLineChars="1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(二)排污信息，包括主要污染物及其他污染物的名称、排放方式、排放口数量和分布情况、排放浓度和总量、超标情况，以及执行的污染物排放标准、核定的排放总量；</w:t>
            </w:r>
          </w:p>
          <w:p>
            <w:pPr>
              <w:pStyle w:val="2"/>
              <w:ind w:firstLine="210" w:firstLineChars="1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(三)防治污染设施的建设和运行情况；</w:t>
            </w:r>
          </w:p>
          <w:p>
            <w:pPr>
              <w:pStyle w:val="2"/>
              <w:ind w:firstLine="210" w:firstLineChars="1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(四)建设项目环境影响评价及其他环境保护行政许可情况；</w:t>
            </w:r>
          </w:p>
          <w:p>
            <w:pPr>
              <w:pStyle w:val="2"/>
              <w:ind w:firstLine="210" w:firstLineChars="1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(五)其他应当公开的环境信息；</w:t>
            </w:r>
          </w:p>
          <w:p>
            <w:pPr>
              <w:pStyle w:val="2"/>
              <w:ind w:firstLine="210" w:firstLineChars="1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列入国家重点监控企业名单的重点排污单位还应当公开其环境自行监测方案。</w:t>
            </w:r>
          </w:p>
          <w:p>
            <w:pPr>
              <w:pStyle w:val="2"/>
              <w:ind w:firstLine="210" w:firstLineChars="1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建设单位应按照上述要求公开建设项目的相关信息，采取的信息公开途径可包括：①公告或者公开发行的信息专刊；②广播、电视等新闻媒体；③信息公开服务、监督热线电话；④本单位的资料索取点、信息公开栏、信息亭、电子屏幕、电子触摸屏等场所或者设施；⑤其他便于公众及时、准确获得信息的方式。。</w:t>
            </w:r>
          </w:p>
          <w:p>
            <w:pPr>
              <w:pStyle w:val="2"/>
              <w:ind w:firstLine="210" w:firstLineChars="1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4、排污口规范管理</w:t>
            </w:r>
          </w:p>
          <w:p>
            <w:pPr>
              <w:pStyle w:val="2"/>
              <w:ind w:firstLine="210" w:firstLineChars="1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规范化排放口：排放口应预留监测口做到便于采样和测定流量，并设立专门的标志（有要求监控的项目应论述），执行《环境保护图形标志—排放口（源）》（GB15562.1-1995）及《环境保护图形标志—固体废物贮存（处置）场》（GB 15562.2-1995）。标志牌应设在与之功能相应的醒目处，并保持清晰、完整。</w:t>
            </w:r>
          </w:p>
          <w:p>
            <w:pPr>
              <w:pStyle w:val="2"/>
              <w:ind w:firstLine="210" w:firstLineChars="1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（1）废气排放口的整治及规范</w:t>
            </w:r>
          </w:p>
          <w:p>
            <w:pPr>
              <w:pStyle w:val="2"/>
              <w:ind w:firstLine="210" w:firstLineChars="1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①有组织排放的废气。对其排气筒数量、高度和泄漏情况进行整治。</w:t>
            </w:r>
          </w:p>
          <w:p>
            <w:pPr>
              <w:pStyle w:val="2"/>
              <w:ind w:firstLine="210" w:firstLineChars="1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②排气筒应设置便于采样、监测的采样口。采样口的设置应符合《污染源监测技术规范》要求</w:t>
            </w:r>
          </w:p>
        </w:tc>
      </w:tr>
    </w:tbl>
    <w:p>
      <w:pPr>
        <w:ind w:firstLine="480"/>
        <w:rPr>
          <w:rFonts w:hint="default" w:ascii="Times New Roman" w:hAnsi="Times New Roman" w:cs="Times New Roman"/>
          <w:color w:val="auto"/>
        </w:rPr>
      </w:pPr>
      <w:r>
        <w:rPr>
          <w:rFonts w:hint="default" w:ascii="Times New Roman" w:hAnsi="Times New Roman" w:cs="Times New Roman"/>
          <w:color w:val="auto"/>
        </w:rPr>
        <w:br w:type="page"/>
      </w:r>
    </w:p>
    <w:p>
      <w:pPr>
        <w:ind w:firstLine="480"/>
        <w:rPr>
          <w:rFonts w:hint="default" w:ascii="Times New Roman" w:hAnsi="Times New Roman" w:cs="Times New Roman"/>
          <w:color w:val="auto"/>
        </w:rPr>
        <w:sectPr>
          <w:pgSz w:w="11906" w:h="16838"/>
          <w:pgMar w:top="1701" w:right="1531" w:bottom="1701" w:left="1531" w:header="851" w:footer="851" w:gutter="0"/>
          <w:cols w:space="720" w:num="1"/>
          <w:docGrid w:linePitch="312" w:charSpace="0"/>
        </w:sectPr>
      </w:pPr>
    </w:p>
    <w:p>
      <w:pPr>
        <w:pStyle w:val="2"/>
        <w:keepNext w:val="0"/>
        <w:keepLines w:val="0"/>
        <w:pageBreakBefore w:val="0"/>
        <w:widowControl w:val="0"/>
        <w:kinsoku/>
        <w:wordWrap/>
        <w:overflowPunct/>
        <w:topLinePunct w:val="0"/>
        <w:autoSpaceDE/>
        <w:autoSpaceDN/>
        <w:bidi w:val="0"/>
        <w:adjustRightInd/>
        <w:snapToGrid w:val="0"/>
        <w:ind w:firstLine="0" w:firstLineChars="0"/>
        <w:textAlignment w:val="auto"/>
        <w:rPr>
          <w:rFonts w:hint="default"/>
        </w:rPr>
        <w:sectPr>
          <w:pgSz w:w="11906" w:h="16838"/>
          <w:pgMar w:top="1701" w:right="1531" w:bottom="1701" w:left="1531" w:header="851" w:footer="851" w:gutter="0"/>
          <w:cols w:space="720" w:num="1"/>
          <w:docGrid w:linePitch="312" w:charSpace="0"/>
        </w:sectPr>
      </w:pPr>
      <w:r>
        <w:drawing>
          <wp:inline distT="0" distB="0" distL="114300" distR="114300">
            <wp:extent cx="5615305" cy="7886700"/>
            <wp:effectExtent l="0" t="0" r="4445" b="0"/>
            <wp:docPr id="7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1"/>
                    <pic:cNvPicPr>
                      <a:picLocks noChangeAspect="1"/>
                    </pic:cNvPicPr>
                  </pic:nvPicPr>
                  <pic:blipFill>
                    <a:blip r:embed="rId31"/>
                    <a:stretch>
                      <a:fillRect/>
                    </a:stretch>
                  </pic:blipFill>
                  <pic:spPr>
                    <a:xfrm>
                      <a:off x="0" y="0"/>
                      <a:ext cx="5615305" cy="7886700"/>
                    </a:xfrm>
                    <a:prstGeom prst="rect">
                      <a:avLst/>
                    </a:prstGeom>
                    <a:noFill/>
                    <a:ln>
                      <a:noFill/>
                    </a:ln>
                  </pic:spPr>
                </pic:pic>
              </a:graphicData>
            </a:graphic>
          </wp:inline>
        </w:drawing>
      </w:r>
      <w:bookmarkStart w:id="61" w:name="_GoBack"/>
      <w:bookmarkEnd w:id="61"/>
    </w:p>
    <w:p>
      <w:pPr>
        <w:pStyle w:val="3"/>
        <w:numPr>
          <w:ilvl w:val="0"/>
          <w:numId w:val="0"/>
        </w:numPr>
        <w:jc w:val="both"/>
        <w:rPr>
          <w:rFonts w:hint="default" w:ascii="Times New Roman" w:hAnsi="Times New Roman" w:cs="Times New Roman"/>
          <w:snapToGrid w:val="0"/>
          <w:color w:val="auto"/>
          <w:szCs w:val="32"/>
        </w:rPr>
      </w:pPr>
      <w:bookmarkStart w:id="48" w:name="_Toc2984"/>
      <w:r>
        <w:rPr>
          <w:rFonts w:hint="default" w:ascii="Times New Roman" w:hAnsi="Times New Roman" w:cs="Times New Roman"/>
          <w:color w:val="auto"/>
        </w:rPr>
        <w:t>附表1</w:t>
      </w:r>
      <w:bookmarkEnd w:id="48"/>
    </w:p>
    <w:p>
      <w:pPr>
        <w:adjustRightInd w:val="0"/>
        <w:snapToGrid w:val="0"/>
        <w:ind w:firstLine="4560" w:firstLineChars="1200"/>
        <w:outlineLvl w:val="0"/>
        <w:rPr>
          <w:rFonts w:hint="default" w:ascii="Times New Roman" w:hAnsi="Times New Roman" w:eastAsia="方正小标宋_GBK" w:cs="Times New Roman"/>
          <w:snapToGrid w:val="0"/>
          <w:color w:val="auto"/>
          <w:sz w:val="38"/>
          <w:szCs w:val="38"/>
        </w:rPr>
      </w:pPr>
      <w:bookmarkStart w:id="49" w:name="_Toc15021"/>
      <w:r>
        <w:rPr>
          <w:rFonts w:hint="default" w:ascii="Times New Roman" w:hAnsi="Times New Roman" w:eastAsia="方正小标宋_GBK" w:cs="Times New Roman"/>
          <w:snapToGrid w:val="0"/>
          <w:color w:val="auto"/>
          <w:sz w:val="38"/>
          <w:szCs w:val="38"/>
        </w:rPr>
        <w:t>建设项目污染物排放量汇总表</w:t>
      </w:r>
      <w:bookmarkEnd w:id="49"/>
      <w:r>
        <w:rPr>
          <w:rFonts w:hint="default" w:ascii="Times New Roman" w:hAnsi="Times New Roman" w:eastAsia="方正小标宋_GBK" w:cs="Times New Roman"/>
          <w:snapToGrid w:val="0"/>
          <w:color w:val="auto"/>
          <w:sz w:val="38"/>
          <w:szCs w:val="38"/>
        </w:rPr>
        <w:t xml:space="preserve"> </w:t>
      </w:r>
    </w:p>
    <w:tbl>
      <w:tblPr>
        <w:tblStyle w:val="14"/>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78"/>
        <w:gridCol w:w="1740"/>
        <w:gridCol w:w="1455"/>
        <w:gridCol w:w="1337"/>
        <w:gridCol w:w="1500"/>
        <w:gridCol w:w="1575"/>
        <w:gridCol w:w="1395"/>
        <w:gridCol w:w="2100"/>
        <w:gridCol w:w="140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98" w:hRule="atLeast"/>
        </w:trPr>
        <w:tc>
          <w:tcPr>
            <w:tcW w:w="1278" w:type="dxa"/>
            <w:tcBorders>
              <w:tl2br w:val="single" w:color="auto" w:sz="4" w:space="0"/>
            </w:tcBorders>
            <w:tcMar>
              <w:left w:w="28" w:type="dxa"/>
              <w:right w:w="28" w:type="dxa"/>
            </w:tcMar>
            <w:vAlign w:val="center"/>
          </w:tcPr>
          <w:p>
            <w:pPr>
              <w:adjustRightInd w:val="0"/>
              <w:snapToGrid w:val="0"/>
              <w:spacing w:line="240" w:lineRule="auto"/>
              <w:ind w:firstLine="0" w:firstLineChars="0"/>
              <w:jc w:val="center"/>
              <w:rPr>
                <w:rFonts w:hint="default" w:ascii="Times New Roman" w:hAnsi="Times New Roman" w:eastAsia="黑体" w:cs="Times New Roman"/>
                <w:color w:val="auto"/>
              </w:rPr>
            </w:pPr>
            <w:r>
              <w:rPr>
                <w:rFonts w:hint="default" w:ascii="Times New Roman" w:hAnsi="Times New Roman" w:eastAsia="黑体" w:cs="Times New Roman"/>
                <w:color w:val="auto"/>
              </w:rPr>
              <w:t xml:space="preserve">     项目</w:t>
            </w:r>
          </w:p>
          <w:p>
            <w:pPr>
              <w:adjustRightInd w:val="0"/>
              <w:snapToGrid w:val="0"/>
              <w:spacing w:line="240" w:lineRule="auto"/>
              <w:ind w:firstLine="0" w:firstLineChars="0"/>
              <w:rPr>
                <w:rFonts w:hint="default" w:ascii="Times New Roman" w:hAnsi="Times New Roman" w:eastAsia="黑体" w:cs="Times New Roman"/>
                <w:color w:val="auto"/>
              </w:rPr>
            </w:pPr>
            <w:r>
              <w:rPr>
                <w:rFonts w:hint="default" w:ascii="Times New Roman" w:hAnsi="Times New Roman" w:eastAsia="黑体" w:cs="Times New Roman"/>
                <w:color w:val="auto"/>
              </w:rPr>
              <w:t>分类</w:t>
            </w:r>
          </w:p>
        </w:tc>
        <w:tc>
          <w:tcPr>
            <w:tcW w:w="1740" w:type="dxa"/>
            <w:tcMar>
              <w:left w:w="28" w:type="dxa"/>
              <w:right w:w="28" w:type="dxa"/>
            </w:tcMar>
            <w:vAlign w:val="center"/>
          </w:tcPr>
          <w:p>
            <w:pPr>
              <w:adjustRightInd w:val="0"/>
              <w:snapToGrid w:val="0"/>
              <w:spacing w:line="240" w:lineRule="auto"/>
              <w:ind w:firstLine="0" w:firstLineChars="0"/>
              <w:jc w:val="center"/>
              <w:rPr>
                <w:rFonts w:hint="default" w:ascii="Times New Roman" w:hAnsi="Times New Roman" w:eastAsia="黑体" w:cs="Times New Roman"/>
                <w:color w:val="auto"/>
              </w:rPr>
            </w:pPr>
            <w:r>
              <w:rPr>
                <w:rFonts w:hint="default" w:ascii="Times New Roman" w:hAnsi="Times New Roman" w:eastAsia="黑体" w:cs="Times New Roman"/>
                <w:color w:val="auto"/>
              </w:rPr>
              <w:t>污染物名称</w:t>
            </w:r>
          </w:p>
        </w:tc>
        <w:tc>
          <w:tcPr>
            <w:tcW w:w="1455" w:type="dxa"/>
            <w:tcMar>
              <w:left w:w="28" w:type="dxa"/>
              <w:right w:w="28" w:type="dxa"/>
            </w:tcMar>
            <w:vAlign w:val="center"/>
          </w:tcPr>
          <w:p>
            <w:pPr>
              <w:adjustRightInd w:val="0"/>
              <w:snapToGrid w:val="0"/>
              <w:spacing w:line="240" w:lineRule="auto"/>
              <w:ind w:firstLine="0" w:firstLineChars="0"/>
              <w:jc w:val="center"/>
              <w:rPr>
                <w:rFonts w:hint="default" w:ascii="Times New Roman" w:hAnsi="Times New Roman" w:eastAsia="黑体" w:cs="Times New Roman"/>
                <w:color w:val="auto"/>
              </w:rPr>
            </w:pPr>
            <w:r>
              <w:rPr>
                <w:rFonts w:hint="eastAsia" w:eastAsia="黑体" w:cs="Times New Roman"/>
                <w:color w:val="auto"/>
                <w:lang w:val="en-US" w:eastAsia="zh-CN"/>
              </w:rPr>
              <w:t>*</w:t>
            </w:r>
            <w:r>
              <w:rPr>
                <w:rFonts w:hint="default" w:ascii="Times New Roman" w:hAnsi="Times New Roman" w:eastAsia="黑体" w:cs="Times New Roman"/>
                <w:color w:val="auto"/>
              </w:rPr>
              <w:t>现有工程排放量（固体废物产生量）</w:t>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 1 \* GB3 \* MERGEFORMAT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①</w:t>
            </w:r>
            <w:r>
              <w:rPr>
                <w:rFonts w:hint="default" w:ascii="Times New Roman" w:hAnsi="Times New Roman" w:eastAsia="黑体" w:cs="Times New Roman"/>
                <w:color w:val="auto"/>
              </w:rPr>
              <w:fldChar w:fldCharType="end"/>
            </w:r>
          </w:p>
        </w:tc>
        <w:tc>
          <w:tcPr>
            <w:tcW w:w="1337" w:type="dxa"/>
            <w:tcMar>
              <w:left w:w="28" w:type="dxa"/>
              <w:right w:w="28" w:type="dxa"/>
            </w:tcMar>
            <w:vAlign w:val="center"/>
          </w:tcPr>
          <w:p>
            <w:pPr>
              <w:adjustRightInd w:val="0"/>
              <w:snapToGrid w:val="0"/>
              <w:spacing w:line="240" w:lineRule="auto"/>
              <w:ind w:firstLine="0" w:firstLineChars="0"/>
              <w:jc w:val="center"/>
              <w:rPr>
                <w:rFonts w:hint="default" w:ascii="Times New Roman" w:hAnsi="Times New Roman" w:eastAsia="黑体" w:cs="Times New Roman"/>
                <w:color w:val="auto"/>
              </w:rPr>
            </w:pPr>
            <w:r>
              <w:rPr>
                <w:rFonts w:hint="default" w:ascii="Times New Roman" w:hAnsi="Times New Roman" w:eastAsia="黑体" w:cs="Times New Roman"/>
                <w:color w:val="auto"/>
              </w:rPr>
              <w:t>现有工程</w:t>
            </w:r>
          </w:p>
          <w:p>
            <w:pPr>
              <w:adjustRightInd w:val="0"/>
              <w:snapToGrid w:val="0"/>
              <w:spacing w:line="240" w:lineRule="auto"/>
              <w:ind w:firstLine="0" w:firstLineChars="0"/>
              <w:jc w:val="center"/>
              <w:rPr>
                <w:rFonts w:hint="default" w:ascii="Times New Roman" w:hAnsi="Times New Roman" w:eastAsia="黑体" w:cs="Times New Roman"/>
                <w:color w:val="auto"/>
              </w:rPr>
            </w:pPr>
            <w:r>
              <w:rPr>
                <w:rFonts w:hint="default" w:ascii="Times New Roman" w:hAnsi="Times New Roman" w:eastAsia="黑体" w:cs="Times New Roman"/>
                <w:color w:val="auto"/>
              </w:rPr>
              <w:t>许可排放量</w:t>
            </w:r>
          </w:p>
          <w:p>
            <w:pPr>
              <w:adjustRightInd w:val="0"/>
              <w:snapToGrid w:val="0"/>
              <w:spacing w:line="240" w:lineRule="auto"/>
              <w:ind w:firstLine="0" w:firstLineChars="0"/>
              <w:jc w:val="center"/>
              <w:rPr>
                <w:rFonts w:hint="default" w:ascii="Times New Roman" w:hAnsi="Times New Roman" w:eastAsia="黑体" w:cs="Times New Roman"/>
                <w:color w:val="auto"/>
              </w:rPr>
            </w:pP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 2 \* GB3 \* MERGEFORMAT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②</w:t>
            </w:r>
            <w:r>
              <w:rPr>
                <w:rFonts w:hint="default" w:ascii="Times New Roman" w:hAnsi="Times New Roman" w:eastAsia="黑体" w:cs="Times New Roman"/>
                <w:color w:val="auto"/>
              </w:rPr>
              <w:fldChar w:fldCharType="end"/>
            </w:r>
          </w:p>
        </w:tc>
        <w:tc>
          <w:tcPr>
            <w:tcW w:w="1500" w:type="dxa"/>
            <w:tcMar>
              <w:left w:w="28" w:type="dxa"/>
              <w:right w:w="28" w:type="dxa"/>
            </w:tcMar>
            <w:vAlign w:val="center"/>
          </w:tcPr>
          <w:p>
            <w:pPr>
              <w:adjustRightInd w:val="0"/>
              <w:snapToGrid w:val="0"/>
              <w:spacing w:line="240" w:lineRule="auto"/>
              <w:ind w:firstLine="0" w:firstLineChars="0"/>
              <w:jc w:val="center"/>
              <w:rPr>
                <w:rFonts w:hint="default" w:ascii="Times New Roman" w:hAnsi="Times New Roman" w:eastAsia="黑体" w:cs="Times New Roman"/>
                <w:color w:val="auto"/>
              </w:rPr>
            </w:pPr>
            <w:r>
              <w:rPr>
                <w:rFonts w:hint="default" w:ascii="Times New Roman" w:hAnsi="Times New Roman" w:eastAsia="黑体" w:cs="Times New Roman"/>
                <w:color w:val="auto"/>
              </w:rPr>
              <w:t>在建工程排放量（固体废物产生量）</w:t>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 3 \* GB3 \* MERGEFORMAT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③</w:t>
            </w:r>
            <w:r>
              <w:rPr>
                <w:rFonts w:hint="default" w:ascii="Times New Roman" w:hAnsi="Times New Roman" w:eastAsia="黑体" w:cs="Times New Roman"/>
                <w:color w:val="auto"/>
              </w:rPr>
              <w:fldChar w:fldCharType="end"/>
            </w:r>
          </w:p>
        </w:tc>
        <w:tc>
          <w:tcPr>
            <w:tcW w:w="1575" w:type="dxa"/>
            <w:tcMar>
              <w:left w:w="28" w:type="dxa"/>
              <w:right w:w="28" w:type="dxa"/>
            </w:tcMar>
            <w:vAlign w:val="center"/>
          </w:tcPr>
          <w:p>
            <w:pPr>
              <w:adjustRightInd w:val="0"/>
              <w:snapToGrid w:val="0"/>
              <w:spacing w:line="240" w:lineRule="auto"/>
              <w:ind w:firstLine="0" w:firstLineChars="0"/>
              <w:jc w:val="center"/>
              <w:rPr>
                <w:rFonts w:hint="default" w:ascii="Times New Roman" w:hAnsi="Times New Roman" w:eastAsia="黑体" w:cs="Times New Roman"/>
                <w:color w:val="auto"/>
              </w:rPr>
            </w:pPr>
            <w:r>
              <w:rPr>
                <w:rFonts w:hint="default" w:ascii="Times New Roman" w:hAnsi="Times New Roman" w:eastAsia="黑体" w:cs="Times New Roman"/>
                <w:color w:val="auto"/>
              </w:rPr>
              <w:t>本项目排放量（固体废物产生量）</w:t>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 4 \* GB3 \* MERGEFORMAT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④</w:t>
            </w:r>
            <w:r>
              <w:rPr>
                <w:rFonts w:hint="default" w:ascii="Times New Roman" w:hAnsi="Times New Roman" w:eastAsia="黑体" w:cs="Times New Roman"/>
                <w:color w:val="auto"/>
              </w:rPr>
              <w:fldChar w:fldCharType="end"/>
            </w:r>
          </w:p>
        </w:tc>
        <w:tc>
          <w:tcPr>
            <w:tcW w:w="1395" w:type="dxa"/>
            <w:tcMar>
              <w:left w:w="28" w:type="dxa"/>
              <w:right w:w="28" w:type="dxa"/>
            </w:tcMar>
            <w:vAlign w:val="center"/>
          </w:tcPr>
          <w:p>
            <w:pPr>
              <w:adjustRightInd w:val="0"/>
              <w:snapToGrid w:val="0"/>
              <w:spacing w:line="240" w:lineRule="auto"/>
              <w:ind w:firstLine="0" w:firstLineChars="0"/>
              <w:jc w:val="center"/>
              <w:rPr>
                <w:rFonts w:hint="default" w:ascii="Times New Roman" w:hAnsi="Times New Roman" w:eastAsia="黑体" w:cs="Times New Roman"/>
                <w:color w:val="auto"/>
              </w:rPr>
            </w:pPr>
            <w:r>
              <w:rPr>
                <w:rFonts w:hint="default" w:ascii="Times New Roman" w:hAnsi="Times New Roman" w:eastAsia="黑体" w:cs="Times New Roman"/>
                <w:color w:val="auto"/>
              </w:rPr>
              <w:t>以新带老削减量（新建项目不填）</w:t>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 5 \* GB3 \* MERGEFORMAT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⑤</w:t>
            </w:r>
            <w:r>
              <w:rPr>
                <w:rFonts w:hint="default" w:ascii="Times New Roman" w:hAnsi="Times New Roman" w:eastAsia="黑体" w:cs="Times New Roman"/>
                <w:color w:val="auto"/>
              </w:rPr>
              <w:fldChar w:fldCharType="end"/>
            </w:r>
          </w:p>
        </w:tc>
        <w:tc>
          <w:tcPr>
            <w:tcW w:w="2100" w:type="dxa"/>
            <w:tcMar>
              <w:left w:w="28" w:type="dxa"/>
              <w:right w:w="28" w:type="dxa"/>
            </w:tcMar>
            <w:vAlign w:val="center"/>
          </w:tcPr>
          <w:p>
            <w:pPr>
              <w:adjustRightInd w:val="0"/>
              <w:snapToGrid w:val="0"/>
              <w:spacing w:line="240" w:lineRule="auto"/>
              <w:ind w:firstLine="0" w:firstLineChars="0"/>
              <w:jc w:val="center"/>
              <w:rPr>
                <w:rFonts w:hint="default" w:ascii="Times New Roman" w:hAnsi="Times New Roman" w:eastAsia="黑体" w:cs="Times New Roman"/>
                <w:color w:val="auto"/>
              </w:rPr>
            </w:pPr>
            <w:r>
              <w:rPr>
                <w:rFonts w:hint="default" w:ascii="Times New Roman" w:hAnsi="Times New Roman" w:eastAsia="黑体" w:cs="Times New Roman"/>
                <w:color w:val="auto"/>
              </w:rPr>
              <w:t>本项目建成后</w:t>
            </w:r>
          </w:p>
          <w:p>
            <w:pPr>
              <w:adjustRightInd w:val="0"/>
              <w:snapToGrid w:val="0"/>
              <w:spacing w:line="240" w:lineRule="auto"/>
              <w:ind w:firstLine="0" w:firstLineChars="0"/>
              <w:jc w:val="center"/>
              <w:rPr>
                <w:rFonts w:hint="default" w:ascii="Times New Roman" w:hAnsi="Times New Roman" w:eastAsia="黑体" w:cs="Times New Roman"/>
                <w:color w:val="auto"/>
              </w:rPr>
            </w:pPr>
            <w:r>
              <w:rPr>
                <w:rFonts w:hint="default" w:ascii="Times New Roman" w:hAnsi="Times New Roman" w:eastAsia="黑体" w:cs="Times New Roman"/>
                <w:color w:val="auto"/>
              </w:rPr>
              <w:t>全厂排放量（固体废物产生量）</w:t>
            </w: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 6 \* GB3 \* MERGEFORMAT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⑥</w:t>
            </w:r>
            <w:r>
              <w:rPr>
                <w:rFonts w:hint="default" w:ascii="Times New Roman" w:hAnsi="Times New Roman" w:eastAsia="黑体" w:cs="Times New Roman"/>
                <w:color w:val="auto"/>
              </w:rPr>
              <w:fldChar w:fldCharType="end"/>
            </w:r>
          </w:p>
        </w:tc>
        <w:tc>
          <w:tcPr>
            <w:tcW w:w="1408" w:type="dxa"/>
            <w:tcMar>
              <w:left w:w="28" w:type="dxa"/>
              <w:right w:w="28" w:type="dxa"/>
            </w:tcMar>
            <w:vAlign w:val="center"/>
          </w:tcPr>
          <w:p>
            <w:pPr>
              <w:adjustRightInd w:val="0"/>
              <w:snapToGrid w:val="0"/>
              <w:spacing w:line="240" w:lineRule="auto"/>
              <w:ind w:firstLine="0" w:firstLineChars="0"/>
              <w:jc w:val="center"/>
              <w:rPr>
                <w:rFonts w:hint="default" w:ascii="Times New Roman" w:hAnsi="Times New Roman" w:eastAsia="黑体" w:cs="Times New Roman"/>
                <w:color w:val="auto"/>
              </w:rPr>
            </w:pPr>
            <w:r>
              <w:rPr>
                <w:rFonts w:hint="default" w:ascii="Times New Roman" w:hAnsi="Times New Roman" w:eastAsia="黑体" w:cs="Times New Roman"/>
                <w:color w:val="auto"/>
              </w:rPr>
              <w:t>变化量</w:t>
            </w:r>
          </w:p>
          <w:p>
            <w:pPr>
              <w:adjustRightInd w:val="0"/>
              <w:snapToGrid w:val="0"/>
              <w:spacing w:line="240" w:lineRule="auto"/>
              <w:ind w:firstLine="0" w:firstLineChars="0"/>
              <w:jc w:val="center"/>
              <w:rPr>
                <w:rFonts w:hint="default" w:ascii="Times New Roman" w:hAnsi="Times New Roman" w:eastAsia="黑体" w:cs="Times New Roman"/>
                <w:color w:val="auto"/>
              </w:rPr>
            </w:pPr>
            <w:r>
              <w:rPr>
                <w:rFonts w:hint="default" w:ascii="Times New Roman" w:hAnsi="Times New Roman" w:eastAsia="黑体" w:cs="Times New Roman"/>
                <w:color w:val="auto"/>
              </w:rPr>
              <w:fldChar w:fldCharType="begin"/>
            </w:r>
            <w:r>
              <w:rPr>
                <w:rFonts w:hint="default" w:ascii="Times New Roman" w:hAnsi="Times New Roman" w:eastAsia="黑体" w:cs="Times New Roman"/>
                <w:color w:val="auto"/>
              </w:rPr>
              <w:instrText xml:space="preserve"> = 7 \* GB3 \* MERGEFORMAT </w:instrText>
            </w:r>
            <w:r>
              <w:rPr>
                <w:rFonts w:hint="default" w:ascii="Times New Roman" w:hAnsi="Times New Roman" w:eastAsia="黑体" w:cs="Times New Roman"/>
                <w:color w:val="auto"/>
              </w:rPr>
              <w:fldChar w:fldCharType="separate"/>
            </w:r>
            <w:r>
              <w:rPr>
                <w:rFonts w:hint="default" w:ascii="Times New Roman" w:hAnsi="Times New Roman" w:eastAsia="黑体" w:cs="Times New Roman"/>
                <w:color w:val="auto"/>
              </w:rPr>
              <w:t>⑦</w:t>
            </w:r>
            <w:r>
              <w:rPr>
                <w:rFonts w:hint="default" w:ascii="Times New Roman" w:hAnsi="Times New Roman" w:eastAsia="黑体" w:cs="Times New Roman"/>
                <w:color w:val="auto"/>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61" w:hRule="atLeast"/>
        </w:trPr>
        <w:tc>
          <w:tcPr>
            <w:tcW w:w="1278" w:type="dxa"/>
            <w:vMerge w:val="restart"/>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废气</w:t>
            </w:r>
          </w:p>
        </w:tc>
        <w:tc>
          <w:tcPr>
            <w:tcW w:w="1740"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NO</w:t>
            </w:r>
            <w:r>
              <w:rPr>
                <w:rFonts w:hint="default" w:ascii="Times New Roman" w:hAnsi="Times New Roman" w:cs="Times New Roman"/>
                <w:color w:val="auto"/>
                <w:vertAlign w:val="subscript"/>
              </w:rPr>
              <w:t>X</w:t>
            </w:r>
          </w:p>
        </w:tc>
        <w:tc>
          <w:tcPr>
            <w:tcW w:w="1455"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0.212t/a</w:t>
            </w:r>
          </w:p>
        </w:tc>
        <w:tc>
          <w:tcPr>
            <w:tcW w:w="1337"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0.608 t/a</w:t>
            </w:r>
          </w:p>
        </w:tc>
        <w:tc>
          <w:tcPr>
            <w:tcW w:w="1500"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w:t>
            </w:r>
          </w:p>
        </w:tc>
        <w:tc>
          <w:tcPr>
            <w:tcW w:w="1575"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0.292t/a</w:t>
            </w:r>
          </w:p>
        </w:tc>
        <w:tc>
          <w:tcPr>
            <w:tcW w:w="1395"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0.212t/a</w:t>
            </w:r>
          </w:p>
        </w:tc>
        <w:tc>
          <w:tcPr>
            <w:tcW w:w="2100"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0.292t/a</w:t>
            </w:r>
          </w:p>
        </w:tc>
        <w:tc>
          <w:tcPr>
            <w:tcW w:w="1408" w:type="dxa"/>
            <w:vAlign w:val="center"/>
          </w:tcPr>
          <w:p>
            <w:pPr>
              <w:widowControl/>
              <w:spacing w:line="240" w:lineRule="auto"/>
              <w:ind w:firstLine="0" w:firstLineChars="0"/>
              <w:jc w:val="left"/>
              <w:rPr>
                <w:rFonts w:hint="default" w:ascii="Times New Roman" w:hAnsi="Times New Roman" w:cs="Times New Roman"/>
                <w:color w:val="auto"/>
                <w:kern w:val="0"/>
              </w:rPr>
            </w:pPr>
            <w:r>
              <w:rPr>
                <w:rFonts w:hint="default" w:ascii="Times New Roman" w:hAnsi="Times New Roman" w:cs="Times New Roman"/>
                <w:color w:val="auto"/>
              </w:rPr>
              <w:t>+0.08 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89" w:hRule="atLeast"/>
        </w:trPr>
        <w:tc>
          <w:tcPr>
            <w:tcW w:w="1278" w:type="dxa"/>
            <w:vMerge w:val="continue"/>
            <w:vAlign w:val="center"/>
          </w:tcPr>
          <w:p>
            <w:pPr>
              <w:adjustRightInd w:val="0"/>
              <w:snapToGrid w:val="0"/>
              <w:spacing w:line="240" w:lineRule="auto"/>
              <w:ind w:firstLine="0" w:firstLineChars="0"/>
              <w:jc w:val="left"/>
              <w:rPr>
                <w:rFonts w:hint="default" w:ascii="Times New Roman" w:hAnsi="Times New Roman" w:cs="Times New Roman"/>
                <w:color w:val="auto"/>
              </w:rPr>
            </w:pPr>
          </w:p>
        </w:tc>
        <w:tc>
          <w:tcPr>
            <w:tcW w:w="1740"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SO</w:t>
            </w:r>
            <w:r>
              <w:rPr>
                <w:rFonts w:hint="default" w:ascii="Times New Roman" w:hAnsi="Times New Roman" w:cs="Times New Roman"/>
                <w:color w:val="auto"/>
                <w:vertAlign w:val="subscript"/>
              </w:rPr>
              <w:t>2</w:t>
            </w:r>
          </w:p>
        </w:tc>
        <w:tc>
          <w:tcPr>
            <w:tcW w:w="1455"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0.039 t/a</w:t>
            </w:r>
          </w:p>
        </w:tc>
        <w:tc>
          <w:tcPr>
            <w:tcW w:w="1337"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0.142 t/a</w:t>
            </w:r>
          </w:p>
        </w:tc>
        <w:tc>
          <w:tcPr>
            <w:tcW w:w="1500"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w:t>
            </w:r>
          </w:p>
        </w:tc>
        <w:tc>
          <w:tcPr>
            <w:tcW w:w="1575"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0.032t/a</w:t>
            </w:r>
          </w:p>
        </w:tc>
        <w:tc>
          <w:tcPr>
            <w:tcW w:w="1395"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0.039 t/a</w:t>
            </w:r>
          </w:p>
        </w:tc>
        <w:tc>
          <w:tcPr>
            <w:tcW w:w="2100"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0.032t/a</w:t>
            </w:r>
          </w:p>
        </w:tc>
        <w:tc>
          <w:tcPr>
            <w:tcW w:w="1408" w:type="dxa"/>
            <w:vAlign w:val="center"/>
          </w:tcPr>
          <w:p>
            <w:pPr>
              <w:ind w:firstLine="0" w:firstLineChars="0"/>
              <w:jc w:val="left"/>
              <w:rPr>
                <w:rFonts w:hint="default" w:ascii="Times New Roman" w:hAnsi="Times New Roman" w:cs="Times New Roman"/>
                <w:color w:val="auto"/>
              </w:rPr>
            </w:pPr>
            <w:r>
              <w:rPr>
                <w:rFonts w:hint="default" w:ascii="Times New Roman" w:hAnsi="Times New Roman" w:cs="Times New Roman"/>
                <w:color w:val="auto"/>
              </w:rPr>
              <w:t>-0.007 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81" w:hRule="atLeast"/>
        </w:trPr>
        <w:tc>
          <w:tcPr>
            <w:tcW w:w="1278" w:type="dxa"/>
            <w:vMerge w:val="continue"/>
            <w:vAlign w:val="center"/>
          </w:tcPr>
          <w:p>
            <w:pPr>
              <w:adjustRightInd w:val="0"/>
              <w:snapToGrid w:val="0"/>
              <w:spacing w:line="240" w:lineRule="auto"/>
              <w:ind w:firstLine="0" w:firstLineChars="0"/>
              <w:jc w:val="left"/>
              <w:rPr>
                <w:rFonts w:hint="default" w:ascii="Times New Roman" w:hAnsi="Times New Roman" w:cs="Times New Roman"/>
                <w:color w:val="auto"/>
              </w:rPr>
            </w:pPr>
          </w:p>
        </w:tc>
        <w:tc>
          <w:tcPr>
            <w:tcW w:w="1740"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颗粒物</w:t>
            </w:r>
          </w:p>
        </w:tc>
        <w:tc>
          <w:tcPr>
            <w:tcW w:w="1455"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0.0065t/a</w:t>
            </w:r>
          </w:p>
        </w:tc>
        <w:tc>
          <w:tcPr>
            <w:tcW w:w="1337"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w:t>
            </w:r>
          </w:p>
        </w:tc>
        <w:tc>
          <w:tcPr>
            <w:tcW w:w="1500"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w:t>
            </w:r>
          </w:p>
        </w:tc>
        <w:tc>
          <w:tcPr>
            <w:tcW w:w="1575"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0.0446t/a</w:t>
            </w:r>
          </w:p>
        </w:tc>
        <w:tc>
          <w:tcPr>
            <w:tcW w:w="1395"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0.0065t/a</w:t>
            </w:r>
          </w:p>
        </w:tc>
        <w:tc>
          <w:tcPr>
            <w:tcW w:w="2100"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0.0446t/a</w:t>
            </w:r>
          </w:p>
        </w:tc>
        <w:tc>
          <w:tcPr>
            <w:tcW w:w="1408" w:type="dxa"/>
            <w:vAlign w:val="center"/>
          </w:tcPr>
          <w:p>
            <w:pPr>
              <w:ind w:firstLine="0" w:firstLineChars="0"/>
              <w:jc w:val="left"/>
              <w:rPr>
                <w:rFonts w:hint="default" w:ascii="Times New Roman" w:hAnsi="Times New Roman" w:cs="Times New Roman"/>
                <w:color w:val="auto"/>
              </w:rPr>
            </w:pPr>
            <w:r>
              <w:rPr>
                <w:rFonts w:hint="default" w:ascii="Times New Roman" w:hAnsi="Times New Roman" w:cs="Times New Roman"/>
                <w:color w:val="auto"/>
              </w:rPr>
              <w:t>+0.0381 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6" w:hRule="atLeast"/>
        </w:trPr>
        <w:tc>
          <w:tcPr>
            <w:tcW w:w="1278" w:type="dxa"/>
            <w:vMerge w:val="restart"/>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废水</w:t>
            </w:r>
          </w:p>
        </w:tc>
        <w:tc>
          <w:tcPr>
            <w:tcW w:w="1740"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废水量</w:t>
            </w:r>
          </w:p>
        </w:tc>
        <w:tc>
          <w:tcPr>
            <w:tcW w:w="1455"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w:t>
            </w:r>
          </w:p>
        </w:tc>
        <w:tc>
          <w:tcPr>
            <w:tcW w:w="1337"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w:t>
            </w:r>
          </w:p>
        </w:tc>
        <w:tc>
          <w:tcPr>
            <w:tcW w:w="1500"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w:t>
            </w:r>
          </w:p>
        </w:tc>
        <w:tc>
          <w:tcPr>
            <w:tcW w:w="1575"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w:t>
            </w:r>
          </w:p>
        </w:tc>
        <w:tc>
          <w:tcPr>
            <w:tcW w:w="1395"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w:t>
            </w:r>
          </w:p>
        </w:tc>
        <w:tc>
          <w:tcPr>
            <w:tcW w:w="2100"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w:t>
            </w:r>
          </w:p>
        </w:tc>
        <w:tc>
          <w:tcPr>
            <w:tcW w:w="1408"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8" w:hRule="atLeast"/>
        </w:trPr>
        <w:tc>
          <w:tcPr>
            <w:tcW w:w="1278" w:type="dxa"/>
            <w:vMerge w:val="continue"/>
            <w:vAlign w:val="center"/>
          </w:tcPr>
          <w:p>
            <w:pPr>
              <w:adjustRightInd w:val="0"/>
              <w:snapToGrid w:val="0"/>
              <w:spacing w:line="240" w:lineRule="auto"/>
              <w:ind w:firstLine="0" w:firstLineChars="0"/>
              <w:jc w:val="left"/>
              <w:rPr>
                <w:rFonts w:hint="default" w:ascii="Times New Roman" w:hAnsi="Times New Roman" w:cs="Times New Roman"/>
                <w:color w:val="auto"/>
              </w:rPr>
            </w:pPr>
          </w:p>
        </w:tc>
        <w:tc>
          <w:tcPr>
            <w:tcW w:w="1740"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COD</w:t>
            </w:r>
          </w:p>
        </w:tc>
        <w:tc>
          <w:tcPr>
            <w:tcW w:w="1455"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w:t>
            </w:r>
          </w:p>
        </w:tc>
        <w:tc>
          <w:tcPr>
            <w:tcW w:w="1337"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w:t>
            </w:r>
          </w:p>
        </w:tc>
        <w:tc>
          <w:tcPr>
            <w:tcW w:w="1500"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w:t>
            </w:r>
          </w:p>
        </w:tc>
        <w:tc>
          <w:tcPr>
            <w:tcW w:w="1575"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w:t>
            </w:r>
          </w:p>
        </w:tc>
        <w:tc>
          <w:tcPr>
            <w:tcW w:w="1395"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w:t>
            </w:r>
          </w:p>
        </w:tc>
        <w:tc>
          <w:tcPr>
            <w:tcW w:w="2100"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w:t>
            </w:r>
          </w:p>
        </w:tc>
        <w:tc>
          <w:tcPr>
            <w:tcW w:w="1408"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2" w:hRule="atLeast"/>
        </w:trPr>
        <w:tc>
          <w:tcPr>
            <w:tcW w:w="1278" w:type="dxa"/>
            <w:vMerge w:val="continue"/>
            <w:vAlign w:val="center"/>
          </w:tcPr>
          <w:p>
            <w:pPr>
              <w:adjustRightInd w:val="0"/>
              <w:snapToGrid w:val="0"/>
              <w:spacing w:line="240" w:lineRule="auto"/>
              <w:ind w:firstLine="0" w:firstLineChars="0"/>
              <w:jc w:val="left"/>
              <w:rPr>
                <w:rFonts w:hint="default" w:ascii="Times New Roman" w:hAnsi="Times New Roman" w:cs="Times New Roman"/>
                <w:color w:val="auto"/>
              </w:rPr>
            </w:pPr>
          </w:p>
        </w:tc>
        <w:tc>
          <w:tcPr>
            <w:tcW w:w="1740"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NH</w:t>
            </w:r>
            <w:r>
              <w:rPr>
                <w:rFonts w:hint="default" w:ascii="Times New Roman" w:hAnsi="Times New Roman" w:cs="Times New Roman"/>
                <w:color w:val="auto"/>
                <w:vertAlign w:val="subscript"/>
              </w:rPr>
              <w:t>3</w:t>
            </w:r>
            <w:r>
              <w:rPr>
                <w:rFonts w:hint="default" w:ascii="Times New Roman" w:hAnsi="Times New Roman" w:cs="Times New Roman"/>
                <w:color w:val="auto"/>
              </w:rPr>
              <w:t>-N</w:t>
            </w:r>
          </w:p>
        </w:tc>
        <w:tc>
          <w:tcPr>
            <w:tcW w:w="1455"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w:t>
            </w:r>
          </w:p>
        </w:tc>
        <w:tc>
          <w:tcPr>
            <w:tcW w:w="1337"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w:t>
            </w:r>
          </w:p>
        </w:tc>
        <w:tc>
          <w:tcPr>
            <w:tcW w:w="1500"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w:t>
            </w:r>
          </w:p>
        </w:tc>
        <w:tc>
          <w:tcPr>
            <w:tcW w:w="1575"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w:t>
            </w:r>
          </w:p>
        </w:tc>
        <w:tc>
          <w:tcPr>
            <w:tcW w:w="1395"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w:t>
            </w:r>
          </w:p>
        </w:tc>
        <w:tc>
          <w:tcPr>
            <w:tcW w:w="2100"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w:t>
            </w:r>
          </w:p>
        </w:tc>
        <w:tc>
          <w:tcPr>
            <w:tcW w:w="1408"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1278" w:type="dxa"/>
            <w:vMerge w:val="restart"/>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一般工业</w:t>
            </w:r>
          </w:p>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固体废物</w:t>
            </w:r>
          </w:p>
        </w:tc>
        <w:tc>
          <w:tcPr>
            <w:tcW w:w="1740"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生活垃圾</w:t>
            </w:r>
          </w:p>
        </w:tc>
        <w:tc>
          <w:tcPr>
            <w:tcW w:w="1455"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w:t>
            </w:r>
          </w:p>
        </w:tc>
        <w:tc>
          <w:tcPr>
            <w:tcW w:w="1337"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w:t>
            </w:r>
          </w:p>
        </w:tc>
        <w:tc>
          <w:tcPr>
            <w:tcW w:w="1500"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w:t>
            </w:r>
          </w:p>
        </w:tc>
        <w:tc>
          <w:tcPr>
            <w:tcW w:w="1575"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w:t>
            </w:r>
          </w:p>
        </w:tc>
        <w:tc>
          <w:tcPr>
            <w:tcW w:w="1395"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w:t>
            </w:r>
          </w:p>
        </w:tc>
        <w:tc>
          <w:tcPr>
            <w:tcW w:w="2100"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w:t>
            </w:r>
          </w:p>
        </w:tc>
        <w:tc>
          <w:tcPr>
            <w:tcW w:w="1408"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278" w:type="dxa"/>
            <w:vMerge w:val="continue"/>
            <w:vAlign w:val="center"/>
          </w:tcPr>
          <w:p>
            <w:pPr>
              <w:adjustRightInd w:val="0"/>
              <w:snapToGrid w:val="0"/>
              <w:spacing w:line="240" w:lineRule="auto"/>
              <w:ind w:firstLine="0" w:firstLineChars="0"/>
              <w:jc w:val="left"/>
              <w:rPr>
                <w:rFonts w:hint="default" w:ascii="Times New Roman" w:hAnsi="Times New Roman" w:cs="Times New Roman"/>
                <w:color w:val="auto"/>
              </w:rPr>
            </w:pPr>
          </w:p>
        </w:tc>
        <w:tc>
          <w:tcPr>
            <w:tcW w:w="1740"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药渣</w:t>
            </w:r>
          </w:p>
        </w:tc>
        <w:tc>
          <w:tcPr>
            <w:tcW w:w="1455"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w:t>
            </w:r>
          </w:p>
        </w:tc>
        <w:tc>
          <w:tcPr>
            <w:tcW w:w="1337"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w:t>
            </w:r>
          </w:p>
        </w:tc>
        <w:tc>
          <w:tcPr>
            <w:tcW w:w="1500"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w:t>
            </w:r>
          </w:p>
        </w:tc>
        <w:tc>
          <w:tcPr>
            <w:tcW w:w="1575"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w:t>
            </w:r>
          </w:p>
        </w:tc>
        <w:tc>
          <w:tcPr>
            <w:tcW w:w="1395"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w:t>
            </w:r>
          </w:p>
        </w:tc>
        <w:tc>
          <w:tcPr>
            <w:tcW w:w="2100"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w:t>
            </w:r>
          </w:p>
        </w:tc>
        <w:tc>
          <w:tcPr>
            <w:tcW w:w="1408"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1278" w:type="dxa"/>
            <w:vAlign w:val="center"/>
          </w:tcPr>
          <w:p>
            <w:pPr>
              <w:adjustRightInd w:val="0"/>
              <w:snapToGrid w:val="0"/>
              <w:spacing w:line="240" w:lineRule="auto"/>
              <w:ind w:firstLine="0" w:firstLineChars="0"/>
              <w:jc w:val="left"/>
              <w:rPr>
                <w:rFonts w:hint="default" w:ascii="Times New Roman" w:hAnsi="Times New Roman" w:cs="Times New Roman"/>
                <w:color w:val="auto"/>
              </w:rPr>
            </w:pPr>
          </w:p>
        </w:tc>
        <w:tc>
          <w:tcPr>
            <w:tcW w:w="1740"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锅炉炉渣及除尘灰渣</w:t>
            </w:r>
          </w:p>
        </w:tc>
        <w:tc>
          <w:tcPr>
            <w:tcW w:w="1455"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w:t>
            </w:r>
          </w:p>
        </w:tc>
        <w:tc>
          <w:tcPr>
            <w:tcW w:w="1337"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w:t>
            </w:r>
          </w:p>
        </w:tc>
        <w:tc>
          <w:tcPr>
            <w:tcW w:w="1500"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w:t>
            </w:r>
          </w:p>
        </w:tc>
        <w:tc>
          <w:tcPr>
            <w:tcW w:w="1575"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w:t>
            </w:r>
          </w:p>
        </w:tc>
        <w:tc>
          <w:tcPr>
            <w:tcW w:w="1395"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w:t>
            </w:r>
          </w:p>
        </w:tc>
        <w:tc>
          <w:tcPr>
            <w:tcW w:w="2100"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w:t>
            </w:r>
          </w:p>
        </w:tc>
        <w:tc>
          <w:tcPr>
            <w:tcW w:w="1408" w:type="dxa"/>
            <w:vAlign w:val="center"/>
          </w:tcPr>
          <w:p>
            <w:pPr>
              <w:adjustRightInd w:val="0"/>
              <w:snapToGrid w:val="0"/>
              <w:spacing w:line="240" w:lineRule="auto"/>
              <w:ind w:firstLine="0" w:firstLineChars="0"/>
              <w:jc w:val="left"/>
              <w:rPr>
                <w:rFonts w:hint="default" w:ascii="Times New Roman" w:hAnsi="Times New Roman" w:cs="Times New Roman"/>
                <w:color w:val="auto"/>
              </w:rPr>
            </w:pPr>
            <w:r>
              <w:rPr>
                <w:rFonts w:hint="default" w:ascii="Times New Roman" w:hAnsi="Times New Roman" w:cs="Times New Roman"/>
                <w:color w:val="auto"/>
              </w:rPr>
              <w:t>/</w:t>
            </w:r>
          </w:p>
        </w:tc>
      </w:tr>
    </w:tbl>
    <w:p>
      <w:pPr>
        <w:adjustRightInd w:val="0"/>
        <w:snapToGrid w:val="0"/>
        <w:spacing w:before="120" w:beforeLines="50" w:after="24" w:line="240" w:lineRule="auto"/>
        <w:ind w:firstLine="480"/>
        <w:jc w:val="left"/>
        <w:rPr>
          <w:rFonts w:hint="default" w:ascii="Times New Roman" w:hAnsi="Times New Roman" w:eastAsia="宋体" w:cs="Times New Roman"/>
          <w:color w:val="auto"/>
          <w:lang w:val="en-US" w:eastAsia="zh-CN"/>
        </w:rPr>
        <w:sectPr>
          <w:pgSz w:w="16839" w:h="11907" w:orient="landscape"/>
          <w:pgMar w:top="1531" w:right="1701" w:bottom="1531" w:left="1701" w:header="851" w:footer="851" w:gutter="0"/>
          <w:cols w:space="720" w:num="1"/>
          <w:docGrid w:linePitch="326" w:charSpace="0"/>
        </w:sectPr>
      </w:pPr>
      <w:r>
        <w:rPr>
          <w:rFonts w:hint="default" w:ascii="Times New Roman" w:hAnsi="Times New Roman" w:cs="Times New Roman"/>
          <w:snapToGrid w:val="0"/>
          <w:color w:val="auto"/>
          <w:kern w:val="21"/>
          <w:szCs w:val="21"/>
        </w:rPr>
        <w:t>注：</w:t>
      </w:r>
      <w:r>
        <w:rPr>
          <w:rFonts w:hint="default" w:ascii="Times New Roman" w:hAnsi="Times New Roman" w:cs="Times New Roman"/>
          <w:snapToGrid w:val="0"/>
          <w:color w:val="auto"/>
          <w:spacing w:val="-16"/>
          <w:kern w:val="21"/>
          <w:szCs w:val="21"/>
        </w:rPr>
        <w:fldChar w:fldCharType="begin"/>
      </w:r>
      <w:r>
        <w:rPr>
          <w:rFonts w:hint="default" w:ascii="Times New Roman" w:hAnsi="Times New Roman" w:cs="Times New Roman"/>
          <w:snapToGrid w:val="0"/>
          <w:color w:val="auto"/>
          <w:spacing w:val="-16"/>
          <w:kern w:val="21"/>
          <w:szCs w:val="21"/>
        </w:rPr>
        <w:instrText xml:space="preserve"> = 6 \* GB3 \* MERGEFORMAT </w:instrText>
      </w:r>
      <w:r>
        <w:rPr>
          <w:rFonts w:hint="default" w:ascii="Times New Roman" w:hAnsi="Times New Roman" w:cs="Times New Roman"/>
          <w:snapToGrid w:val="0"/>
          <w:color w:val="auto"/>
          <w:spacing w:val="-16"/>
          <w:kern w:val="21"/>
          <w:szCs w:val="21"/>
        </w:rPr>
        <w:fldChar w:fldCharType="separate"/>
      </w:r>
      <w:r>
        <w:rPr>
          <w:rFonts w:hint="default" w:ascii="Times New Roman" w:hAnsi="Times New Roman" w:cs="Times New Roman"/>
          <w:color w:val="auto"/>
          <w:szCs w:val="21"/>
        </w:rPr>
        <w:t>⑥</w:t>
      </w:r>
      <w:r>
        <w:rPr>
          <w:rFonts w:hint="default" w:ascii="Times New Roman" w:hAnsi="Times New Roman" w:cs="Times New Roman"/>
          <w:snapToGrid w:val="0"/>
          <w:color w:val="auto"/>
          <w:spacing w:val="-16"/>
          <w:kern w:val="21"/>
          <w:szCs w:val="21"/>
        </w:rPr>
        <w:fldChar w:fldCharType="end"/>
      </w:r>
      <w:r>
        <w:rPr>
          <w:rFonts w:hint="default" w:ascii="Times New Roman" w:hAnsi="Times New Roman" w:cs="Times New Roman"/>
          <w:snapToGrid w:val="0"/>
          <w:color w:val="auto"/>
          <w:spacing w:val="-16"/>
          <w:kern w:val="21"/>
          <w:szCs w:val="21"/>
        </w:rPr>
        <w:t>=</w:t>
      </w:r>
      <w:r>
        <w:rPr>
          <w:rFonts w:hint="default" w:ascii="Times New Roman" w:hAnsi="Times New Roman" w:cs="Times New Roman"/>
          <w:snapToGrid w:val="0"/>
          <w:color w:val="auto"/>
          <w:spacing w:val="-6"/>
          <w:kern w:val="21"/>
          <w:szCs w:val="21"/>
        </w:rPr>
        <w:fldChar w:fldCharType="begin"/>
      </w:r>
      <w:r>
        <w:rPr>
          <w:rFonts w:hint="default" w:ascii="Times New Roman" w:hAnsi="Times New Roman" w:cs="Times New Roman"/>
          <w:snapToGrid w:val="0"/>
          <w:color w:val="auto"/>
          <w:spacing w:val="-6"/>
          <w:kern w:val="21"/>
          <w:szCs w:val="21"/>
        </w:rPr>
        <w:instrText xml:space="preserve"> = 1 \* GB3 \* MERGEFORMAT </w:instrText>
      </w:r>
      <w:r>
        <w:rPr>
          <w:rFonts w:hint="default" w:ascii="Times New Roman" w:hAnsi="Times New Roman" w:cs="Times New Roman"/>
          <w:snapToGrid w:val="0"/>
          <w:color w:val="auto"/>
          <w:spacing w:val="-6"/>
          <w:kern w:val="21"/>
          <w:szCs w:val="21"/>
        </w:rPr>
        <w:fldChar w:fldCharType="separate"/>
      </w:r>
      <w:r>
        <w:rPr>
          <w:rFonts w:hint="default" w:ascii="Times New Roman" w:hAnsi="Times New Roman" w:cs="Times New Roman"/>
          <w:color w:val="auto"/>
          <w:szCs w:val="21"/>
        </w:rPr>
        <w:t>①</w:t>
      </w:r>
      <w:r>
        <w:rPr>
          <w:rFonts w:hint="default" w:ascii="Times New Roman" w:hAnsi="Times New Roman" w:cs="Times New Roman"/>
          <w:snapToGrid w:val="0"/>
          <w:color w:val="auto"/>
          <w:spacing w:val="-6"/>
          <w:kern w:val="21"/>
          <w:szCs w:val="21"/>
        </w:rPr>
        <w:fldChar w:fldCharType="end"/>
      </w:r>
      <w:r>
        <w:rPr>
          <w:rFonts w:hint="default" w:ascii="Times New Roman" w:hAnsi="Times New Roman" w:cs="Times New Roman"/>
          <w:snapToGrid w:val="0"/>
          <w:color w:val="auto"/>
          <w:spacing w:val="-6"/>
          <w:kern w:val="21"/>
          <w:szCs w:val="21"/>
        </w:rPr>
        <w:t>+</w:t>
      </w:r>
      <w:r>
        <w:rPr>
          <w:rFonts w:hint="default" w:ascii="Times New Roman" w:hAnsi="Times New Roman" w:cs="Times New Roman"/>
          <w:snapToGrid w:val="0"/>
          <w:color w:val="auto"/>
          <w:spacing w:val="-6"/>
          <w:kern w:val="21"/>
          <w:szCs w:val="21"/>
        </w:rPr>
        <w:fldChar w:fldCharType="begin"/>
      </w:r>
      <w:r>
        <w:rPr>
          <w:rFonts w:hint="default" w:ascii="Times New Roman" w:hAnsi="Times New Roman" w:cs="Times New Roman"/>
          <w:snapToGrid w:val="0"/>
          <w:color w:val="auto"/>
          <w:spacing w:val="-6"/>
          <w:kern w:val="21"/>
          <w:szCs w:val="21"/>
        </w:rPr>
        <w:instrText xml:space="preserve"> = 3 \* GB3 \* MERGEFORMAT </w:instrText>
      </w:r>
      <w:r>
        <w:rPr>
          <w:rFonts w:hint="default" w:ascii="Times New Roman" w:hAnsi="Times New Roman" w:cs="Times New Roman"/>
          <w:snapToGrid w:val="0"/>
          <w:color w:val="auto"/>
          <w:spacing w:val="-6"/>
          <w:kern w:val="21"/>
          <w:szCs w:val="21"/>
        </w:rPr>
        <w:fldChar w:fldCharType="separate"/>
      </w:r>
      <w:r>
        <w:rPr>
          <w:rFonts w:hint="default" w:ascii="Times New Roman" w:hAnsi="Times New Roman" w:cs="Times New Roman"/>
          <w:color w:val="auto"/>
          <w:szCs w:val="21"/>
        </w:rPr>
        <w:t>③</w:t>
      </w:r>
      <w:r>
        <w:rPr>
          <w:rFonts w:hint="default" w:ascii="Times New Roman" w:hAnsi="Times New Roman" w:cs="Times New Roman"/>
          <w:snapToGrid w:val="0"/>
          <w:color w:val="auto"/>
          <w:spacing w:val="-6"/>
          <w:kern w:val="21"/>
          <w:szCs w:val="21"/>
        </w:rPr>
        <w:fldChar w:fldCharType="end"/>
      </w:r>
      <w:r>
        <w:rPr>
          <w:rFonts w:hint="default" w:ascii="Times New Roman" w:hAnsi="Times New Roman" w:cs="Times New Roman"/>
          <w:snapToGrid w:val="0"/>
          <w:color w:val="auto"/>
          <w:spacing w:val="-6"/>
          <w:kern w:val="21"/>
          <w:szCs w:val="21"/>
        </w:rPr>
        <w:t>+</w:t>
      </w:r>
      <w:r>
        <w:rPr>
          <w:rFonts w:hint="default" w:ascii="Times New Roman" w:hAnsi="Times New Roman" w:cs="Times New Roman"/>
          <w:snapToGrid w:val="0"/>
          <w:color w:val="auto"/>
          <w:spacing w:val="-6"/>
          <w:kern w:val="21"/>
          <w:szCs w:val="21"/>
        </w:rPr>
        <w:fldChar w:fldCharType="begin"/>
      </w:r>
      <w:r>
        <w:rPr>
          <w:rFonts w:hint="default" w:ascii="Times New Roman" w:hAnsi="Times New Roman" w:cs="Times New Roman"/>
          <w:snapToGrid w:val="0"/>
          <w:color w:val="auto"/>
          <w:spacing w:val="-6"/>
          <w:kern w:val="21"/>
          <w:szCs w:val="21"/>
        </w:rPr>
        <w:instrText xml:space="preserve"> = 4 \* GB3 \* MERGEFORMAT </w:instrText>
      </w:r>
      <w:r>
        <w:rPr>
          <w:rFonts w:hint="default" w:ascii="Times New Roman" w:hAnsi="Times New Roman" w:cs="Times New Roman"/>
          <w:snapToGrid w:val="0"/>
          <w:color w:val="auto"/>
          <w:spacing w:val="-6"/>
          <w:kern w:val="21"/>
          <w:szCs w:val="21"/>
        </w:rPr>
        <w:fldChar w:fldCharType="separate"/>
      </w:r>
      <w:r>
        <w:rPr>
          <w:rFonts w:hint="default" w:ascii="Times New Roman" w:hAnsi="Times New Roman" w:cs="Times New Roman"/>
          <w:color w:val="auto"/>
          <w:szCs w:val="21"/>
        </w:rPr>
        <w:t>④</w:t>
      </w:r>
      <w:r>
        <w:rPr>
          <w:rFonts w:hint="default" w:ascii="Times New Roman" w:hAnsi="Times New Roman" w:cs="Times New Roman"/>
          <w:snapToGrid w:val="0"/>
          <w:color w:val="auto"/>
          <w:spacing w:val="-6"/>
          <w:kern w:val="21"/>
          <w:szCs w:val="21"/>
        </w:rPr>
        <w:fldChar w:fldCharType="end"/>
      </w:r>
      <w:r>
        <w:rPr>
          <w:rFonts w:hint="default" w:ascii="Times New Roman" w:hAnsi="Times New Roman" w:cs="Times New Roman"/>
          <w:snapToGrid w:val="0"/>
          <w:color w:val="auto"/>
          <w:spacing w:val="-6"/>
          <w:kern w:val="21"/>
          <w:szCs w:val="21"/>
        </w:rPr>
        <w:t>-</w:t>
      </w:r>
      <w:r>
        <w:rPr>
          <w:rFonts w:hint="default" w:ascii="Times New Roman" w:hAnsi="Times New Roman" w:cs="Times New Roman"/>
          <w:snapToGrid w:val="0"/>
          <w:color w:val="auto"/>
          <w:spacing w:val="-16"/>
          <w:kern w:val="21"/>
          <w:szCs w:val="21"/>
        </w:rPr>
        <w:fldChar w:fldCharType="begin"/>
      </w:r>
      <w:r>
        <w:rPr>
          <w:rFonts w:hint="default" w:ascii="Times New Roman" w:hAnsi="Times New Roman" w:cs="Times New Roman"/>
          <w:snapToGrid w:val="0"/>
          <w:color w:val="auto"/>
          <w:spacing w:val="-16"/>
          <w:kern w:val="21"/>
          <w:szCs w:val="21"/>
        </w:rPr>
        <w:instrText xml:space="preserve"> = 5 \* GB3 \* MERGEFORMAT </w:instrText>
      </w:r>
      <w:r>
        <w:rPr>
          <w:rFonts w:hint="default" w:ascii="Times New Roman" w:hAnsi="Times New Roman" w:cs="Times New Roman"/>
          <w:snapToGrid w:val="0"/>
          <w:color w:val="auto"/>
          <w:spacing w:val="-16"/>
          <w:kern w:val="21"/>
          <w:szCs w:val="21"/>
        </w:rPr>
        <w:fldChar w:fldCharType="separate"/>
      </w:r>
      <w:r>
        <w:rPr>
          <w:rFonts w:hint="default" w:ascii="Times New Roman" w:hAnsi="Times New Roman" w:cs="Times New Roman"/>
          <w:color w:val="auto"/>
          <w:szCs w:val="21"/>
        </w:rPr>
        <w:t>⑤</w:t>
      </w:r>
      <w:r>
        <w:rPr>
          <w:rFonts w:hint="default" w:ascii="Times New Roman" w:hAnsi="Times New Roman" w:cs="Times New Roman"/>
          <w:snapToGrid w:val="0"/>
          <w:color w:val="auto"/>
          <w:spacing w:val="-16"/>
          <w:kern w:val="21"/>
          <w:szCs w:val="21"/>
        </w:rPr>
        <w:fldChar w:fldCharType="end"/>
      </w:r>
      <w:r>
        <w:rPr>
          <w:rFonts w:hint="default" w:ascii="Times New Roman" w:hAnsi="Times New Roman" w:cs="Times New Roman"/>
          <w:snapToGrid w:val="0"/>
          <w:color w:val="auto"/>
          <w:spacing w:val="-16"/>
          <w:kern w:val="21"/>
          <w:szCs w:val="21"/>
        </w:rPr>
        <w:t>；</w:t>
      </w:r>
      <w:r>
        <w:rPr>
          <w:rFonts w:hint="default" w:ascii="Times New Roman" w:hAnsi="Times New Roman" w:cs="Times New Roman"/>
          <w:snapToGrid w:val="0"/>
          <w:color w:val="auto"/>
          <w:spacing w:val="-6"/>
          <w:kern w:val="21"/>
          <w:szCs w:val="21"/>
        </w:rPr>
        <w:fldChar w:fldCharType="begin"/>
      </w:r>
      <w:r>
        <w:rPr>
          <w:rFonts w:hint="default" w:ascii="Times New Roman" w:hAnsi="Times New Roman" w:cs="Times New Roman"/>
          <w:snapToGrid w:val="0"/>
          <w:color w:val="auto"/>
          <w:spacing w:val="-6"/>
          <w:kern w:val="21"/>
          <w:szCs w:val="21"/>
        </w:rPr>
        <w:instrText xml:space="preserve"> = 7 \* GB3 \* MERGEFORMAT </w:instrText>
      </w:r>
      <w:r>
        <w:rPr>
          <w:rFonts w:hint="default" w:ascii="Times New Roman" w:hAnsi="Times New Roman" w:cs="Times New Roman"/>
          <w:snapToGrid w:val="0"/>
          <w:color w:val="auto"/>
          <w:spacing w:val="-6"/>
          <w:kern w:val="21"/>
          <w:szCs w:val="21"/>
        </w:rPr>
        <w:fldChar w:fldCharType="separate"/>
      </w:r>
      <w:r>
        <w:rPr>
          <w:rFonts w:hint="default" w:ascii="Times New Roman" w:hAnsi="Times New Roman" w:cs="Times New Roman"/>
          <w:color w:val="auto"/>
          <w:szCs w:val="21"/>
        </w:rPr>
        <w:t>⑦</w:t>
      </w:r>
      <w:r>
        <w:rPr>
          <w:rFonts w:hint="default" w:ascii="Times New Roman" w:hAnsi="Times New Roman" w:cs="Times New Roman"/>
          <w:snapToGrid w:val="0"/>
          <w:color w:val="auto"/>
          <w:spacing w:val="-6"/>
          <w:kern w:val="21"/>
          <w:szCs w:val="21"/>
        </w:rPr>
        <w:fldChar w:fldCharType="end"/>
      </w:r>
      <w:r>
        <w:rPr>
          <w:rFonts w:hint="default" w:ascii="Times New Roman" w:hAnsi="Times New Roman" w:cs="Times New Roman"/>
          <w:snapToGrid w:val="0"/>
          <w:color w:val="auto"/>
          <w:spacing w:val="-6"/>
          <w:kern w:val="21"/>
          <w:szCs w:val="21"/>
        </w:rPr>
        <w:t>=</w:t>
      </w:r>
      <w:r>
        <w:rPr>
          <w:rFonts w:hint="default" w:ascii="Times New Roman" w:hAnsi="Times New Roman" w:cs="Times New Roman"/>
          <w:snapToGrid w:val="0"/>
          <w:color w:val="auto"/>
          <w:spacing w:val="-16"/>
          <w:kern w:val="21"/>
          <w:szCs w:val="21"/>
        </w:rPr>
        <w:fldChar w:fldCharType="begin"/>
      </w:r>
      <w:r>
        <w:rPr>
          <w:rFonts w:hint="default" w:ascii="Times New Roman" w:hAnsi="Times New Roman" w:cs="Times New Roman"/>
          <w:snapToGrid w:val="0"/>
          <w:color w:val="auto"/>
          <w:spacing w:val="-16"/>
          <w:kern w:val="21"/>
          <w:szCs w:val="21"/>
        </w:rPr>
        <w:instrText xml:space="preserve"> = 6 \* GB3 \* MERGEFORMAT </w:instrText>
      </w:r>
      <w:r>
        <w:rPr>
          <w:rFonts w:hint="default" w:ascii="Times New Roman" w:hAnsi="Times New Roman" w:cs="Times New Roman"/>
          <w:snapToGrid w:val="0"/>
          <w:color w:val="auto"/>
          <w:spacing w:val="-16"/>
          <w:kern w:val="21"/>
          <w:szCs w:val="21"/>
        </w:rPr>
        <w:fldChar w:fldCharType="separate"/>
      </w:r>
      <w:r>
        <w:rPr>
          <w:rFonts w:hint="default" w:ascii="Times New Roman" w:hAnsi="Times New Roman" w:cs="Times New Roman"/>
          <w:color w:val="auto"/>
          <w:szCs w:val="21"/>
        </w:rPr>
        <w:t>⑥</w:t>
      </w:r>
      <w:r>
        <w:rPr>
          <w:rFonts w:hint="default" w:ascii="Times New Roman" w:hAnsi="Times New Roman" w:cs="Times New Roman"/>
          <w:snapToGrid w:val="0"/>
          <w:color w:val="auto"/>
          <w:spacing w:val="-16"/>
          <w:kern w:val="21"/>
          <w:szCs w:val="21"/>
        </w:rPr>
        <w:fldChar w:fldCharType="end"/>
      </w:r>
      <w:r>
        <w:rPr>
          <w:rFonts w:hint="default" w:ascii="Times New Roman" w:hAnsi="Times New Roman" w:cs="Times New Roman"/>
          <w:snapToGrid w:val="0"/>
          <w:color w:val="auto"/>
          <w:spacing w:val="-16"/>
          <w:kern w:val="21"/>
          <w:szCs w:val="21"/>
        </w:rPr>
        <w:t>-</w:t>
      </w:r>
      <w:r>
        <w:rPr>
          <w:rFonts w:hint="default" w:ascii="Times New Roman" w:hAnsi="Times New Roman" w:cs="Times New Roman"/>
          <w:snapToGrid w:val="0"/>
          <w:color w:val="auto"/>
          <w:spacing w:val="-6"/>
          <w:kern w:val="21"/>
          <w:szCs w:val="21"/>
        </w:rPr>
        <w:fldChar w:fldCharType="begin"/>
      </w:r>
      <w:r>
        <w:rPr>
          <w:rFonts w:hint="default" w:ascii="Times New Roman" w:hAnsi="Times New Roman" w:cs="Times New Roman"/>
          <w:snapToGrid w:val="0"/>
          <w:color w:val="auto"/>
          <w:spacing w:val="-6"/>
          <w:kern w:val="21"/>
          <w:szCs w:val="21"/>
        </w:rPr>
        <w:instrText xml:space="preserve"> = 1 \* GB3 \* MERGEFORMAT </w:instrText>
      </w:r>
      <w:r>
        <w:rPr>
          <w:rFonts w:hint="default" w:ascii="Times New Roman" w:hAnsi="Times New Roman" w:cs="Times New Roman"/>
          <w:snapToGrid w:val="0"/>
          <w:color w:val="auto"/>
          <w:spacing w:val="-6"/>
          <w:kern w:val="21"/>
          <w:szCs w:val="21"/>
        </w:rPr>
        <w:fldChar w:fldCharType="separate"/>
      </w:r>
      <w:r>
        <w:rPr>
          <w:rFonts w:hint="default" w:ascii="Times New Roman" w:hAnsi="Times New Roman" w:cs="Times New Roman"/>
          <w:color w:val="auto"/>
          <w:szCs w:val="21"/>
        </w:rPr>
        <w:t>①</w:t>
      </w:r>
      <w:r>
        <w:rPr>
          <w:rFonts w:hint="default" w:ascii="Times New Roman" w:hAnsi="Times New Roman" w:cs="Times New Roman"/>
          <w:snapToGrid w:val="0"/>
          <w:color w:val="auto"/>
          <w:spacing w:val="-6"/>
          <w:kern w:val="21"/>
          <w:szCs w:val="21"/>
        </w:rPr>
        <w:fldChar w:fldCharType="end"/>
      </w:r>
      <w:r>
        <w:rPr>
          <w:rFonts w:hint="eastAsia" w:cs="Times New Roman"/>
          <w:snapToGrid w:val="0"/>
          <w:color w:val="auto"/>
          <w:spacing w:val="-6"/>
          <w:kern w:val="21"/>
          <w:szCs w:val="21"/>
          <w:lang w:val="en-US" w:eastAsia="zh-CN"/>
        </w:rPr>
        <w:t xml:space="preserve">    </w:t>
      </w:r>
      <w:r>
        <w:rPr>
          <w:rFonts w:hint="eastAsia" w:cs="Times New Roman"/>
          <w:color w:val="auto"/>
          <w:lang w:val="en-US" w:eastAsia="zh-CN"/>
        </w:rPr>
        <w:t xml:space="preserve">  *现有工程排放量以最近一次自行监测数据进行核算</w:t>
      </w:r>
    </w:p>
    <w:p>
      <w:pPr>
        <w:pStyle w:val="4"/>
        <w:numPr>
          <w:ilvl w:val="1"/>
          <w:numId w:val="0"/>
        </w:numPr>
        <w:spacing w:before="140" w:after="0"/>
        <w:rPr>
          <w:rFonts w:hint="default" w:ascii="Times New Roman" w:hAnsi="Times New Roman" w:cs="Times New Roman"/>
          <w:color w:val="auto"/>
        </w:rPr>
      </w:pPr>
      <w:bookmarkStart w:id="50" w:name="_Toc25280"/>
      <w:r>
        <w:rPr>
          <w:rFonts w:hint="default" w:ascii="Times New Roman" w:hAnsi="Times New Roman" w:cs="Times New Roman"/>
          <w:color w:val="auto"/>
        </w:rPr>
        <w:t>附图1：项目地理位置图</w:t>
      </w:r>
      <w:bookmarkEnd w:id="50"/>
    </w:p>
    <w:p>
      <w:pPr>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5351145" cy="7903845"/>
            <wp:effectExtent l="0" t="0" r="1905" b="1905"/>
            <wp:docPr id="1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1"/>
                    <pic:cNvPicPr>
                      <a:picLocks noChangeAspect="1"/>
                    </pic:cNvPicPr>
                  </pic:nvPicPr>
                  <pic:blipFill>
                    <a:blip r:embed="rId32"/>
                    <a:srcRect l="1696" t="854" r="780" b="4538"/>
                    <a:stretch>
                      <a:fillRect/>
                    </a:stretch>
                  </pic:blipFill>
                  <pic:spPr>
                    <a:xfrm>
                      <a:off x="0" y="0"/>
                      <a:ext cx="5351145" cy="7903845"/>
                    </a:xfrm>
                    <a:prstGeom prst="rect">
                      <a:avLst/>
                    </a:prstGeom>
                    <a:noFill/>
                    <a:ln>
                      <a:noFill/>
                    </a:ln>
                  </pic:spPr>
                </pic:pic>
              </a:graphicData>
            </a:graphic>
          </wp:inline>
        </w:drawing>
      </w:r>
    </w:p>
    <w:p>
      <w:pPr>
        <w:pStyle w:val="2"/>
        <w:ind w:firstLine="360"/>
        <w:rPr>
          <w:rFonts w:hint="default" w:ascii="Times New Roman" w:hAnsi="Times New Roman" w:cs="Times New Roman"/>
          <w:color w:val="auto"/>
        </w:rPr>
        <w:sectPr>
          <w:pgSz w:w="11906" w:h="16838"/>
          <w:pgMar w:top="1701" w:right="1531" w:bottom="1701" w:left="1531" w:header="851" w:footer="851" w:gutter="0"/>
          <w:cols w:space="720" w:num="1"/>
          <w:docGrid w:linePitch="326" w:charSpace="0"/>
        </w:sectPr>
      </w:pPr>
    </w:p>
    <w:p>
      <w:pPr>
        <w:pStyle w:val="4"/>
        <w:numPr>
          <w:ilvl w:val="1"/>
          <w:numId w:val="0"/>
        </w:numPr>
        <w:spacing w:before="0" w:after="0" w:line="240" w:lineRule="auto"/>
        <w:rPr>
          <w:rFonts w:hint="default" w:ascii="Times New Roman" w:hAnsi="Times New Roman" w:cs="Times New Roman"/>
          <w:color w:val="auto"/>
        </w:rPr>
      </w:pPr>
      <w:bookmarkStart w:id="51" w:name="_Toc30338"/>
      <w:r>
        <w:rPr>
          <w:rFonts w:hint="default" w:ascii="Times New Roman" w:hAnsi="Times New Roman" w:cs="Times New Roman"/>
          <w:color w:val="auto"/>
        </w:rPr>
        <w:t>附图2：项目周边环境关系图</w:t>
      </w:r>
      <w:bookmarkEnd w:id="51"/>
    </w:p>
    <w:p>
      <w:pPr>
        <w:adjustRightInd w:val="0"/>
        <w:snapToGrid w:val="0"/>
        <w:ind w:firstLine="0" w:firstLineChars="0"/>
        <w:rPr>
          <w:rFonts w:hint="default" w:ascii="Times New Roman" w:hAnsi="Times New Roman" w:cs="Times New Roman"/>
          <w:color w:val="auto"/>
        </w:rPr>
      </w:pPr>
      <w:r>
        <w:rPr>
          <w:rFonts w:hint="default" w:ascii="Times New Roman" w:hAnsi="Times New Roman" w:cs="Times New Roman"/>
          <w:color w:val="auto"/>
        </w:rPr>
        <w:drawing>
          <wp:inline distT="0" distB="0" distL="0" distR="0">
            <wp:extent cx="8531860" cy="4109720"/>
            <wp:effectExtent l="0" t="0" r="2540" b="508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33"/>
                    <a:stretch>
                      <a:fillRect/>
                    </a:stretch>
                  </pic:blipFill>
                  <pic:spPr>
                    <a:xfrm>
                      <a:off x="0" y="0"/>
                      <a:ext cx="8531860" cy="4109720"/>
                    </a:xfrm>
                    <a:prstGeom prst="rect">
                      <a:avLst/>
                    </a:prstGeom>
                  </pic:spPr>
                </pic:pic>
              </a:graphicData>
            </a:graphic>
          </wp:inline>
        </w:drawing>
      </w:r>
    </w:p>
    <w:p>
      <w:pPr>
        <w:ind w:firstLine="480"/>
        <w:jc w:val="center"/>
        <w:rPr>
          <w:rFonts w:hint="default" w:ascii="Times New Roman" w:hAnsi="Times New Roman" w:cs="Times New Roman"/>
          <w:color w:val="auto"/>
        </w:rPr>
        <w:sectPr>
          <w:pgSz w:w="16838" w:h="11906" w:orient="landscape"/>
          <w:pgMar w:top="1531" w:right="1701" w:bottom="1531" w:left="1701" w:header="851" w:footer="851" w:gutter="0"/>
          <w:cols w:space="720" w:num="1"/>
          <w:docGrid w:linePitch="312" w:charSpace="0"/>
        </w:sectPr>
      </w:pPr>
    </w:p>
    <w:p>
      <w:pPr>
        <w:pStyle w:val="4"/>
        <w:numPr>
          <w:ilvl w:val="1"/>
          <w:numId w:val="0"/>
        </w:numPr>
        <w:rPr>
          <w:rFonts w:hint="default" w:ascii="Times New Roman" w:hAnsi="Times New Roman" w:cs="Times New Roman"/>
          <w:color w:val="auto"/>
        </w:rPr>
      </w:pPr>
      <w:bookmarkStart w:id="52" w:name="_Toc31690"/>
      <w:r>
        <w:rPr>
          <w:rFonts w:hint="default" w:ascii="Times New Roman" w:hAnsi="Times New Roman" w:cs="Times New Roman"/>
          <w:color w:val="auto"/>
        </w:rPr>
        <w:t>附图3：项目周边环境现场照片</w:t>
      </w:r>
      <w:bookmarkEnd w:id="52"/>
    </w:p>
    <w:tbl>
      <w:tblPr>
        <w:tblStyle w:val="1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90"/>
        <w:gridCol w:w="44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7" w:type="pct"/>
            <w:vAlign w:val="center"/>
          </w:tcPr>
          <w:p>
            <w:pPr>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0" distR="0">
                  <wp:extent cx="2611120" cy="1953260"/>
                  <wp:effectExtent l="0" t="0" r="0" b="889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34"/>
                          <a:stretch>
                            <a:fillRect/>
                          </a:stretch>
                        </pic:blipFill>
                        <pic:spPr>
                          <a:xfrm>
                            <a:off x="0" y="0"/>
                            <a:ext cx="2622505" cy="1961541"/>
                          </a:xfrm>
                          <a:prstGeom prst="rect">
                            <a:avLst/>
                          </a:prstGeom>
                        </pic:spPr>
                      </pic:pic>
                    </a:graphicData>
                  </a:graphic>
                </wp:inline>
              </w:drawing>
            </w:r>
          </w:p>
        </w:tc>
        <w:tc>
          <w:tcPr>
            <w:tcW w:w="2533" w:type="pct"/>
            <w:vAlign w:val="center"/>
          </w:tcPr>
          <w:p>
            <w:pPr>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2642870" cy="1918970"/>
                  <wp:effectExtent l="0" t="0" r="5080" b="5080"/>
                  <wp:docPr id="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0"/>
                          <pic:cNvPicPr>
                            <a:picLocks noChangeAspect="1"/>
                          </pic:cNvPicPr>
                        </pic:nvPicPr>
                        <pic:blipFill>
                          <a:blip r:embed="rId35"/>
                          <a:stretch>
                            <a:fillRect/>
                          </a:stretch>
                        </pic:blipFill>
                        <pic:spPr>
                          <a:xfrm>
                            <a:off x="0" y="0"/>
                            <a:ext cx="2642870" cy="191897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5000" w:type="pct"/>
            <w:gridSpan w:val="2"/>
            <w:vAlign w:val="center"/>
          </w:tcPr>
          <w:p>
            <w:pPr>
              <w:spacing w:line="240" w:lineRule="auto"/>
              <w:ind w:firstLine="0" w:firstLineChars="0"/>
              <w:jc w:val="center"/>
              <w:rPr>
                <w:rFonts w:hint="default" w:ascii="Times New Roman" w:hAnsi="Times New Roman" w:cs="Times New Roman"/>
                <w:b/>
                <w:bCs/>
                <w:color w:val="auto"/>
              </w:rPr>
            </w:pPr>
            <w:r>
              <w:rPr>
                <w:rFonts w:hint="default" w:ascii="Times New Roman" w:hAnsi="Times New Roman" w:cs="Times New Roman"/>
                <w:b/>
                <w:bCs/>
                <w:color w:val="auto"/>
              </w:rPr>
              <w:t>项目现有锅炉房照片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7" w:type="pct"/>
            <w:vAlign w:val="center"/>
          </w:tcPr>
          <w:p>
            <w:pPr>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2755900" cy="2073275"/>
                  <wp:effectExtent l="0" t="0" r="6350" b="3175"/>
                  <wp:docPr id="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6"/>
                          <pic:cNvPicPr>
                            <a:picLocks noChangeAspect="1"/>
                          </pic:cNvPicPr>
                        </pic:nvPicPr>
                        <pic:blipFill>
                          <a:blip r:embed="rId36"/>
                          <a:stretch>
                            <a:fillRect/>
                          </a:stretch>
                        </pic:blipFill>
                        <pic:spPr>
                          <a:xfrm>
                            <a:off x="0" y="0"/>
                            <a:ext cx="2755900" cy="2073275"/>
                          </a:xfrm>
                          <a:prstGeom prst="rect">
                            <a:avLst/>
                          </a:prstGeom>
                          <a:noFill/>
                          <a:ln>
                            <a:noFill/>
                          </a:ln>
                        </pic:spPr>
                      </pic:pic>
                    </a:graphicData>
                  </a:graphic>
                </wp:inline>
              </w:drawing>
            </w:r>
          </w:p>
        </w:tc>
        <w:tc>
          <w:tcPr>
            <w:tcW w:w="2533" w:type="pct"/>
            <w:vAlign w:val="center"/>
          </w:tcPr>
          <w:p>
            <w:pPr>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2689225" cy="2009140"/>
                  <wp:effectExtent l="0" t="0" r="15875" b="10160"/>
                  <wp:docPr id="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7"/>
                          <pic:cNvPicPr>
                            <a:picLocks noChangeAspect="1"/>
                          </pic:cNvPicPr>
                        </pic:nvPicPr>
                        <pic:blipFill>
                          <a:blip r:embed="rId37"/>
                          <a:stretch>
                            <a:fillRect/>
                          </a:stretch>
                        </pic:blipFill>
                        <pic:spPr>
                          <a:xfrm>
                            <a:off x="0" y="0"/>
                            <a:ext cx="2689225" cy="200914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82" w:hRule="atLeast"/>
        </w:trPr>
        <w:tc>
          <w:tcPr>
            <w:tcW w:w="2467" w:type="pct"/>
            <w:vAlign w:val="center"/>
          </w:tcPr>
          <w:p>
            <w:pPr>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b/>
                <w:bCs/>
                <w:color w:val="auto"/>
                <w:lang w:val="en-US" w:eastAsia="zh-CN"/>
              </w:rPr>
              <w:t>厂区</w:t>
            </w:r>
            <w:r>
              <w:rPr>
                <w:rFonts w:hint="default" w:ascii="Times New Roman" w:hAnsi="Times New Roman" w:cs="Times New Roman"/>
                <w:b/>
                <w:bCs/>
                <w:color w:val="auto"/>
              </w:rPr>
              <w:t>北侧</w:t>
            </w:r>
          </w:p>
        </w:tc>
        <w:tc>
          <w:tcPr>
            <w:tcW w:w="2533" w:type="pct"/>
            <w:vAlign w:val="center"/>
          </w:tcPr>
          <w:p>
            <w:pPr>
              <w:spacing w:line="240" w:lineRule="auto"/>
              <w:ind w:firstLine="0" w:firstLineChars="0"/>
              <w:jc w:val="center"/>
              <w:rPr>
                <w:rFonts w:hint="default" w:ascii="Times New Roman" w:hAnsi="Times New Roman" w:cs="Times New Roman"/>
                <w:b/>
                <w:bCs/>
                <w:color w:val="auto"/>
              </w:rPr>
            </w:pPr>
            <w:r>
              <w:rPr>
                <w:rFonts w:hint="default" w:ascii="Times New Roman" w:hAnsi="Times New Roman" w:cs="Times New Roman"/>
                <w:b/>
                <w:bCs/>
                <w:color w:val="auto"/>
                <w:lang w:val="en-US" w:eastAsia="zh-CN"/>
              </w:rPr>
              <w:t>厂区西</w:t>
            </w:r>
            <w:r>
              <w:rPr>
                <w:rFonts w:hint="default" w:ascii="Times New Roman" w:hAnsi="Times New Roman" w:cs="Times New Roman"/>
                <w:b/>
                <w:bCs/>
                <w:color w:val="auto"/>
              </w:rPr>
              <w:t>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67" w:type="pct"/>
            <w:vAlign w:val="center"/>
          </w:tcPr>
          <w:p>
            <w:pPr>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2766060" cy="2080260"/>
                  <wp:effectExtent l="0" t="0" r="15240" b="15240"/>
                  <wp:docPr id="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8"/>
                          <pic:cNvPicPr>
                            <a:picLocks noChangeAspect="1"/>
                          </pic:cNvPicPr>
                        </pic:nvPicPr>
                        <pic:blipFill>
                          <a:blip r:embed="rId38"/>
                          <a:stretch>
                            <a:fillRect/>
                          </a:stretch>
                        </pic:blipFill>
                        <pic:spPr>
                          <a:xfrm>
                            <a:off x="0" y="0"/>
                            <a:ext cx="2766060" cy="2080260"/>
                          </a:xfrm>
                          <a:prstGeom prst="rect">
                            <a:avLst/>
                          </a:prstGeom>
                          <a:noFill/>
                          <a:ln>
                            <a:noFill/>
                          </a:ln>
                        </pic:spPr>
                      </pic:pic>
                    </a:graphicData>
                  </a:graphic>
                </wp:inline>
              </w:drawing>
            </w:r>
          </w:p>
        </w:tc>
        <w:tc>
          <w:tcPr>
            <w:tcW w:w="2533" w:type="pct"/>
            <w:vAlign w:val="center"/>
          </w:tcPr>
          <w:p>
            <w:pPr>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2691765" cy="2008505"/>
                  <wp:effectExtent l="0" t="0" r="13335" b="10795"/>
                  <wp:docPr id="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9"/>
                          <pic:cNvPicPr>
                            <a:picLocks noChangeAspect="1"/>
                          </pic:cNvPicPr>
                        </pic:nvPicPr>
                        <pic:blipFill>
                          <a:blip r:embed="rId39"/>
                          <a:stretch>
                            <a:fillRect/>
                          </a:stretch>
                        </pic:blipFill>
                        <pic:spPr>
                          <a:xfrm>
                            <a:off x="0" y="0"/>
                            <a:ext cx="2691765" cy="200850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2467" w:type="pct"/>
            <w:vAlign w:val="center"/>
          </w:tcPr>
          <w:p>
            <w:pPr>
              <w:spacing w:line="240" w:lineRule="auto"/>
              <w:ind w:firstLine="0" w:firstLineChars="0"/>
              <w:jc w:val="center"/>
              <w:rPr>
                <w:rFonts w:hint="default" w:ascii="Times New Roman" w:hAnsi="Times New Roman" w:cs="Times New Roman"/>
                <w:b/>
                <w:bCs/>
                <w:color w:val="auto"/>
              </w:rPr>
            </w:pPr>
            <w:r>
              <w:rPr>
                <w:rFonts w:hint="default" w:ascii="Times New Roman" w:hAnsi="Times New Roman" w:cs="Times New Roman"/>
                <w:b/>
                <w:bCs/>
                <w:color w:val="auto"/>
                <w:lang w:val="en-US" w:eastAsia="zh-CN"/>
              </w:rPr>
              <w:t>厂区南</w:t>
            </w:r>
            <w:r>
              <w:rPr>
                <w:rFonts w:hint="default" w:ascii="Times New Roman" w:hAnsi="Times New Roman" w:cs="Times New Roman"/>
                <w:b/>
                <w:bCs/>
                <w:color w:val="auto"/>
              </w:rPr>
              <w:t>侧</w:t>
            </w:r>
          </w:p>
        </w:tc>
        <w:tc>
          <w:tcPr>
            <w:tcW w:w="2533" w:type="pct"/>
            <w:vAlign w:val="center"/>
          </w:tcPr>
          <w:p>
            <w:pPr>
              <w:spacing w:line="240" w:lineRule="auto"/>
              <w:ind w:firstLine="0" w:firstLineChars="0"/>
              <w:jc w:val="center"/>
              <w:rPr>
                <w:rFonts w:hint="default" w:ascii="Times New Roman" w:hAnsi="Times New Roman" w:cs="Times New Roman"/>
                <w:b/>
                <w:bCs/>
                <w:color w:val="auto"/>
              </w:rPr>
            </w:pPr>
            <w:r>
              <w:rPr>
                <w:rFonts w:hint="default" w:ascii="Times New Roman" w:hAnsi="Times New Roman" w:cs="Times New Roman"/>
                <w:b/>
                <w:bCs/>
                <w:color w:val="auto"/>
                <w:lang w:val="en-US" w:eastAsia="zh-CN"/>
              </w:rPr>
              <w:t>厂区</w:t>
            </w:r>
            <w:r>
              <w:rPr>
                <w:rFonts w:hint="default" w:ascii="Times New Roman" w:hAnsi="Times New Roman" w:cs="Times New Roman"/>
                <w:b/>
                <w:bCs/>
                <w:color w:val="auto"/>
              </w:rPr>
              <w:t>东侧</w:t>
            </w:r>
          </w:p>
        </w:tc>
      </w:tr>
    </w:tbl>
    <w:p>
      <w:pPr>
        <w:ind w:firstLine="480"/>
        <w:rPr>
          <w:rFonts w:hint="default" w:ascii="Times New Roman" w:hAnsi="Times New Roman" w:cs="Times New Roman"/>
          <w:color w:val="auto"/>
        </w:rPr>
        <w:sectPr>
          <w:pgSz w:w="11906" w:h="16838"/>
          <w:pgMar w:top="1701" w:right="1531" w:bottom="1701" w:left="1531" w:header="851" w:footer="851" w:gutter="0"/>
          <w:cols w:space="720" w:num="1"/>
          <w:docGrid w:linePitch="312" w:charSpace="0"/>
        </w:sectPr>
      </w:pPr>
    </w:p>
    <w:p>
      <w:pPr>
        <w:pStyle w:val="4"/>
        <w:numPr>
          <w:ilvl w:val="1"/>
          <w:numId w:val="0"/>
        </w:numPr>
        <w:spacing w:before="20" w:after="0" w:line="240" w:lineRule="auto"/>
        <w:rPr>
          <w:rFonts w:hint="default" w:ascii="Times New Roman" w:hAnsi="Times New Roman" w:cs="Times New Roman"/>
          <w:color w:val="auto"/>
        </w:rPr>
      </w:pPr>
      <w:bookmarkStart w:id="53" w:name="_Toc25147"/>
      <w:r>
        <w:rPr>
          <w:rFonts w:hint="default" w:ascii="Times New Roman" w:hAnsi="Times New Roman" w:cs="Times New Roman"/>
          <w:color w:val="auto"/>
        </w:rPr>
        <w:t>附图4：项目厂区平面布置图</w:t>
      </w:r>
      <w:bookmarkEnd w:id="53"/>
    </w:p>
    <w:p>
      <w:pPr>
        <w:ind w:firstLine="0" w:firstLineChars="0"/>
        <w:jc w:val="center"/>
        <w:rPr>
          <w:rFonts w:hint="default" w:ascii="Times New Roman" w:hAnsi="Times New Roman" w:cs="Times New Roman"/>
          <w:color w:val="auto"/>
        </w:rPr>
        <w:sectPr>
          <w:pgSz w:w="11906" w:h="16838"/>
          <w:pgMar w:top="1701" w:right="1531" w:bottom="1701" w:left="1531" w:header="851" w:footer="851" w:gutter="0"/>
          <w:cols w:space="720" w:num="1"/>
          <w:docGrid w:linePitch="326" w:charSpace="0"/>
        </w:sectPr>
      </w:pPr>
      <w:r>
        <w:rPr>
          <w:sz w:val="24"/>
        </w:rPr>
        <mc:AlternateContent>
          <mc:Choice Requires="wps">
            <w:drawing>
              <wp:anchor distT="0" distB="0" distL="114300" distR="114300" simplePos="0" relativeHeight="251664384" behindDoc="0" locked="0" layoutInCell="1" allowOverlap="1">
                <wp:simplePos x="0" y="0"/>
                <wp:positionH relativeFrom="column">
                  <wp:posOffset>5002530</wp:posOffset>
                </wp:positionH>
                <wp:positionV relativeFrom="paragraph">
                  <wp:posOffset>3652520</wp:posOffset>
                </wp:positionV>
                <wp:extent cx="476250" cy="213995"/>
                <wp:effectExtent l="735965" t="134620" r="6985" b="13335"/>
                <wp:wrapNone/>
                <wp:docPr id="65" name="矩形标注 65"/>
                <wp:cNvGraphicFramePr/>
                <a:graphic xmlns:a="http://schemas.openxmlformats.org/drawingml/2006/main">
                  <a:graphicData uri="http://schemas.microsoft.com/office/word/2010/wordprocessingShape">
                    <wps:wsp>
                      <wps:cNvSpPr/>
                      <wps:spPr>
                        <a:xfrm>
                          <a:off x="5974715" y="5008880"/>
                          <a:ext cx="476250" cy="213995"/>
                        </a:xfrm>
                        <a:prstGeom prst="wedgeRectCallout">
                          <a:avLst>
                            <a:gd name="adj1" fmla="val -203200"/>
                            <a:gd name="adj2" fmla="val -109940"/>
                          </a:avLst>
                        </a:prstGeom>
                        <a:noFill/>
                        <a:ln w="12700">
                          <a:solidFill>
                            <a:srgbClr val="FF0000"/>
                          </a:solidFill>
                        </a:ln>
                        <a:extLst>
                          <a:ext uri="{909E8E84-426E-40DD-AFC4-6F175D3DCCD1}">
                            <a14:hiddenFill xmlns:a14="http://schemas.microsoft.com/office/drawing/2010/main">
                              <a:solidFill>
                                <a:schemeClr val="accent1"/>
                              </a:solidFill>
                            </a14:hiddenFill>
                          </a:ext>
                        </a:extLst>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b/>
                                <w:bCs/>
                                <w:color w:val="FFFFFF" w:themeColor="background1"/>
                                <w:sz w:val="13"/>
                                <w:szCs w:val="13"/>
                                <w:lang w:val="en-US" w:eastAsia="zh-CN"/>
                                <w14:textFill>
                                  <w14:solidFill>
                                    <w14:schemeClr w14:val="bg1"/>
                                  </w14:solidFill>
                                </w14:textFill>
                              </w:rPr>
                            </w:pPr>
                            <w:r>
                              <w:rPr>
                                <w:rFonts w:hint="eastAsia"/>
                                <w:b/>
                                <w:bCs/>
                                <w:color w:val="FFFFFF" w:themeColor="background1"/>
                                <w:sz w:val="13"/>
                                <w:szCs w:val="13"/>
                                <w:lang w:val="en-US" w:eastAsia="zh-CN"/>
                                <w14:textFill>
                                  <w14:solidFill>
                                    <w14:schemeClr w14:val="bg1"/>
                                  </w14:solidFill>
                                </w14:textFill>
                              </w:rPr>
                              <w:t>锅炉房</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93.9pt;margin-top:287.6pt;height:16.85pt;width:37.5pt;z-index:251664384;v-text-anchor:middle;mso-width-relative:page;mso-height-relative:page;" filled="f" stroked="t" coordsize="21600,21600" o:gfxdata="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" adj="-33091,-12947">
                <v:fill on="f" focussize="0,0"/>
                <v:stroke weight="1pt" color="#FF0000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宋体"/>
                          <w:b/>
                          <w:bCs/>
                          <w:color w:val="FFFFFF" w:themeColor="background1"/>
                          <w:sz w:val="13"/>
                          <w:szCs w:val="13"/>
                          <w:lang w:val="en-US" w:eastAsia="zh-CN"/>
                          <w14:textFill>
                            <w14:solidFill>
                              <w14:schemeClr w14:val="bg1"/>
                            </w14:solidFill>
                          </w14:textFill>
                        </w:rPr>
                      </w:pPr>
                      <w:r>
                        <w:rPr>
                          <w:rFonts w:hint="eastAsia"/>
                          <w:b/>
                          <w:bCs/>
                          <w:color w:val="FFFFFF" w:themeColor="background1"/>
                          <w:sz w:val="13"/>
                          <w:szCs w:val="13"/>
                          <w:lang w:val="en-US" w:eastAsia="zh-CN"/>
                          <w14:textFill>
                            <w14:solidFill>
                              <w14:schemeClr w14:val="bg1"/>
                            </w14:solidFill>
                          </w14:textFill>
                        </w:rPr>
                        <w:t>锅炉房</w:t>
                      </w:r>
                    </w:p>
                  </w:txbxContent>
                </v:textbox>
              </v:shape>
            </w:pict>
          </mc:Fallback>
        </mc:AlternateContent>
      </w:r>
      <w:r>
        <w:rPr>
          <w:sz w:val="24"/>
        </w:rPr>
        <mc:AlternateContent>
          <mc:Choice Requires="wps">
            <w:drawing>
              <wp:anchor distT="0" distB="0" distL="114300" distR="114300" simplePos="0" relativeHeight="251663360" behindDoc="0" locked="0" layoutInCell="1" allowOverlap="1">
                <wp:simplePos x="0" y="0"/>
                <wp:positionH relativeFrom="column">
                  <wp:posOffset>4013835</wp:posOffset>
                </wp:positionH>
                <wp:positionV relativeFrom="paragraph">
                  <wp:posOffset>3389630</wp:posOffset>
                </wp:positionV>
                <wp:extent cx="273685" cy="113665"/>
                <wp:effectExtent l="13970" t="13970" r="17145" b="24765"/>
                <wp:wrapNone/>
                <wp:docPr id="64" name="矩形 64"/>
                <wp:cNvGraphicFramePr/>
                <a:graphic xmlns:a="http://schemas.openxmlformats.org/drawingml/2006/main">
                  <a:graphicData uri="http://schemas.microsoft.com/office/word/2010/wordprocessingShape">
                    <wps:wsp>
                      <wps:cNvSpPr/>
                      <wps:spPr>
                        <a:xfrm>
                          <a:off x="5004435" y="4740910"/>
                          <a:ext cx="273685" cy="113665"/>
                        </a:xfrm>
                        <a:prstGeom prst="rect">
                          <a:avLst/>
                        </a:prstGeom>
                        <a:noFill/>
                        <a:ln w="28575">
                          <a:solidFill>
                            <a:srgbClr val="FF0000"/>
                          </a:solidFill>
                        </a:ln>
                        <a:extLst>
                          <a:ext uri="{909E8E84-426E-40DD-AFC4-6F175D3DCCD1}">
                            <a14:hiddenFill xmlns:a14="http://schemas.microsoft.com/office/drawing/2010/main">
                              <a:solidFill>
                                <a:schemeClr val="accent1"/>
                              </a:solidFill>
                            </a14:hiddenFill>
                          </a:ext>
                        </a:ex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6.05pt;margin-top:266.9pt;height:8.95pt;width:21.55pt;z-index:251663360;v-text-anchor:middle;mso-width-relative:page;mso-height-relative:page;" filled="f" stroked="t" coordsize="21600,21600" o:gfxdata="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">
                <v:fill on="f" focussize="0,0"/>
                <v:stroke weight="2.25pt" color="#FF0000 [3204]" joinstyle="round"/>
                <v:imagedata o:title=""/>
                <o:lock v:ext="edit" aspectratio="f"/>
              </v:rect>
            </w:pict>
          </mc:Fallback>
        </mc:AlternateContent>
      </w:r>
      <w:r>
        <w:rPr>
          <w:rFonts w:hint="default" w:ascii="Times New Roman" w:hAnsi="Times New Roman" w:cs="Times New Roman"/>
          <w:color w:val="auto"/>
        </w:rPr>
        <w:drawing>
          <wp:inline distT="0" distB="0" distL="0" distR="0">
            <wp:extent cx="5615305" cy="5713095"/>
            <wp:effectExtent l="0" t="0" r="4445" b="1905"/>
            <wp:docPr id="38" name="图片 38" descr="C:\Users\Administrator\Downloads\总平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C:\Users\Administrator\Downloads\总平图.png"/>
                    <pic:cNvPicPr>
                      <a:picLocks noChangeAspect="1" noChangeArrowheads="1"/>
                    </pic:cNvPicPr>
                  </pic:nvPicPr>
                  <pic:blipFill>
                    <a:blip r:embed="rId40">
                      <a:extLst>
                        <a:ext uri="{28A0092B-C50C-407E-A947-70E740481C1C}">
                          <a14:useLocalDpi xmlns:a14="http://schemas.microsoft.com/office/drawing/2010/main" val="0"/>
                        </a:ext>
                      </a:extLst>
                    </a:blip>
                    <a:srcRect t="7815" b="15879"/>
                    <a:stretch>
                      <a:fillRect/>
                    </a:stretch>
                  </pic:blipFill>
                  <pic:spPr>
                    <a:xfrm>
                      <a:off x="0" y="0"/>
                      <a:ext cx="5615940" cy="5713817"/>
                    </a:xfrm>
                    <a:prstGeom prst="rect">
                      <a:avLst/>
                    </a:prstGeom>
                    <a:noFill/>
                    <a:ln>
                      <a:noFill/>
                    </a:ln>
                  </pic:spPr>
                </pic:pic>
              </a:graphicData>
            </a:graphic>
          </wp:inline>
        </w:drawing>
      </w:r>
    </w:p>
    <w:p>
      <w:pPr>
        <w:pStyle w:val="2"/>
        <w:ind w:left="0" w:leftChars="0" w:firstLine="0" w:firstLineChars="0"/>
        <w:jc w:val="center"/>
        <w:rPr>
          <w:rFonts w:hint="eastAsia" w:eastAsia="宋体"/>
          <w:lang w:eastAsia="zh-CN"/>
        </w:rPr>
        <w:sectPr>
          <w:pgSz w:w="23811" w:h="16838" w:orient="landscape"/>
          <w:pgMar w:top="1531" w:right="1701" w:bottom="1531" w:left="1701" w:header="851" w:footer="851" w:gutter="0"/>
          <w:cols w:space="720" w:num="1"/>
          <w:docGrid w:linePitch="326" w:charSpace="0"/>
        </w:sectPr>
      </w:pPr>
      <w:r>
        <w:rPr>
          <w:rFonts w:hint="eastAsia" w:eastAsia="宋体"/>
          <w:lang w:eastAsia="zh-CN"/>
        </w:rPr>
        <w:drawing>
          <wp:inline distT="0" distB="0" distL="114300" distR="114300">
            <wp:extent cx="12092305" cy="8736330"/>
            <wp:effectExtent l="0" t="0" r="4445" b="7620"/>
            <wp:docPr id="44" name="图片 4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11"/>
                    <pic:cNvPicPr>
                      <a:picLocks noChangeAspect="1"/>
                    </pic:cNvPicPr>
                  </pic:nvPicPr>
                  <pic:blipFill>
                    <a:blip r:embed="rId41"/>
                    <a:stretch>
                      <a:fillRect/>
                    </a:stretch>
                  </pic:blipFill>
                  <pic:spPr>
                    <a:xfrm>
                      <a:off x="0" y="0"/>
                      <a:ext cx="12092305" cy="8736330"/>
                    </a:xfrm>
                    <a:prstGeom prst="rect">
                      <a:avLst/>
                    </a:prstGeom>
                  </pic:spPr>
                </pic:pic>
              </a:graphicData>
            </a:graphic>
          </wp:inline>
        </w:drawing>
      </w:r>
    </w:p>
    <w:p>
      <w:pPr>
        <w:pStyle w:val="4"/>
        <w:numPr>
          <w:ilvl w:val="1"/>
          <w:numId w:val="0"/>
        </w:numPr>
        <w:spacing w:before="20" w:after="0" w:line="240" w:lineRule="auto"/>
        <w:rPr>
          <w:rFonts w:hint="default" w:ascii="Times New Roman" w:hAnsi="Times New Roman" w:cs="Times New Roman"/>
          <w:color w:val="auto"/>
        </w:rPr>
      </w:pPr>
      <w:r>
        <w:rPr>
          <w:rFonts w:hint="default" w:ascii="Times New Roman" w:hAnsi="Times New Roman" w:cs="Times New Roman"/>
          <w:color w:val="auto"/>
        </w:rPr>
        <w:t>附图5：项目在闽侯县总体规划中的位置</w:t>
      </w:r>
    </w:p>
    <w:p>
      <w:pPr>
        <w:spacing w:line="240" w:lineRule="auto"/>
        <w:ind w:firstLine="0" w:firstLineChars="0"/>
        <w:jc w:val="center"/>
        <w:rPr>
          <w:rFonts w:hint="default" w:ascii="Times New Roman" w:hAnsi="Times New Roman" w:cs="Times New Roman"/>
          <w:color w:val="auto"/>
        </w:rPr>
      </w:pPr>
      <w:r>
        <w:rPr>
          <w:rFonts w:hint="default" w:ascii="Times New Roman" w:hAnsi="Times New Roman" w:cs="Times New Roman"/>
          <w:color w:val="auto"/>
        </w:rPr>
        <mc:AlternateContent>
          <mc:Choice Requires="wpg">
            <w:drawing>
              <wp:anchor distT="0" distB="0" distL="114300" distR="114300" simplePos="0" relativeHeight="251662336" behindDoc="0" locked="0" layoutInCell="1" allowOverlap="1">
                <wp:simplePos x="0" y="0"/>
                <wp:positionH relativeFrom="column">
                  <wp:posOffset>4364355</wp:posOffset>
                </wp:positionH>
                <wp:positionV relativeFrom="paragraph">
                  <wp:posOffset>2566670</wp:posOffset>
                </wp:positionV>
                <wp:extent cx="1445895" cy="724535"/>
                <wp:effectExtent l="15875" t="5080" r="5080" b="13335"/>
                <wp:wrapNone/>
                <wp:docPr id="58" name="组合 58"/>
                <wp:cNvGraphicFramePr/>
                <a:graphic xmlns:a="http://schemas.openxmlformats.org/drawingml/2006/main">
                  <a:graphicData uri="http://schemas.microsoft.com/office/word/2010/wordprocessingGroup">
                    <wpg:wgp>
                      <wpg:cNvGrpSpPr/>
                      <wpg:grpSpPr>
                        <a:xfrm>
                          <a:off x="0" y="0"/>
                          <a:ext cx="1445895" cy="724535"/>
                          <a:chOff x="0" y="0"/>
                          <a:chExt cx="2277" cy="1141"/>
                        </a:xfrm>
                      </wpg:grpSpPr>
                      <wps:wsp>
                        <wps:cNvPr id="59" name="AutoShape 269"/>
                        <wps:cNvSpPr/>
                        <wps:spPr>
                          <a:xfrm>
                            <a:off x="0" y="971"/>
                            <a:ext cx="198" cy="170"/>
                          </a:xfrm>
                          <a:prstGeom prst="star5">
                            <a:avLst/>
                          </a:prstGeom>
                          <a:solidFill>
                            <a:srgbClr val="FF0000"/>
                          </a:solidFill>
                          <a:ln w="9525" cap="flat" cmpd="sng">
                            <a:solidFill>
                              <a:srgbClr val="000000"/>
                            </a:solidFill>
                            <a:prstDash val="solid"/>
                            <a:miter/>
                            <a:headEnd type="none" w="med" len="med"/>
                            <a:tailEnd type="none" w="med" len="med"/>
                          </a:ln>
                        </wps:spPr>
                        <wps:bodyPr upright="1"/>
                      </wps:wsp>
                      <wps:wsp>
                        <wps:cNvPr id="60" name="AutoShape 270"/>
                        <wps:cNvSpPr/>
                        <wps:spPr>
                          <a:xfrm>
                            <a:off x="678" y="0"/>
                            <a:ext cx="1599" cy="493"/>
                          </a:xfrm>
                          <a:prstGeom prst="wedgeRoundRectCallout">
                            <a:avLst>
                              <a:gd name="adj1" fmla="val -83019"/>
                              <a:gd name="adj2" fmla="val 175056"/>
                              <a:gd name="adj3" fmla="val 16667"/>
                            </a:avLst>
                          </a:prstGeom>
                          <a:solidFill>
                            <a:srgbClr val="FFFF00"/>
                          </a:solidFill>
                          <a:ln w="9525" cap="flat" cmpd="sng">
                            <a:solidFill>
                              <a:srgbClr val="000000"/>
                            </a:solidFill>
                            <a:prstDash val="solid"/>
                            <a:miter/>
                            <a:headEnd type="none" w="med" len="med"/>
                            <a:tailEnd type="none" w="med" len="med"/>
                          </a:ln>
                        </wps:spPr>
                        <wps:txbx>
                          <w:txbxContent>
                            <w:p>
                              <w:pPr>
                                <w:spacing w:line="240" w:lineRule="auto"/>
                                <w:ind w:firstLine="0" w:firstLineChars="0"/>
                                <w:jc w:val="center"/>
                                <w:rPr>
                                  <w:b/>
                                  <w:color w:val="000000"/>
                                </w:rPr>
                              </w:pPr>
                              <w:r>
                                <w:rPr>
                                  <w:rFonts w:hint="eastAsia" w:cs="宋体"/>
                                  <w:b/>
                                  <w:color w:val="000000"/>
                                  <w:lang w:bidi="ar"/>
                                </w:rPr>
                                <w:t>项目位置</w:t>
                              </w:r>
                            </w:p>
                          </w:txbxContent>
                        </wps:txbx>
                        <wps:bodyPr upright="1"/>
                      </wps:wsp>
                    </wpg:wgp>
                  </a:graphicData>
                </a:graphic>
              </wp:anchor>
            </w:drawing>
          </mc:Choice>
          <mc:Fallback>
            <w:pict>
              <v:group id="_x0000_s1026" o:spid="_x0000_s1026" o:spt="203" style="position:absolute;left:0pt;margin-left:343.65pt;margin-top:202.1pt;height:57.05pt;width:113.85pt;z-index:251662336;mso-width-relative:page;mso-height-relative:page;" coordsize="2277,1141" o:gfxdata="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">
                <o:lock v:ext="edit" aspectratio="f"/>
                <v:shape id="AutoShape 269" o:spid="_x0000_s1026" style="position:absolute;left:0;top:971;height:170;width:198;" fillcolor="#FF0000" filled="t" stroked="t" coordsize="198,170" o:gfxdata="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mgNj7ugAAANsA&#10;AAAPAAAAAAAAAAEAIAAAACIAAABkcnMvZG93bnJldi54bWxQSwECFAAUAAAACACHTuJAMy8FnjsA&#10;AAA5AAAAEAAAAAAAAAABACAAAAAJAQAAZHJzL3NoYXBleG1sLnhtbFBLBQYAAAAABgAGAFsBAACz&#10;AwAAAAA=&#10;" path="m0,64l75,64,99,0,122,64,197,64,136,105,160,169,99,129,37,169,61,105xe">
                  <v:path o:connectlocs="99,0;0,64;37,169;160,169;197,64" o:connectangles="247,164,82,82,0"/>
                  <v:fill on="t" focussize="0,0"/>
                  <v:stroke color="#000000" joinstyle="miter"/>
                  <v:imagedata o:title=""/>
                  <o:lock v:ext="edit" aspectratio="f"/>
                </v:shape>
                <v:shape id="AutoShape 270" o:spid="_x0000_s1026" o:spt="62" type="#_x0000_t62" style="position:absolute;left:678;top:0;height:493;width:1599;" fillcolor="#FFFF00" filled="t" stroked="t" coordsize="21600,21600" o:gfxdata="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WcroDugAAANsA&#10;AAAPAAAAAAAAAAEAIAAAACIAAABkcnMvZG93bnJldi54bWxQSwECFAAUAAAACACHTuJAMy8FnjsA&#10;AAA5AAAAEAAAAAAAAAABACAAAAAJAQAAZHJzL3NoYXBleG1sLnhtbFBLBQYAAAAABgAGAFsBAACz&#10;AwAAAAA=&#10;" adj="-7132,48612,14400">
                  <v:fill on="t" focussize="0,0"/>
                  <v:stroke color="#000000" joinstyle="miter"/>
                  <v:imagedata o:title=""/>
                  <o:lock v:ext="edit" aspectratio="f"/>
                  <v:textbox>
                    <w:txbxContent>
                      <w:p>
                        <w:pPr>
                          <w:spacing w:line="240" w:lineRule="auto"/>
                          <w:ind w:firstLine="0" w:firstLineChars="0"/>
                          <w:jc w:val="center"/>
                          <w:rPr>
                            <w:b/>
                            <w:color w:val="000000"/>
                          </w:rPr>
                        </w:pPr>
                        <w:r>
                          <w:rPr>
                            <w:rFonts w:hint="eastAsia" w:cs="宋体"/>
                            <w:b/>
                            <w:color w:val="000000"/>
                            <w:lang w:bidi="ar"/>
                          </w:rPr>
                          <w:t>项目位置</w:t>
                        </w:r>
                      </w:p>
                    </w:txbxContent>
                  </v:textbox>
                </v:shape>
              </v:group>
            </w:pict>
          </mc:Fallback>
        </mc:AlternateContent>
      </w:r>
      <w:r>
        <w:rPr>
          <w:rFonts w:hint="default" w:ascii="Times New Roman" w:hAnsi="Times New Roman" w:cs="Times New Roman"/>
          <w:color w:val="auto"/>
        </w:rPr>
        <w:drawing>
          <wp:inline distT="0" distB="0" distL="0" distR="0">
            <wp:extent cx="7406640" cy="5212080"/>
            <wp:effectExtent l="0" t="0" r="3810" b="7620"/>
            <wp:docPr id="57" name="图片 57" descr="闽侯县城区规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闽侯县城区规划图"/>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7406640" cy="5212080"/>
                    </a:xfrm>
                    <a:prstGeom prst="rect">
                      <a:avLst/>
                    </a:prstGeom>
                    <a:noFill/>
                    <a:ln>
                      <a:noFill/>
                    </a:ln>
                    <a:effectLst/>
                  </pic:spPr>
                </pic:pic>
              </a:graphicData>
            </a:graphic>
          </wp:inline>
        </w:drawing>
      </w:r>
    </w:p>
    <w:p>
      <w:pPr>
        <w:pStyle w:val="2"/>
        <w:ind w:firstLine="360"/>
        <w:rPr>
          <w:rFonts w:hint="default" w:ascii="Times New Roman" w:hAnsi="Times New Roman" w:cs="Times New Roman"/>
          <w:color w:val="auto"/>
        </w:rPr>
        <w:sectPr>
          <w:pgSz w:w="16838" w:h="11906" w:orient="landscape"/>
          <w:pgMar w:top="1531" w:right="1701" w:bottom="1531" w:left="1701" w:header="851" w:footer="851" w:gutter="0"/>
          <w:cols w:space="720" w:num="1"/>
          <w:docGrid w:linePitch="312" w:charSpace="0"/>
        </w:sectPr>
      </w:pPr>
    </w:p>
    <w:p>
      <w:pPr>
        <w:pStyle w:val="4"/>
        <w:numPr>
          <w:ilvl w:val="1"/>
          <w:numId w:val="0"/>
        </w:numPr>
        <w:rPr>
          <w:rFonts w:hint="default" w:ascii="Times New Roman" w:hAnsi="Times New Roman" w:cs="Times New Roman"/>
          <w:color w:val="auto"/>
        </w:rPr>
      </w:pPr>
      <w:bookmarkStart w:id="54" w:name="_Toc5345"/>
      <w:r>
        <w:rPr>
          <w:rFonts w:hint="default" w:ascii="Times New Roman" w:hAnsi="Times New Roman" w:cs="Times New Roman"/>
          <w:color w:val="auto"/>
        </w:rPr>
        <w:t>附件1：委托书</w:t>
      </w:r>
      <w:bookmarkEnd w:id="54"/>
    </w:p>
    <w:p>
      <w:pPr>
        <w:keepNext w:val="0"/>
        <w:keepLines w:val="0"/>
        <w:pageBreakBefore w:val="0"/>
        <w:widowControl w:val="0"/>
        <w:kinsoku/>
        <w:wordWrap/>
        <w:overflowPunct/>
        <w:topLinePunct w:val="0"/>
        <w:autoSpaceDE/>
        <w:autoSpaceDN/>
        <w:bidi w:val="0"/>
        <w:adjustRightInd/>
        <w:snapToGrid/>
        <w:ind w:right="240" w:rightChars="100" w:firstLine="0" w:firstLineChars="0"/>
        <w:jc w:val="center"/>
        <w:textAlignment w:val="auto"/>
        <w:rPr>
          <w:rFonts w:hint="eastAsia" w:ascii="Times New Roman" w:hAnsi="Times New Roman" w:eastAsia="宋体" w:cs="Times New Roman"/>
          <w:color w:val="auto"/>
          <w:lang w:eastAsia="zh-CN"/>
        </w:rPr>
      </w:pPr>
      <w:r>
        <w:rPr>
          <w:rFonts w:hint="eastAsia" w:ascii="Times New Roman" w:hAnsi="Times New Roman" w:eastAsia="宋体" w:cs="Times New Roman"/>
          <w:color w:val="auto"/>
          <w:lang w:eastAsia="zh-CN"/>
        </w:rPr>
        <w:drawing>
          <wp:inline distT="0" distB="0" distL="114300" distR="114300">
            <wp:extent cx="5610860" cy="7722870"/>
            <wp:effectExtent l="0" t="0" r="8890" b="11430"/>
            <wp:docPr id="20" name="图片 20" descr="微信图片_202110111008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微信图片_202110111008483"/>
                    <pic:cNvPicPr>
                      <a:picLocks noChangeAspect="1"/>
                    </pic:cNvPicPr>
                  </pic:nvPicPr>
                  <pic:blipFill>
                    <a:blip r:embed="rId43"/>
                    <a:stretch>
                      <a:fillRect/>
                    </a:stretch>
                  </pic:blipFill>
                  <pic:spPr>
                    <a:xfrm>
                      <a:off x="0" y="0"/>
                      <a:ext cx="5610860" cy="7722870"/>
                    </a:xfrm>
                    <a:prstGeom prst="rect">
                      <a:avLst/>
                    </a:prstGeom>
                  </pic:spPr>
                </pic:pic>
              </a:graphicData>
            </a:graphic>
          </wp:inline>
        </w:drawing>
      </w:r>
    </w:p>
    <w:p>
      <w:pPr>
        <w:pStyle w:val="2"/>
        <w:ind w:firstLine="360"/>
        <w:rPr>
          <w:rFonts w:hint="default" w:ascii="Times New Roman" w:hAnsi="Times New Roman" w:cs="Times New Roman"/>
          <w:color w:val="auto"/>
        </w:rPr>
        <w:sectPr>
          <w:pgSz w:w="11906" w:h="16838"/>
          <w:pgMar w:top="1701" w:right="1531" w:bottom="1701" w:left="1531" w:header="851" w:footer="851" w:gutter="0"/>
          <w:cols w:space="720" w:num="1"/>
          <w:docGrid w:linePitch="312" w:charSpace="0"/>
        </w:sectPr>
      </w:pPr>
    </w:p>
    <w:p>
      <w:pPr>
        <w:pStyle w:val="4"/>
        <w:numPr>
          <w:ilvl w:val="1"/>
          <w:numId w:val="0"/>
        </w:numPr>
        <w:rPr>
          <w:rFonts w:hint="eastAsia" w:ascii="Times New Roman" w:hAnsi="Times New Roman" w:cs="Times New Roman"/>
          <w:color w:val="auto"/>
          <w:lang w:val="en-US" w:eastAsia="zh-CN"/>
        </w:rPr>
      </w:pPr>
      <w:r>
        <w:rPr>
          <w:rFonts w:hint="default" w:ascii="Times New Roman" w:hAnsi="Times New Roman" w:cs="Times New Roman"/>
          <w:color w:val="auto"/>
        </w:rPr>
        <w:t>附件</w:t>
      </w:r>
      <w:r>
        <w:rPr>
          <w:rFonts w:hint="eastAsia" w:ascii="Times New Roman" w:hAnsi="Times New Roman" w:cs="Times New Roman"/>
          <w:color w:val="auto"/>
          <w:lang w:val="en-US" w:eastAsia="zh-CN"/>
        </w:rPr>
        <w:t>2</w:t>
      </w:r>
      <w:r>
        <w:rPr>
          <w:rFonts w:hint="default" w:ascii="Times New Roman" w:hAnsi="Times New Roman" w:cs="Times New Roman"/>
          <w:color w:val="auto"/>
        </w:rPr>
        <w:t>：</w:t>
      </w:r>
      <w:r>
        <w:rPr>
          <w:rFonts w:hint="eastAsia" w:ascii="Times New Roman" w:hAnsi="Times New Roman" w:cs="Times New Roman"/>
          <w:color w:val="auto"/>
          <w:lang w:val="en-US" w:eastAsia="zh-CN"/>
        </w:rPr>
        <w:t>备案表</w:t>
      </w:r>
    </w:p>
    <w:p>
      <w:pPr>
        <w:pStyle w:val="2"/>
        <w:ind w:left="0" w:leftChars="0" w:firstLine="0" w:firstLineChars="0"/>
        <w:jc w:val="center"/>
        <w:rPr>
          <w:rFonts w:hint="default" w:ascii="Times New Roman" w:hAnsi="Times New Roman" w:cs="Times New Roman"/>
          <w:color w:val="auto"/>
        </w:rPr>
        <w:sectPr>
          <w:pgSz w:w="16838" w:h="11906" w:orient="landscape"/>
          <w:pgMar w:top="1531" w:right="1701" w:bottom="1531" w:left="1701" w:header="851" w:footer="851" w:gutter="0"/>
          <w:cols w:space="720" w:num="1"/>
          <w:docGrid w:linePitch="312" w:charSpace="0"/>
        </w:sectPr>
      </w:pPr>
      <w:r>
        <w:drawing>
          <wp:inline distT="0" distB="0" distL="114300" distR="114300">
            <wp:extent cx="8521700" cy="4526280"/>
            <wp:effectExtent l="0" t="0" r="12700" b="7620"/>
            <wp:docPr id="2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6"/>
                    <pic:cNvPicPr>
                      <a:picLocks noChangeAspect="1"/>
                    </pic:cNvPicPr>
                  </pic:nvPicPr>
                  <pic:blipFill>
                    <a:blip r:embed="rId44"/>
                    <a:srcRect b="9989"/>
                    <a:stretch>
                      <a:fillRect/>
                    </a:stretch>
                  </pic:blipFill>
                  <pic:spPr>
                    <a:xfrm>
                      <a:off x="0" y="0"/>
                      <a:ext cx="8521700" cy="4526280"/>
                    </a:xfrm>
                    <a:prstGeom prst="rect">
                      <a:avLst/>
                    </a:prstGeom>
                    <a:noFill/>
                    <a:ln>
                      <a:noFill/>
                    </a:ln>
                  </pic:spPr>
                </pic:pic>
              </a:graphicData>
            </a:graphic>
          </wp:inline>
        </w:drawing>
      </w:r>
    </w:p>
    <w:p>
      <w:pPr>
        <w:pStyle w:val="4"/>
        <w:numPr>
          <w:ilvl w:val="1"/>
          <w:numId w:val="0"/>
        </w:numPr>
        <w:spacing w:before="0" w:after="0" w:line="240" w:lineRule="auto"/>
        <w:rPr>
          <w:rFonts w:hint="default" w:ascii="Times New Roman" w:hAnsi="Times New Roman" w:cs="Times New Roman"/>
          <w:color w:val="auto"/>
        </w:rPr>
      </w:pPr>
      <w:bookmarkStart w:id="55" w:name="_Toc12229"/>
      <w:r>
        <w:rPr>
          <w:rFonts w:hint="default" w:ascii="Times New Roman" w:hAnsi="Times New Roman" w:cs="Times New Roman"/>
          <w:color w:val="auto"/>
        </w:rPr>
        <w:t>附件</w:t>
      </w:r>
      <w:r>
        <w:rPr>
          <w:rFonts w:hint="eastAsia" w:cs="Times New Roman"/>
          <w:color w:val="auto"/>
          <w:lang w:val="en-US" w:eastAsia="zh-CN"/>
        </w:rPr>
        <w:t>3</w:t>
      </w:r>
      <w:r>
        <w:rPr>
          <w:rFonts w:hint="default" w:ascii="Times New Roman" w:hAnsi="Times New Roman" w:cs="Times New Roman"/>
          <w:color w:val="auto"/>
        </w:rPr>
        <w:t>：营业执照</w:t>
      </w:r>
      <w:bookmarkEnd w:id="55"/>
    </w:p>
    <w:p>
      <w:pPr>
        <w:adjustRightInd w:val="0"/>
        <w:snapToGrid w:val="0"/>
        <w:ind w:firstLine="480"/>
        <w:jc w:val="center"/>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drawing>
          <wp:inline distT="0" distB="0" distL="114300" distR="114300">
            <wp:extent cx="5030470" cy="7364095"/>
            <wp:effectExtent l="0" t="0" r="17780" b="8255"/>
            <wp:docPr id="8" name="图片 8" descr="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营业执照"/>
                    <pic:cNvPicPr>
                      <a:picLocks noChangeAspect="1"/>
                    </pic:cNvPicPr>
                  </pic:nvPicPr>
                  <pic:blipFill>
                    <a:blip r:embed="rId45"/>
                    <a:srcRect l="8138" t="2469" r="5846" b="3099"/>
                    <a:stretch>
                      <a:fillRect/>
                    </a:stretch>
                  </pic:blipFill>
                  <pic:spPr>
                    <a:xfrm>
                      <a:off x="0" y="0"/>
                      <a:ext cx="5030470" cy="7364095"/>
                    </a:xfrm>
                    <a:prstGeom prst="rect">
                      <a:avLst/>
                    </a:prstGeom>
                  </pic:spPr>
                </pic:pic>
              </a:graphicData>
            </a:graphic>
          </wp:inline>
        </w:drawing>
      </w:r>
    </w:p>
    <w:p>
      <w:pPr>
        <w:ind w:firstLine="480"/>
        <w:jc w:val="center"/>
        <w:rPr>
          <w:rFonts w:hint="default" w:ascii="Times New Roman" w:hAnsi="Times New Roman" w:cs="Times New Roman"/>
          <w:color w:val="auto"/>
        </w:rPr>
        <w:sectPr>
          <w:pgSz w:w="11906" w:h="16838"/>
          <w:pgMar w:top="1701" w:right="1531" w:bottom="1701" w:left="1531" w:header="851" w:footer="851" w:gutter="0"/>
          <w:cols w:space="720" w:num="1"/>
          <w:docGrid w:linePitch="326" w:charSpace="0"/>
        </w:sectPr>
      </w:pPr>
    </w:p>
    <w:p>
      <w:pPr>
        <w:pStyle w:val="4"/>
        <w:numPr>
          <w:ilvl w:val="1"/>
          <w:numId w:val="0"/>
        </w:numPr>
        <w:spacing w:before="140"/>
        <w:rPr>
          <w:rFonts w:hint="default" w:ascii="Times New Roman" w:hAnsi="Times New Roman" w:cs="Times New Roman"/>
          <w:color w:val="auto"/>
        </w:rPr>
      </w:pPr>
      <w:bookmarkStart w:id="56" w:name="_Toc23657"/>
      <w:r>
        <w:rPr>
          <w:rFonts w:hint="default" w:ascii="Times New Roman" w:hAnsi="Times New Roman" w:cs="Times New Roman"/>
          <w:color w:val="auto"/>
        </w:rPr>
        <w:t>附件</w:t>
      </w:r>
      <w:r>
        <w:rPr>
          <w:rFonts w:hint="eastAsia" w:cs="Times New Roman"/>
          <w:color w:val="auto"/>
          <w:lang w:val="en-US" w:eastAsia="zh-CN"/>
        </w:rPr>
        <w:t>4</w:t>
      </w:r>
      <w:r>
        <w:rPr>
          <w:rFonts w:hint="default" w:ascii="Times New Roman" w:hAnsi="Times New Roman" w:cs="Times New Roman"/>
          <w:color w:val="auto"/>
        </w:rPr>
        <w:t>：</w:t>
      </w:r>
      <w:bookmarkEnd w:id="56"/>
      <w:r>
        <w:rPr>
          <w:rFonts w:hint="default" w:ascii="Times New Roman" w:hAnsi="Times New Roman" w:cs="Times New Roman"/>
          <w:color w:val="auto"/>
        </w:rPr>
        <w:t>单位更名备案批复</w:t>
      </w:r>
    </w:p>
    <w:p>
      <w:pPr>
        <w:ind w:left="0" w:leftChars="0" w:firstLine="0" w:firstLineChars="0"/>
        <w:rPr>
          <w:rFonts w:hint="default" w:ascii="Times New Roman" w:hAnsi="Times New Roman" w:eastAsia="宋体" w:cs="Times New Roman"/>
          <w:color w:val="auto"/>
          <w:lang w:eastAsia="zh-CN"/>
        </w:rPr>
        <w:sectPr>
          <w:pgSz w:w="11906" w:h="16838"/>
          <w:pgMar w:top="1701" w:right="1531" w:bottom="1701" w:left="1531" w:header="851" w:footer="851" w:gutter="0"/>
          <w:cols w:space="720" w:num="1"/>
          <w:docGrid w:linePitch="312" w:charSpace="0"/>
        </w:sectPr>
      </w:pPr>
      <w:r>
        <w:rPr>
          <w:rFonts w:hint="default" w:ascii="Times New Roman" w:hAnsi="Times New Roman" w:eastAsia="宋体" w:cs="Times New Roman"/>
          <w:color w:val="auto"/>
          <w:lang w:eastAsia="zh-CN"/>
        </w:rPr>
        <w:drawing>
          <wp:inline distT="0" distB="0" distL="114300" distR="114300">
            <wp:extent cx="5608955" cy="7931785"/>
            <wp:effectExtent l="0" t="0" r="10795" b="12065"/>
            <wp:docPr id="9" name="图片 9" descr="S30C-921100809420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S30C-921100809420_0001"/>
                    <pic:cNvPicPr>
                      <a:picLocks noChangeAspect="1"/>
                    </pic:cNvPicPr>
                  </pic:nvPicPr>
                  <pic:blipFill>
                    <a:blip r:embed="rId46"/>
                    <a:stretch>
                      <a:fillRect/>
                    </a:stretch>
                  </pic:blipFill>
                  <pic:spPr>
                    <a:xfrm>
                      <a:off x="0" y="0"/>
                      <a:ext cx="5608955" cy="7931785"/>
                    </a:xfrm>
                    <a:prstGeom prst="rect">
                      <a:avLst/>
                    </a:prstGeom>
                  </pic:spPr>
                </pic:pic>
              </a:graphicData>
            </a:graphic>
          </wp:inline>
        </w:drawing>
      </w:r>
      <w:r>
        <w:rPr>
          <w:rFonts w:hint="default" w:ascii="Times New Roman" w:hAnsi="Times New Roman" w:eastAsia="宋体" w:cs="Times New Roman"/>
          <w:color w:val="auto"/>
          <w:lang w:eastAsia="zh-CN"/>
        </w:rPr>
        <w:drawing>
          <wp:inline distT="0" distB="0" distL="114300" distR="114300">
            <wp:extent cx="5608955" cy="7931785"/>
            <wp:effectExtent l="0" t="0" r="10795" b="12065"/>
            <wp:docPr id="10" name="图片 10" descr="S30C-921100809420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S30C-921100809420_0002"/>
                    <pic:cNvPicPr>
                      <a:picLocks noChangeAspect="1"/>
                    </pic:cNvPicPr>
                  </pic:nvPicPr>
                  <pic:blipFill>
                    <a:blip r:embed="rId47"/>
                    <a:stretch>
                      <a:fillRect/>
                    </a:stretch>
                  </pic:blipFill>
                  <pic:spPr>
                    <a:xfrm>
                      <a:off x="0" y="0"/>
                      <a:ext cx="5608955" cy="7931785"/>
                    </a:xfrm>
                    <a:prstGeom prst="rect">
                      <a:avLst/>
                    </a:prstGeom>
                  </pic:spPr>
                </pic:pic>
              </a:graphicData>
            </a:graphic>
          </wp:inline>
        </w:drawing>
      </w:r>
    </w:p>
    <w:p>
      <w:pPr>
        <w:pStyle w:val="4"/>
        <w:numPr>
          <w:ilvl w:val="1"/>
          <w:numId w:val="0"/>
        </w:numPr>
        <w:spacing w:before="140" w:after="0"/>
        <w:rPr>
          <w:rFonts w:hint="eastAsia" w:cs="Times New Roman"/>
          <w:color w:val="auto"/>
          <w:lang w:val="en-US" w:eastAsia="zh-CN"/>
        </w:rPr>
      </w:pPr>
      <w:r>
        <w:rPr>
          <w:rFonts w:hint="default" w:ascii="Times New Roman" w:hAnsi="Times New Roman" w:cs="Times New Roman"/>
          <w:color w:val="auto"/>
        </w:rPr>
        <w:t>附件</w:t>
      </w:r>
      <w:r>
        <w:rPr>
          <w:rFonts w:hint="eastAsia" w:cs="Times New Roman"/>
          <w:color w:val="auto"/>
          <w:lang w:val="en-US" w:eastAsia="zh-CN"/>
        </w:rPr>
        <w:t>5</w:t>
      </w:r>
      <w:r>
        <w:rPr>
          <w:rFonts w:hint="default" w:ascii="Times New Roman" w:hAnsi="Times New Roman" w:cs="Times New Roman"/>
          <w:color w:val="auto"/>
        </w:rPr>
        <w:t>：</w:t>
      </w:r>
      <w:r>
        <w:rPr>
          <w:rFonts w:hint="eastAsia" w:cs="Times New Roman"/>
          <w:color w:val="auto"/>
          <w:lang w:val="en-US" w:eastAsia="zh-CN"/>
        </w:rPr>
        <w:t>法人身份证</w:t>
      </w:r>
    </w:p>
    <w:p>
      <w:pPr>
        <w:ind w:left="0" w:leftChars="0" w:firstLine="0" w:firstLineChars="0"/>
        <w:rPr>
          <w:rFonts w:hint="default"/>
          <w:lang w:val="en-US" w:eastAsia="zh-CN"/>
        </w:rPr>
      </w:pPr>
      <w:r>
        <w:rPr>
          <w:rFonts w:hint="default"/>
          <w:lang w:val="en-US" w:eastAsia="zh-CN"/>
        </w:rPr>
        <w:drawing>
          <wp:inline distT="0" distB="0" distL="114300" distR="114300">
            <wp:extent cx="5574030" cy="7432040"/>
            <wp:effectExtent l="0" t="0" r="7620" b="16510"/>
            <wp:docPr id="43" name="图片 43" descr="c4b1a65d5758fedc22e28195c0a3e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c4b1a65d5758fedc22e28195c0a3e74"/>
                    <pic:cNvPicPr>
                      <a:picLocks noChangeAspect="1"/>
                    </pic:cNvPicPr>
                  </pic:nvPicPr>
                  <pic:blipFill>
                    <a:blip r:embed="rId48"/>
                    <a:stretch>
                      <a:fillRect/>
                    </a:stretch>
                  </pic:blipFill>
                  <pic:spPr>
                    <a:xfrm>
                      <a:off x="0" y="0"/>
                      <a:ext cx="5574030" cy="7432040"/>
                    </a:xfrm>
                    <a:prstGeom prst="rect">
                      <a:avLst/>
                    </a:prstGeom>
                  </pic:spPr>
                </pic:pic>
              </a:graphicData>
            </a:graphic>
          </wp:inline>
        </w:drawing>
      </w:r>
    </w:p>
    <w:p>
      <w:pPr>
        <w:pStyle w:val="2"/>
        <w:ind w:left="0" w:leftChars="0" w:firstLine="0" w:firstLineChars="0"/>
        <w:rPr>
          <w:rFonts w:hint="default"/>
          <w:lang w:eastAsia="zh-CN"/>
        </w:rPr>
      </w:pPr>
    </w:p>
    <w:p>
      <w:pPr>
        <w:ind w:firstLine="480"/>
        <w:jc w:val="center"/>
        <w:rPr>
          <w:rFonts w:hint="default" w:ascii="Times New Roman" w:hAnsi="Times New Roman" w:cs="Times New Roman"/>
          <w:color w:val="auto"/>
        </w:rPr>
      </w:pPr>
    </w:p>
    <w:p>
      <w:pPr>
        <w:ind w:firstLine="480"/>
        <w:jc w:val="center"/>
        <w:rPr>
          <w:rFonts w:hint="default" w:ascii="Times New Roman" w:hAnsi="Times New Roman" w:cs="Times New Roman"/>
          <w:color w:val="auto"/>
        </w:rPr>
        <w:sectPr>
          <w:pgSz w:w="11906" w:h="16838"/>
          <w:pgMar w:top="1701" w:right="1531" w:bottom="1701" w:left="1531" w:header="851" w:footer="851" w:gutter="0"/>
          <w:cols w:space="720" w:num="1"/>
          <w:docGrid w:linePitch="312" w:charSpace="0"/>
        </w:sectPr>
      </w:pPr>
    </w:p>
    <w:p>
      <w:pPr>
        <w:pStyle w:val="4"/>
        <w:numPr>
          <w:ilvl w:val="1"/>
          <w:numId w:val="0"/>
        </w:numPr>
        <w:spacing w:before="140" w:after="0"/>
        <w:rPr>
          <w:rFonts w:hint="default" w:ascii="Times New Roman" w:hAnsi="Times New Roman" w:cs="Times New Roman"/>
          <w:color w:val="auto"/>
        </w:rPr>
      </w:pPr>
      <w:bookmarkStart w:id="57" w:name="_Toc1152"/>
      <w:r>
        <w:rPr>
          <w:rFonts w:hint="default" w:ascii="Times New Roman" w:hAnsi="Times New Roman" w:cs="Times New Roman"/>
          <w:color w:val="auto"/>
        </w:rPr>
        <w:t>附件</w:t>
      </w:r>
      <w:r>
        <w:rPr>
          <w:rFonts w:hint="eastAsia" w:cs="Times New Roman"/>
          <w:color w:val="auto"/>
          <w:lang w:val="en-US" w:eastAsia="zh-CN"/>
        </w:rPr>
        <w:t>6</w:t>
      </w:r>
      <w:r>
        <w:rPr>
          <w:rFonts w:hint="default" w:ascii="Times New Roman" w:hAnsi="Times New Roman" w:cs="Times New Roman"/>
          <w:color w:val="auto"/>
        </w:rPr>
        <w:t>：</w:t>
      </w:r>
      <w:bookmarkEnd w:id="57"/>
      <w:r>
        <w:rPr>
          <w:rFonts w:hint="default" w:ascii="Times New Roman" w:hAnsi="Times New Roman" w:cs="Times New Roman"/>
          <w:color w:val="auto"/>
        </w:rPr>
        <w:t>现有项目环评批复</w:t>
      </w:r>
    </w:p>
    <w:p>
      <w:pPr>
        <w:adjustRightInd w:val="0"/>
        <w:snapToGrid w:val="0"/>
        <w:spacing w:line="240" w:lineRule="auto"/>
        <w:ind w:firstLine="0" w:firstLineChars="0"/>
        <w:jc w:val="center"/>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drawing>
          <wp:inline distT="0" distB="0" distL="114300" distR="114300">
            <wp:extent cx="5608955" cy="7931785"/>
            <wp:effectExtent l="0" t="0" r="10795" b="12065"/>
            <wp:docPr id="12" name="图片 12" descr="S30C-921100809420_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S30C-921100809420_0003"/>
                    <pic:cNvPicPr>
                      <a:picLocks noChangeAspect="1"/>
                    </pic:cNvPicPr>
                  </pic:nvPicPr>
                  <pic:blipFill>
                    <a:blip r:embed="rId49"/>
                    <a:stretch>
                      <a:fillRect/>
                    </a:stretch>
                  </pic:blipFill>
                  <pic:spPr>
                    <a:xfrm>
                      <a:off x="0" y="0"/>
                      <a:ext cx="5608955" cy="7931785"/>
                    </a:xfrm>
                    <a:prstGeom prst="rect">
                      <a:avLst/>
                    </a:prstGeom>
                  </pic:spPr>
                </pic:pic>
              </a:graphicData>
            </a:graphic>
          </wp:inline>
        </w:drawing>
      </w:r>
    </w:p>
    <w:p>
      <w:pPr>
        <w:adjustRightInd w:val="0"/>
        <w:snapToGrid w:val="0"/>
        <w:spacing w:line="240" w:lineRule="auto"/>
        <w:ind w:firstLine="0" w:firstLineChars="0"/>
        <w:jc w:val="center"/>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drawing>
          <wp:inline distT="0" distB="0" distL="114300" distR="114300">
            <wp:extent cx="5608955" cy="7931785"/>
            <wp:effectExtent l="0" t="0" r="10795" b="12065"/>
            <wp:docPr id="11" name="图片 11" descr="S30C-921100809420_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S30C-921100809420_0004"/>
                    <pic:cNvPicPr>
                      <a:picLocks noChangeAspect="1"/>
                    </pic:cNvPicPr>
                  </pic:nvPicPr>
                  <pic:blipFill>
                    <a:blip r:embed="rId50"/>
                    <a:stretch>
                      <a:fillRect/>
                    </a:stretch>
                  </pic:blipFill>
                  <pic:spPr>
                    <a:xfrm>
                      <a:off x="0" y="0"/>
                      <a:ext cx="5608955" cy="7931785"/>
                    </a:xfrm>
                    <a:prstGeom prst="rect">
                      <a:avLst/>
                    </a:prstGeom>
                  </pic:spPr>
                </pic:pic>
              </a:graphicData>
            </a:graphic>
          </wp:inline>
        </w:drawing>
      </w:r>
      <w:r>
        <w:rPr>
          <w:rFonts w:hint="default" w:ascii="Times New Roman" w:hAnsi="Times New Roman" w:eastAsia="宋体" w:cs="Times New Roman"/>
          <w:color w:val="auto"/>
          <w:lang w:eastAsia="zh-CN"/>
        </w:rPr>
        <w:drawing>
          <wp:inline distT="0" distB="0" distL="114300" distR="114300">
            <wp:extent cx="5608955" cy="7931785"/>
            <wp:effectExtent l="0" t="0" r="10795" b="12065"/>
            <wp:docPr id="13" name="图片 13" descr="S30C-921100809420_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S30C-921100809420_0005"/>
                    <pic:cNvPicPr>
                      <a:picLocks noChangeAspect="1"/>
                    </pic:cNvPicPr>
                  </pic:nvPicPr>
                  <pic:blipFill>
                    <a:blip r:embed="rId51"/>
                    <a:stretch>
                      <a:fillRect/>
                    </a:stretch>
                  </pic:blipFill>
                  <pic:spPr>
                    <a:xfrm>
                      <a:off x="0" y="0"/>
                      <a:ext cx="5608955" cy="7931785"/>
                    </a:xfrm>
                    <a:prstGeom prst="rect">
                      <a:avLst/>
                    </a:prstGeom>
                  </pic:spPr>
                </pic:pic>
              </a:graphicData>
            </a:graphic>
          </wp:inline>
        </w:drawing>
      </w:r>
    </w:p>
    <w:p>
      <w:pPr>
        <w:pStyle w:val="2"/>
        <w:ind w:firstLine="360"/>
        <w:rPr>
          <w:rFonts w:hint="default" w:ascii="Times New Roman" w:hAnsi="Times New Roman" w:cs="Times New Roman"/>
          <w:color w:val="auto"/>
        </w:rPr>
      </w:pPr>
    </w:p>
    <w:p>
      <w:pPr>
        <w:ind w:firstLine="480"/>
        <w:jc w:val="center"/>
        <w:rPr>
          <w:rFonts w:hint="default" w:ascii="Times New Roman" w:hAnsi="Times New Roman" w:cs="Times New Roman"/>
          <w:color w:val="auto"/>
        </w:rPr>
        <w:sectPr>
          <w:pgSz w:w="11906" w:h="16838"/>
          <w:pgMar w:top="1701" w:right="1531" w:bottom="1701" w:left="1531" w:header="851" w:footer="851" w:gutter="0"/>
          <w:cols w:space="720" w:num="1"/>
          <w:docGrid w:linePitch="312" w:charSpace="0"/>
        </w:sectPr>
      </w:pPr>
    </w:p>
    <w:p>
      <w:pPr>
        <w:pStyle w:val="4"/>
        <w:numPr>
          <w:ilvl w:val="1"/>
          <w:numId w:val="0"/>
        </w:numPr>
        <w:rPr>
          <w:rFonts w:hint="default" w:ascii="Times New Roman" w:hAnsi="Times New Roman" w:cs="Times New Roman"/>
          <w:color w:val="auto"/>
        </w:rPr>
      </w:pPr>
      <w:bookmarkStart w:id="58" w:name="_Toc15185"/>
      <w:r>
        <w:rPr>
          <w:rFonts w:hint="default" w:ascii="Times New Roman" w:hAnsi="Times New Roman" w:cs="Times New Roman"/>
          <w:color w:val="auto"/>
        </w:rPr>
        <w:t>附件</w:t>
      </w:r>
      <w:r>
        <w:rPr>
          <w:rFonts w:hint="eastAsia" w:cs="Times New Roman"/>
          <w:color w:val="auto"/>
          <w:lang w:val="en-US" w:eastAsia="zh-CN"/>
        </w:rPr>
        <w:t>7</w:t>
      </w:r>
      <w:r>
        <w:rPr>
          <w:rFonts w:hint="default" w:ascii="Times New Roman" w:hAnsi="Times New Roman" w:cs="Times New Roman"/>
          <w:color w:val="auto"/>
        </w:rPr>
        <w:t>：</w:t>
      </w:r>
      <w:bookmarkEnd w:id="58"/>
      <w:r>
        <w:rPr>
          <w:rFonts w:hint="default" w:ascii="Times New Roman" w:hAnsi="Times New Roman" w:cs="Times New Roman"/>
          <w:color w:val="auto"/>
        </w:rPr>
        <w:t>锅炉更换环评审批补充意见</w:t>
      </w:r>
    </w:p>
    <w:p>
      <w:pPr>
        <w:ind w:firstLine="0" w:firstLineChars="0"/>
        <w:jc w:val="center"/>
        <w:rPr>
          <w:rFonts w:hint="default" w:ascii="Times New Roman" w:hAnsi="Times New Roman" w:eastAsia="宋体" w:cs="Times New Roman"/>
          <w:b/>
          <w:color w:val="auto"/>
          <w:lang w:eastAsia="zh-CN"/>
        </w:rPr>
        <w:sectPr>
          <w:footerReference r:id="rId8" w:type="default"/>
          <w:pgSz w:w="11906" w:h="16838"/>
          <w:pgMar w:top="1701" w:right="1531" w:bottom="1701" w:left="1531" w:header="851" w:footer="851" w:gutter="0"/>
          <w:cols w:space="720" w:num="1"/>
          <w:docGrid w:linePitch="312" w:charSpace="0"/>
        </w:sectPr>
      </w:pPr>
      <w:r>
        <w:rPr>
          <w:rFonts w:hint="default" w:ascii="Times New Roman" w:hAnsi="Times New Roman" w:eastAsia="宋体" w:cs="Times New Roman"/>
          <w:b/>
          <w:color w:val="auto"/>
          <w:lang w:eastAsia="zh-CN"/>
        </w:rPr>
        <w:drawing>
          <wp:inline distT="0" distB="0" distL="114300" distR="114300">
            <wp:extent cx="5330825" cy="7538720"/>
            <wp:effectExtent l="0" t="0" r="3175" b="5080"/>
            <wp:docPr id="14" name="图片 14" descr="S30C-921100809420_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S30C-921100809420_0006"/>
                    <pic:cNvPicPr>
                      <a:picLocks noChangeAspect="1"/>
                    </pic:cNvPicPr>
                  </pic:nvPicPr>
                  <pic:blipFill>
                    <a:blip r:embed="rId52"/>
                    <a:stretch>
                      <a:fillRect/>
                    </a:stretch>
                  </pic:blipFill>
                  <pic:spPr>
                    <a:xfrm>
                      <a:off x="0" y="0"/>
                      <a:ext cx="5330825" cy="7538720"/>
                    </a:xfrm>
                    <a:prstGeom prst="rect">
                      <a:avLst/>
                    </a:prstGeom>
                  </pic:spPr>
                </pic:pic>
              </a:graphicData>
            </a:graphic>
          </wp:inline>
        </w:drawing>
      </w:r>
      <w:r>
        <w:rPr>
          <w:rFonts w:hint="default" w:ascii="Times New Roman" w:hAnsi="Times New Roman" w:eastAsia="宋体" w:cs="Times New Roman"/>
          <w:b/>
          <w:color w:val="auto"/>
          <w:lang w:eastAsia="zh-CN"/>
        </w:rPr>
        <w:drawing>
          <wp:inline distT="0" distB="0" distL="114300" distR="114300">
            <wp:extent cx="5608955" cy="7931785"/>
            <wp:effectExtent l="0" t="0" r="10795" b="12065"/>
            <wp:docPr id="15" name="图片 15" descr="S30C-921100809420_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S30C-921100809420_0007"/>
                    <pic:cNvPicPr>
                      <a:picLocks noChangeAspect="1"/>
                    </pic:cNvPicPr>
                  </pic:nvPicPr>
                  <pic:blipFill>
                    <a:blip r:embed="rId53"/>
                    <a:stretch>
                      <a:fillRect/>
                    </a:stretch>
                  </pic:blipFill>
                  <pic:spPr>
                    <a:xfrm>
                      <a:off x="0" y="0"/>
                      <a:ext cx="5608955" cy="7931785"/>
                    </a:xfrm>
                    <a:prstGeom prst="rect">
                      <a:avLst/>
                    </a:prstGeom>
                  </pic:spPr>
                </pic:pic>
              </a:graphicData>
            </a:graphic>
          </wp:inline>
        </w:drawing>
      </w:r>
    </w:p>
    <w:p>
      <w:pPr>
        <w:pStyle w:val="4"/>
        <w:numPr>
          <w:ilvl w:val="1"/>
          <w:numId w:val="0"/>
        </w:numPr>
        <w:rPr>
          <w:rFonts w:hint="default" w:ascii="Times New Roman" w:hAnsi="Times New Roman" w:cs="Times New Roman"/>
          <w:color w:val="auto"/>
        </w:rPr>
      </w:pPr>
      <w:bookmarkStart w:id="59" w:name="_Toc26433"/>
      <w:r>
        <w:rPr>
          <w:rFonts w:hint="default" w:ascii="Times New Roman" w:hAnsi="Times New Roman" w:cs="Times New Roman"/>
          <w:color w:val="auto"/>
        </w:rPr>
        <w:t>附件</w:t>
      </w:r>
      <w:r>
        <w:rPr>
          <w:rFonts w:hint="eastAsia" w:cs="Times New Roman"/>
          <w:color w:val="auto"/>
          <w:lang w:val="en-US" w:eastAsia="zh-CN"/>
        </w:rPr>
        <w:t>8</w:t>
      </w:r>
      <w:r>
        <w:rPr>
          <w:rFonts w:hint="default" w:ascii="Times New Roman" w:hAnsi="Times New Roman" w:cs="Times New Roman"/>
          <w:color w:val="auto"/>
        </w:rPr>
        <w:t>：</w:t>
      </w:r>
      <w:bookmarkEnd w:id="59"/>
      <w:r>
        <w:rPr>
          <w:rFonts w:hint="default" w:ascii="Times New Roman" w:hAnsi="Times New Roman" w:cs="Times New Roman"/>
          <w:color w:val="auto"/>
        </w:rPr>
        <w:t>现有项目验收意见</w:t>
      </w:r>
    </w:p>
    <w:p>
      <w:pPr>
        <w:ind w:firstLine="0" w:firstLineChars="0"/>
        <w:jc w:val="center"/>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drawing>
          <wp:inline distT="0" distB="0" distL="114300" distR="114300">
            <wp:extent cx="5608955" cy="7571105"/>
            <wp:effectExtent l="0" t="0" r="10795" b="10795"/>
            <wp:docPr id="16" name="图片 16" descr="S30C-921100809421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S30C-921100809421_0001"/>
                    <pic:cNvPicPr>
                      <a:picLocks noChangeAspect="1"/>
                    </pic:cNvPicPr>
                  </pic:nvPicPr>
                  <pic:blipFill>
                    <a:blip r:embed="rId54"/>
                    <a:srcRect t="4547"/>
                    <a:stretch>
                      <a:fillRect/>
                    </a:stretch>
                  </pic:blipFill>
                  <pic:spPr>
                    <a:xfrm>
                      <a:off x="0" y="0"/>
                      <a:ext cx="5608955" cy="7571105"/>
                    </a:xfrm>
                    <a:prstGeom prst="rect">
                      <a:avLst/>
                    </a:prstGeom>
                  </pic:spPr>
                </pic:pic>
              </a:graphicData>
            </a:graphic>
          </wp:inline>
        </w:drawing>
      </w:r>
      <w:r>
        <w:rPr>
          <w:rFonts w:hint="default" w:ascii="Times New Roman" w:hAnsi="Times New Roman" w:eastAsia="宋体" w:cs="Times New Roman"/>
          <w:color w:val="auto"/>
          <w:lang w:eastAsia="zh-CN"/>
        </w:rPr>
        <w:drawing>
          <wp:inline distT="0" distB="0" distL="114300" distR="114300">
            <wp:extent cx="5608955" cy="7931785"/>
            <wp:effectExtent l="0" t="0" r="10795" b="12065"/>
            <wp:docPr id="17" name="图片 17" descr="S30C-921100809421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S30C-921100809421_0002"/>
                    <pic:cNvPicPr>
                      <a:picLocks noChangeAspect="1"/>
                    </pic:cNvPicPr>
                  </pic:nvPicPr>
                  <pic:blipFill>
                    <a:blip r:embed="rId55"/>
                    <a:stretch>
                      <a:fillRect/>
                    </a:stretch>
                  </pic:blipFill>
                  <pic:spPr>
                    <a:xfrm>
                      <a:off x="0" y="0"/>
                      <a:ext cx="5608955" cy="7931785"/>
                    </a:xfrm>
                    <a:prstGeom prst="rect">
                      <a:avLst/>
                    </a:prstGeom>
                  </pic:spPr>
                </pic:pic>
              </a:graphicData>
            </a:graphic>
          </wp:inline>
        </w:drawing>
      </w:r>
    </w:p>
    <w:p>
      <w:pPr>
        <w:pStyle w:val="2"/>
        <w:ind w:firstLine="0" w:firstLineChars="0"/>
        <w:rPr>
          <w:rFonts w:hint="default" w:ascii="Times New Roman" w:hAnsi="Times New Roman" w:cs="Times New Roman"/>
          <w:color w:val="auto"/>
        </w:rPr>
      </w:pPr>
    </w:p>
    <w:p>
      <w:pPr>
        <w:ind w:firstLine="0" w:firstLineChars="0"/>
        <w:rPr>
          <w:rFonts w:hint="default" w:ascii="Times New Roman" w:hAnsi="Times New Roman" w:cs="Times New Roman"/>
          <w:color w:val="auto"/>
        </w:rPr>
        <w:sectPr>
          <w:pgSz w:w="11906" w:h="16838"/>
          <w:pgMar w:top="1701" w:right="1531" w:bottom="1701" w:left="1531" w:header="851" w:footer="851" w:gutter="0"/>
          <w:cols w:space="720" w:num="1"/>
          <w:docGrid w:linePitch="312" w:charSpace="0"/>
        </w:sectPr>
      </w:pPr>
    </w:p>
    <w:p>
      <w:pPr>
        <w:pStyle w:val="4"/>
        <w:numPr>
          <w:ilvl w:val="1"/>
          <w:numId w:val="0"/>
        </w:numPr>
        <w:rPr>
          <w:rFonts w:hint="eastAsia" w:cs="Times New Roman"/>
          <w:color w:val="auto"/>
          <w:lang w:val="en-US" w:eastAsia="zh-CN"/>
        </w:rPr>
      </w:pPr>
      <w:bookmarkStart w:id="60" w:name="_Toc10022"/>
      <w:r>
        <w:rPr>
          <w:rFonts w:hint="eastAsia" w:cs="Times New Roman"/>
          <w:color w:val="auto"/>
          <w:lang w:val="en-US" w:eastAsia="zh-CN"/>
        </w:rPr>
        <w:t>附件9：排污许可证</w:t>
      </w:r>
    </w:p>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lang w:val="en-US" w:eastAsia="zh-CN"/>
        </w:rPr>
        <w:sectPr>
          <w:pgSz w:w="11906" w:h="16838"/>
          <w:pgMar w:top="1701" w:right="1531" w:bottom="1701" w:left="1531" w:header="851" w:footer="851" w:gutter="0"/>
          <w:cols w:space="720" w:num="1"/>
          <w:docGrid w:linePitch="312" w:charSpace="0"/>
        </w:sectPr>
      </w:pPr>
      <w:r>
        <w:rPr>
          <w:rFonts w:hint="default"/>
          <w:lang w:val="en-US" w:eastAsia="zh-CN"/>
        </w:rPr>
        <w:drawing>
          <wp:inline distT="0" distB="0" distL="114300" distR="114300">
            <wp:extent cx="5611495" cy="7724140"/>
            <wp:effectExtent l="0" t="0" r="8255" b="10160"/>
            <wp:docPr id="21" name="图片 21" descr="微信图片_202110111008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微信图片_202110111008484"/>
                    <pic:cNvPicPr>
                      <a:picLocks noChangeAspect="1"/>
                    </pic:cNvPicPr>
                  </pic:nvPicPr>
                  <pic:blipFill>
                    <a:blip r:embed="rId56"/>
                    <a:stretch>
                      <a:fillRect/>
                    </a:stretch>
                  </pic:blipFill>
                  <pic:spPr>
                    <a:xfrm>
                      <a:off x="0" y="0"/>
                      <a:ext cx="5611495" cy="7724140"/>
                    </a:xfrm>
                    <a:prstGeom prst="rect">
                      <a:avLst/>
                    </a:prstGeom>
                  </pic:spPr>
                </pic:pic>
              </a:graphicData>
            </a:graphic>
          </wp:inline>
        </w:drawing>
      </w:r>
    </w:p>
    <w:p>
      <w:pPr>
        <w:pStyle w:val="4"/>
        <w:numPr>
          <w:ilvl w:val="1"/>
          <w:numId w:val="0"/>
        </w:numPr>
        <w:rPr>
          <w:rFonts w:hint="default" w:ascii="Times New Roman" w:hAnsi="Times New Roman" w:cs="Times New Roman"/>
          <w:color w:val="auto"/>
        </w:rPr>
      </w:pPr>
      <w:r>
        <w:rPr>
          <w:rFonts w:hint="default" w:ascii="Times New Roman" w:hAnsi="Times New Roman" w:cs="Times New Roman"/>
          <w:color w:val="auto"/>
        </w:rPr>
        <w:t>附件</w:t>
      </w:r>
      <w:r>
        <w:rPr>
          <w:rFonts w:hint="eastAsia" w:cs="Times New Roman"/>
          <w:color w:val="auto"/>
          <w:lang w:val="en-US" w:eastAsia="zh-CN"/>
        </w:rPr>
        <w:t>10</w:t>
      </w:r>
      <w:r>
        <w:rPr>
          <w:rFonts w:hint="default" w:ascii="Times New Roman" w:hAnsi="Times New Roman" w:cs="Times New Roman"/>
          <w:color w:val="auto"/>
        </w:rPr>
        <w:t>：</w:t>
      </w:r>
      <w:r>
        <w:rPr>
          <w:rFonts w:hint="eastAsia" w:cs="Times New Roman"/>
          <w:color w:val="auto"/>
          <w:lang w:val="en-US" w:eastAsia="zh-CN"/>
        </w:rPr>
        <w:t>自行监测</w:t>
      </w:r>
      <w:r>
        <w:rPr>
          <w:rFonts w:hint="default" w:ascii="Times New Roman" w:hAnsi="Times New Roman" w:cs="Times New Roman"/>
          <w:color w:val="auto"/>
        </w:rPr>
        <w:t>报告</w:t>
      </w:r>
      <w:bookmarkEnd w:id="60"/>
    </w:p>
    <w:p>
      <w:pPr>
        <w:ind w:firstLine="0" w:firstLineChars="0"/>
        <w:rPr>
          <w:rFonts w:hint="default" w:ascii="Times New Roman" w:hAnsi="Times New Roman" w:cs="Times New Roman"/>
          <w:color w:val="auto"/>
        </w:rPr>
      </w:pPr>
      <w:r>
        <w:rPr>
          <w:rFonts w:hint="default" w:ascii="Times New Roman" w:hAnsi="Times New Roman" w:cs="Times New Roman"/>
          <w:color w:val="auto"/>
        </w:rPr>
        <w:drawing>
          <wp:inline distT="0" distB="0" distL="0" distR="0">
            <wp:extent cx="5256530" cy="7437755"/>
            <wp:effectExtent l="0" t="0" r="1270" b="0"/>
            <wp:docPr id="39" name="图片 39" descr="F:\91、众安药业锅炉改建\资料清单\C200641福州阿多拉制药有限公司废气检测_页面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F:\91、众安药业锅炉改建\资料清单\C200641福州阿多拉制药有限公司废气检测_页面_0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5257985" cy="7439635"/>
                    </a:xfrm>
                    <a:prstGeom prst="rect">
                      <a:avLst/>
                    </a:prstGeom>
                    <a:noFill/>
                    <a:ln>
                      <a:noFill/>
                    </a:ln>
                  </pic:spPr>
                </pic:pic>
              </a:graphicData>
            </a:graphic>
          </wp:inline>
        </w:drawing>
      </w:r>
    </w:p>
    <w:p>
      <w:pPr>
        <w:pStyle w:val="2"/>
        <w:adjustRightInd w:val="0"/>
        <w:ind w:firstLine="0" w:firstLineChars="0"/>
        <w:jc w:val="center"/>
        <w:rPr>
          <w:rFonts w:hint="default" w:ascii="Times New Roman" w:hAnsi="Times New Roman" w:cs="Times New Roman"/>
          <w:color w:val="auto"/>
        </w:rPr>
        <w:sectPr>
          <w:pgSz w:w="11906" w:h="16838"/>
          <w:pgMar w:top="1701" w:right="1531" w:bottom="1701" w:left="1531" w:header="851" w:footer="851" w:gutter="0"/>
          <w:cols w:space="720" w:num="1"/>
          <w:docGrid w:linePitch="312" w:charSpace="0"/>
        </w:sectPr>
      </w:pPr>
      <w:r>
        <w:rPr>
          <w:rFonts w:hint="default" w:ascii="Times New Roman" w:hAnsi="Times New Roman" w:cs="Times New Roman"/>
          <w:color w:val="auto"/>
        </w:rPr>
        <w:drawing>
          <wp:inline distT="0" distB="0" distL="0" distR="0">
            <wp:extent cx="5608955" cy="7936230"/>
            <wp:effectExtent l="0" t="0" r="0" b="7620"/>
            <wp:docPr id="40" name="图片 40" descr="F:\91、众安药业锅炉改建\资料清单\C200641福州阿多拉制药有限公司废气检测_页面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F:\91、众安药业锅炉改建\资料清单\C200641福州阿多拉制药有限公司废气检测_页面_0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5608955" cy="7936230"/>
                    </a:xfrm>
                    <a:prstGeom prst="rect">
                      <a:avLst/>
                    </a:prstGeom>
                    <a:noFill/>
                    <a:ln>
                      <a:noFill/>
                    </a:ln>
                  </pic:spPr>
                </pic:pic>
              </a:graphicData>
            </a:graphic>
          </wp:inline>
        </w:drawing>
      </w:r>
      <w:r>
        <w:rPr>
          <w:rFonts w:hint="default" w:ascii="Times New Roman" w:hAnsi="Times New Roman" w:cs="Times New Roman"/>
          <w:color w:val="auto"/>
        </w:rPr>
        <w:drawing>
          <wp:inline distT="0" distB="0" distL="0" distR="0">
            <wp:extent cx="5608955" cy="7936230"/>
            <wp:effectExtent l="0" t="0" r="0" b="7620"/>
            <wp:docPr id="41" name="图片 41" descr="F:\91、众安药业锅炉改建\资料清单\C200641福州阿多拉制药有限公司废气检测_页面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F:\91、众安药业锅炉改建\资料清单\C200641福州阿多拉制药有限公司废气检测_页面_03.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5608955" cy="7936230"/>
                    </a:xfrm>
                    <a:prstGeom prst="rect">
                      <a:avLst/>
                    </a:prstGeom>
                    <a:noFill/>
                    <a:ln>
                      <a:noFill/>
                    </a:ln>
                  </pic:spPr>
                </pic:pic>
              </a:graphicData>
            </a:graphic>
          </wp:inline>
        </w:drawing>
      </w:r>
      <w:r>
        <w:rPr>
          <w:rFonts w:hint="default" w:ascii="Times New Roman" w:hAnsi="Times New Roman" w:cs="Times New Roman"/>
          <w:color w:val="auto"/>
        </w:rPr>
        <w:drawing>
          <wp:inline distT="0" distB="0" distL="0" distR="0">
            <wp:extent cx="5608955" cy="7936230"/>
            <wp:effectExtent l="0" t="0" r="0" b="7620"/>
            <wp:docPr id="42" name="图片 42" descr="F:\91、众安药业锅炉改建\资料清单\C200641福州阿多拉制药有限公司废气检测_页面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F:\91、众安药业锅炉改建\资料清单\C200641福州阿多拉制药有限公司废气检测_页面_0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5608955" cy="7936230"/>
                    </a:xfrm>
                    <a:prstGeom prst="rect">
                      <a:avLst/>
                    </a:prstGeom>
                    <a:noFill/>
                    <a:ln>
                      <a:noFill/>
                    </a:ln>
                  </pic:spPr>
                </pic:pic>
              </a:graphicData>
            </a:graphic>
          </wp:inline>
        </w:drawing>
      </w:r>
      <w:r>
        <w:rPr>
          <w:rFonts w:hint="default" w:ascii="Times New Roman" w:hAnsi="Times New Roman" w:cs="Times New Roman"/>
          <w:color w:val="auto"/>
        </w:rPr>
        <w:drawing>
          <wp:inline distT="0" distB="0" distL="0" distR="0">
            <wp:extent cx="5608955" cy="7936230"/>
            <wp:effectExtent l="0" t="0" r="0" b="7620"/>
            <wp:docPr id="45" name="图片 45" descr="F:\91、众安药业锅炉改建\资料清单\C200641福州阿多拉制药有限公司废气检测_页面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F:\91、众安药业锅炉改建\资料清单\C200641福州阿多拉制药有限公司废气检测_页面_06.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5608955" cy="7936230"/>
                    </a:xfrm>
                    <a:prstGeom prst="rect">
                      <a:avLst/>
                    </a:prstGeom>
                    <a:noFill/>
                    <a:ln>
                      <a:noFill/>
                    </a:ln>
                  </pic:spPr>
                </pic:pic>
              </a:graphicData>
            </a:graphic>
          </wp:inline>
        </w:drawing>
      </w:r>
      <w:r>
        <w:rPr>
          <w:rFonts w:hint="default" w:ascii="Times New Roman" w:hAnsi="Times New Roman" w:cs="Times New Roman"/>
          <w:color w:val="auto"/>
        </w:rPr>
        <w:drawing>
          <wp:inline distT="0" distB="0" distL="0" distR="0">
            <wp:extent cx="5608955" cy="7936230"/>
            <wp:effectExtent l="0" t="0" r="0" b="7620"/>
            <wp:docPr id="46" name="图片 46" descr="F:\91、众安药业锅炉改建\资料清单\C200641福州阿多拉制药有限公司废气检测_页面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F:\91、众安药业锅炉改建\资料清单\C200641福州阿多拉制药有限公司废气检测_页面_07.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5608955" cy="7936230"/>
                    </a:xfrm>
                    <a:prstGeom prst="rect">
                      <a:avLst/>
                    </a:prstGeom>
                    <a:noFill/>
                    <a:ln>
                      <a:noFill/>
                    </a:ln>
                  </pic:spPr>
                </pic:pic>
              </a:graphicData>
            </a:graphic>
          </wp:inline>
        </w:drawing>
      </w:r>
      <w:r>
        <w:rPr>
          <w:rFonts w:hint="default" w:ascii="Times New Roman" w:hAnsi="Times New Roman" w:cs="Times New Roman"/>
          <w:color w:val="auto"/>
        </w:rPr>
        <w:drawing>
          <wp:inline distT="0" distB="0" distL="0" distR="0">
            <wp:extent cx="5608955" cy="7936230"/>
            <wp:effectExtent l="0" t="0" r="0" b="7620"/>
            <wp:docPr id="47" name="图片 47" descr="F:\91、众安药业锅炉改建\资料清单\C200641福州阿多拉制药有限公司废气检测_页面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F:\91、众安药业锅炉改建\资料清单\C200641福州阿多拉制药有限公司废气检测_页面_08.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5608955" cy="7936230"/>
                    </a:xfrm>
                    <a:prstGeom prst="rect">
                      <a:avLst/>
                    </a:prstGeom>
                    <a:noFill/>
                    <a:ln>
                      <a:noFill/>
                    </a:ln>
                  </pic:spPr>
                </pic:pic>
              </a:graphicData>
            </a:graphic>
          </wp:inline>
        </w:drawing>
      </w:r>
      <w:r>
        <w:rPr>
          <w:rFonts w:hint="default" w:ascii="Times New Roman" w:hAnsi="Times New Roman" w:cs="Times New Roman"/>
          <w:color w:val="auto"/>
        </w:rPr>
        <w:drawing>
          <wp:inline distT="0" distB="0" distL="0" distR="0">
            <wp:extent cx="5608955" cy="7936230"/>
            <wp:effectExtent l="0" t="0" r="0" b="7620"/>
            <wp:docPr id="48" name="图片 48" descr="F:\91、众安药业锅炉改建\资料清单\C200641福州阿多拉制药有限公司废气检测_页面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F:\91、众安药业锅炉改建\资料清单\C200641福州阿多拉制药有限公司废气检测_页面_09.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5608955" cy="7936230"/>
                    </a:xfrm>
                    <a:prstGeom prst="rect">
                      <a:avLst/>
                    </a:prstGeom>
                    <a:noFill/>
                    <a:ln>
                      <a:noFill/>
                    </a:ln>
                  </pic:spPr>
                </pic:pic>
              </a:graphicData>
            </a:graphic>
          </wp:inline>
        </w:drawing>
      </w:r>
    </w:p>
    <w:p>
      <w:pPr>
        <w:pStyle w:val="2"/>
        <w:adjustRightInd w:val="0"/>
        <w:ind w:firstLine="0" w:firstLineChars="0"/>
        <w:jc w:val="center"/>
        <w:rPr>
          <w:rFonts w:hint="default" w:ascii="Times New Roman" w:hAnsi="Times New Roman" w:cs="Times New Roman"/>
          <w:color w:val="auto"/>
        </w:rPr>
        <w:sectPr>
          <w:pgSz w:w="11906" w:h="16838"/>
          <w:pgMar w:top="1701" w:right="1531" w:bottom="1701" w:left="1531" w:header="851" w:footer="851" w:gutter="0"/>
          <w:cols w:space="720" w:num="1"/>
          <w:docGrid w:linePitch="312" w:charSpace="0"/>
        </w:sectPr>
      </w:pPr>
      <w:r>
        <w:rPr>
          <w:rFonts w:hint="default" w:ascii="Times New Roman" w:hAnsi="Times New Roman" w:cs="Times New Roman"/>
          <w:color w:val="auto"/>
        </w:rPr>
        <w:drawing>
          <wp:inline distT="0" distB="0" distL="0" distR="0">
            <wp:extent cx="5217795" cy="7383145"/>
            <wp:effectExtent l="0" t="0" r="1905" b="8255"/>
            <wp:docPr id="49" name="图片 49" descr="F:\91、众安药业锅炉改建\资料清单\C210947福建众安药业有限公司自行监测_页面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F:\91、众安药业锅炉改建\资料清单\C210947福建众安药业有限公司自行监测_页面_0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5219392" cy="7385030"/>
                    </a:xfrm>
                    <a:prstGeom prst="rect">
                      <a:avLst/>
                    </a:prstGeom>
                    <a:noFill/>
                    <a:ln>
                      <a:noFill/>
                    </a:ln>
                  </pic:spPr>
                </pic:pic>
              </a:graphicData>
            </a:graphic>
          </wp:inline>
        </w:drawing>
      </w:r>
      <w:r>
        <w:rPr>
          <w:rFonts w:hint="default" w:ascii="Times New Roman" w:hAnsi="Times New Roman" w:cs="Times New Roman"/>
          <w:color w:val="auto"/>
        </w:rPr>
        <w:drawing>
          <wp:inline distT="0" distB="0" distL="0" distR="0">
            <wp:extent cx="5608955" cy="7936230"/>
            <wp:effectExtent l="0" t="0" r="0" b="7620"/>
            <wp:docPr id="50" name="图片 50" descr="F:\91、众安药业锅炉改建\资料清单\C210947福建众安药业有限公司自行监测_页面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F:\91、众安药业锅炉改建\资料清单\C210947福建众安药业有限公司自行监测_页面_0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5608955" cy="7936230"/>
                    </a:xfrm>
                    <a:prstGeom prst="rect">
                      <a:avLst/>
                    </a:prstGeom>
                    <a:noFill/>
                    <a:ln>
                      <a:noFill/>
                    </a:ln>
                  </pic:spPr>
                </pic:pic>
              </a:graphicData>
            </a:graphic>
          </wp:inline>
        </w:drawing>
      </w:r>
      <w:r>
        <w:rPr>
          <w:rFonts w:hint="default" w:ascii="Times New Roman" w:hAnsi="Times New Roman" w:cs="Times New Roman"/>
          <w:color w:val="auto"/>
        </w:rPr>
        <w:drawing>
          <wp:inline distT="0" distB="0" distL="0" distR="0">
            <wp:extent cx="5608955" cy="7936230"/>
            <wp:effectExtent l="0" t="0" r="0" b="7620"/>
            <wp:docPr id="51" name="图片 51" descr="F:\91、众安药业锅炉改建\资料清单\C210947福建众安药业有限公司自行监测_页面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F:\91、众安药业锅炉改建\资料清单\C210947福建众安药业有限公司自行监测_页面_03.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5608955" cy="7936230"/>
                    </a:xfrm>
                    <a:prstGeom prst="rect">
                      <a:avLst/>
                    </a:prstGeom>
                    <a:noFill/>
                    <a:ln>
                      <a:noFill/>
                    </a:ln>
                  </pic:spPr>
                </pic:pic>
              </a:graphicData>
            </a:graphic>
          </wp:inline>
        </w:drawing>
      </w:r>
      <w:r>
        <w:rPr>
          <w:rFonts w:hint="default" w:ascii="Times New Roman" w:hAnsi="Times New Roman" w:cs="Times New Roman"/>
          <w:color w:val="auto"/>
        </w:rPr>
        <w:drawing>
          <wp:inline distT="0" distB="0" distL="0" distR="0">
            <wp:extent cx="5608955" cy="7936230"/>
            <wp:effectExtent l="0" t="0" r="0" b="7620"/>
            <wp:docPr id="52" name="图片 52" descr="F:\91、众安药业锅炉改建\资料清单\C210947福建众安药业有限公司自行监测_页面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F:\91、众安药业锅炉改建\资料清单\C210947福建众安药业有限公司自行监测_页面_05.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5608955" cy="7936230"/>
                    </a:xfrm>
                    <a:prstGeom prst="rect">
                      <a:avLst/>
                    </a:prstGeom>
                    <a:noFill/>
                    <a:ln>
                      <a:noFill/>
                    </a:ln>
                  </pic:spPr>
                </pic:pic>
              </a:graphicData>
            </a:graphic>
          </wp:inline>
        </w:drawing>
      </w:r>
      <w:r>
        <w:rPr>
          <w:rFonts w:hint="default" w:ascii="Times New Roman" w:hAnsi="Times New Roman" w:cs="Times New Roman"/>
          <w:color w:val="auto"/>
        </w:rPr>
        <w:drawing>
          <wp:inline distT="0" distB="0" distL="0" distR="0">
            <wp:extent cx="5608955" cy="7936230"/>
            <wp:effectExtent l="0" t="0" r="0" b="7620"/>
            <wp:docPr id="53" name="图片 53" descr="F:\91、众安药业锅炉改建\资料清单\C210947福建众安药业有限公司自行监测_页面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F:\91、众安药业锅炉改建\资料清单\C210947福建众安药业有限公司自行监测_页面_06.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a:xfrm>
                      <a:off x="0" y="0"/>
                      <a:ext cx="5608955" cy="7936230"/>
                    </a:xfrm>
                    <a:prstGeom prst="rect">
                      <a:avLst/>
                    </a:prstGeom>
                    <a:noFill/>
                    <a:ln>
                      <a:noFill/>
                    </a:ln>
                  </pic:spPr>
                </pic:pic>
              </a:graphicData>
            </a:graphic>
          </wp:inline>
        </w:drawing>
      </w:r>
      <w:r>
        <w:rPr>
          <w:rFonts w:hint="default" w:ascii="Times New Roman" w:hAnsi="Times New Roman" w:cs="Times New Roman"/>
          <w:color w:val="auto"/>
        </w:rPr>
        <w:drawing>
          <wp:inline distT="0" distB="0" distL="0" distR="0">
            <wp:extent cx="5608955" cy="7936230"/>
            <wp:effectExtent l="0" t="0" r="0" b="7620"/>
            <wp:docPr id="54" name="图片 54" descr="F:\91、众安药业锅炉改建\资料清单\C210947福建众安药业有限公司自行监测_页面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F:\91、众安药业锅炉改建\资料清单\C210947福建众安药业有限公司自行监测_页面_07.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a:off x="0" y="0"/>
                      <a:ext cx="5608955" cy="7936230"/>
                    </a:xfrm>
                    <a:prstGeom prst="rect">
                      <a:avLst/>
                    </a:prstGeom>
                    <a:noFill/>
                    <a:ln>
                      <a:noFill/>
                    </a:ln>
                  </pic:spPr>
                </pic:pic>
              </a:graphicData>
            </a:graphic>
          </wp:inline>
        </w:drawing>
      </w:r>
      <w:r>
        <w:rPr>
          <w:rFonts w:hint="default" w:ascii="Times New Roman" w:hAnsi="Times New Roman" w:cs="Times New Roman"/>
          <w:color w:val="auto"/>
        </w:rPr>
        <w:drawing>
          <wp:inline distT="0" distB="0" distL="0" distR="0">
            <wp:extent cx="5608955" cy="7936230"/>
            <wp:effectExtent l="0" t="0" r="0" b="7620"/>
            <wp:docPr id="55" name="图片 55" descr="F:\91、众安药业锅炉改建\资料清单\C210947福建众安药业有限公司自行监测_页面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F:\91、众安药业锅炉改建\资料清单\C210947福建众安药业有限公司自行监测_页面_08.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5608955" cy="7936230"/>
                    </a:xfrm>
                    <a:prstGeom prst="rect">
                      <a:avLst/>
                    </a:prstGeom>
                    <a:noFill/>
                    <a:ln>
                      <a:noFill/>
                    </a:ln>
                  </pic:spPr>
                </pic:pic>
              </a:graphicData>
            </a:graphic>
          </wp:inline>
        </w:drawing>
      </w:r>
      <w:r>
        <w:rPr>
          <w:rFonts w:hint="default" w:ascii="Times New Roman" w:hAnsi="Times New Roman" w:cs="Times New Roman"/>
          <w:color w:val="auto"/>
        </w:rPr>
        <w:drawing>
          <wp:inline distT="0" distB="0" distL="0" distR="0">
            <wp:extent cx="5608955" cy="7936230"/>
            <wp:effectExtent l="0" t="0" r="0" b="7620"/>
            <wp:docPr id="56" name="图片 56" descr="F:\91、众安药业锅炉改建\资料清单\C210947福建众安药业有限公司自行监测_页面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F:\91、众安药业锅炉改建\资料清单\C210947福建众安药业有限公司自行监测_页面_09.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5608955" cy="7936230"/>
                    </a:xfrm>
                    <a:prstGeom prst="rect">
                      <a:avLst/>
                    </a:prstGeom>
                    <a:noFill/>
                    <a:ln>
                      <a:noFill/>
                    </a:ln>
                  </pic:spPr>
                </pic:pic>
              </a:graphicData>
            </a:graphic>
          </wp:inline>
        </w:drawing>
      </w:r>
    </w:p>
    <w:p>
      <w:pPr>
        <w:pStyle w:val="4"/>
        <w:numPr>
          <w:ilvl w:val="1"/>
          <w:numId w:val="0"/>
        </w:numPr>
        <w:rPr>
          <w:rFonts w:hint="default" w:ascii="Times New Roman" w:hAnsi="Times New Roman" w:cs="Times New Roman"/>
          <w:color w:val="auto"/>
        </w:rPr>
      </w:pPr>
      <w:r>
        <w:rPr>
          <w:rFonts w:hint="default" w:ascii="Times New Roman" w:hAnsi="Times New Roman" w:cs="Times New Roman"/>
          <w:color w:val="auto"/>
        </w:rPr>
        <w:t>附件</w:t>
      </w:r>
      <w:r>
        <w:rPr>
          <w:rFonts w:hint="eastAsia" w:cs="Times New Roman"/>
          <w:color w:val="auto"/>
          <w:lang w:val="en-US" w:eastAsia="zh-CN"/>
        </w:rPr>
        <w:t>11</w:t>
      </w:r>
      <w:r>
        <w:rPr>
          <w:rFonts w:hint="default" w:ascii="Times New Roman" w:hAnsi="Times New Roman" w:cs="Times New Roman"/>
          <w:color w:val="auto"/>
        </w:rPr>
        <w:t>：噪声</w:t>
      </w:r>
      <w:r>
        <w:rPr>
          <w:rFonts w:hint="eastAsia" w:ascii="Times New Roman" w:hAnsi="Times New Roman" w:cs="Times New Roman"/>
          <w:color w:val="auto"/>
          <w:lang w:val="en-US" w:eastAsia="zh-CN"/>
        </w:rPr>
        <w:t>现状</w:t>
      </w:r>
      <w:r>
        <w:rPr>
          <w:rFonts w:hint="default" w:ascii="Times New Roman" w:hAnsi="Times New Roman" w:cs="Times New Roman"/>
          <w:color w:val="auto"/>
        </w:rPr>
        <w:t>监测报告</w:t>
      </w:r>
    </w:p>
    <w:p>
      <w:pPr>
        <w:pStyle w:val="2"/>
        <w:adjustRightInd w:val="0"/>
        <w:ind w:firstLine="0" w:firstLineChars="0"/>
        <w:jc w:val="center"/>
        <w:rPr>
          <w:rFonts w:hint="eastAsia" w:ascii="Times New Roman" w:hAnsi="Times New Roman" w:eastAsia="宋体" w:cs="Times New Roman"/>
          <w:color w:val="auto"/>
          <w:lang w:eastAsia="zh-CN"/>
        </w:rPr>
        <w:sectPr>
          <w:pgSz w:w="11906" w:h="16838"/>
          <w:pgMar w:top="1701" w:right="1531" w:bottom="1701" w:left="1531" w:header="851" w:footer="851" w:gutter="0"/>
          <w:cols w:space="720" w:num="1"/>
          <w:docGrid w:linePitch="312" w:charSpace="0"/>
        </w:sectPr>
      </w:pPr>
      <w:r>
        <w:rPr>
          <w:rFonts w:hint="eastAsia" w:ascii="Times New Roman" w:hAnsi="Times New Roman" w:eastAsia="宋体" w:cs="Times New Roman"/>
          <w:color w:val="auto"/>
          <w:lang w:eastAsia="zh-CN"/>
        </w:rPr>
        <w:drawing>
          <wp:inline distT="0" distB="0" distL="114300" distR="114300">
            <wp:extent cx="5327015" cy="7533640"/>
            <wp:effectExtent l="0" t="0" r="6985" b="10160"/>
            <wp:docPr id="37" name="图片 37" descr="F210911福建众安药业有限公司噪声检测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F210911福建众安药业有限公司噪声检测_页面_1"/>
                    <pic:cNvPicPr>
                      <a:picLocks noChangeAspect="1"/>
                    </pic:cNvPicPr>
                  </pic:nvPicPr>
                  <pic:blipFill>
                    <a:blip r:embed="rId73"/>
                    <a:stretch>
                      <a:fillRect/>
                    </a:stretch>
                  </pic:blipFill>
                  <pic:spPr>
                    <a:xfrm>
                      <a:off x="0" y="0"/>
                      <a:ext cx="5327015" cy="7533640"/>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12765" cy="7937500"/>
            <wp:effectExtent l="0" t="0" r="6985" b="6350"/>
            <wp:docPr id="36" name="图片 36" descr="F210911福建众安药业有限公司噪声检测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F210911福建众安药业有限公司噪声检测_页面_2"/>
                    <pic:cNvPicPr>
                      <a:picLocks noChangeAspect="1"/>
                    </pic:cNvPicPr>
                  </pic:nvPicPr>
                  <pic:blipFill>
                    <a:blip r:embed="rId74"/>
                    <a:stretch>
                      <a:fillRect/>
                    </a:stretch>
                  </pic:blipFill>
                  <pic:spPr>
                    <a:xfrm>
                      <a:off x="0" y="0"/>
                      <a:ext cx="5612765" cy="7937500"/>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12765" cy="7937500"/>
            <wp:effectExtent l="0" t="0" r="6985" b="6350"/>
            <wp:docPr id="32" name="图片 32" descr="F210911福建众安药业有限公司噪声检测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F210911福建众安药业有限公司噪声检测_页面_3"/>
                    <pic:cNvPicPr>
                      <a:picLocks noChangeAspect="1"/>
                    </pic:cNvPicPr>
                  </pic:nvPicPr>
                  <pic:blipFill>
                    <a:blip r:embed="rId75"/>
                    <a:stretch>
                      <a:fillRect/>
                    </a:stretch>
                  </pic:blipFill>
                  <pic:spPr>
                    <a:xfrm>
                      <a:off x="0" y="0"/>
                      <a:ext cx="5612765" cy="7937500"/>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12765" cy="7937500"/>
            <wp:effectExtent l="0" t="0" r="6985" b="6350"/>
            <wp:docPr id="30" name="图片 30" descr="F210911福建众安药业有限公司噪声检测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F210911福建众安药业有限公司噪声检测_页面_5"/>
                    <pic:cNvPicPr>
                      <a:picLocks noChangeAspect="1"/>
                    </pic:cNvPicPr>
                  </pic:nvPicPr>
                  <pic:blipFill>
                    <a:blip r:embed="rId76"/>
                    <a:stretch>
                      <a:fillRect/>
                    </a:stretch>
                  </pic:blipFill>
                  <pic:spPr>
                    <a:xfrm>
                      <a:off x="0" y="0"/>
                      <a:ext cx="5612765" cy="7937500"/>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12765" cy="7937500"/>
            <wp:effectExtent l="0" t="0" r="6985" b="6350"/>
            <wp:docPr id="29" name="图片 29" descr="F210911福建众安药业有限公司噪声检测_页面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F210911福建众安药业有限公司噪声检测_页面_6"/>
                    <pic:cNvPicPr>
                      <a:picLocks noChangeAspect="1"/>
                    </pic:cNvPicPr>
                  </pic:nvPicPr>
                  <pic:blipFill>
                    <a:blip r:embed="rId77"/>
                    <a:stretch>
                      <a:fillRect/>
                    </a:stretch>
                  </pic:blipFill>
                  <pic:spPr>
                    <a:xfrm>
                      <a:off x="0" y="0"/>
                      <a:ext cx="5612765" cy="7937500"/>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12765" cy="7937500"/>
            <wp:effectExtent l="0" t="0" r="6985" b="6350"/>
            <wp:docPr id="28" name="图片 28" descr="F210911福建众安药业有限公司噪声检测_页面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F210911福建众安药业有限公司噪声检测_页面_7"/>
                    <pic:cNvPicPr>
                      <a:picLocks noChangeAspect="1"/>
                    </pic:cNvPicPr>
                  </pic:nvPicPr>
                  <pic:blipFill>
                    <a:blip r:embed="rId78"/>
                    <a:stretch>
                      <a:fillRect/>
                    </a:stretch>
                  </pic:blipFill>
                  <pic:spPr>
                    <a:xfrm>
                      <a:off x="0" y="0"/>
                      <a:ext cx="5612765" cy="7937500"/>
                    </a:xfrm>
                    <a:prstGeom prst="rect">
                      <a:avLst/>
                    </a:prstGeom>
                  </pic:spPr>
                </pic:pic>
              </a:graphicData>
            </a:graphic>
          </wp:inline>
        </w:drawing>
      </w:r>
      <w:r>
        <w:rPr>
          <w:rFonts w:hint="eastAsia" w:ascii="Times New Roman" w:hAnsi="Times New Roman" w:eastAsia="宋体" w:cs="Times New Roman"/>
          <w:color w:val="auto"/>
          <w:lang w:eastAsia="zh-CN"/>
        </w:rPr>
        <w:drawing>
          <wp:inline distT="0" distB="0" distL="114300" distR="114300">
            <wp:extent cx="5612765" cy="7937500"/>
            <wp:effectExtent l="0" t="0" r="6985" b="6350"/>
            <wp:docPr id="27" name="图片 27" descr="F210911福建众安药业有限公司噪声检测_页面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F210911福建众安药业有限公司噪声检测_页面_8"/>
                    <pic:cNvPicPr>
                      <a:picLocks noChangeAspect="1"/>
                    </pic:cNvPicPr>
                  </pic:nvPicPr>
                  <pic:blipFill>
                    <a:blip r:embed="rId79"/>
                    <a:stretch>
                      <a:fillRect/>
                    </a:stretch>
                  </pic:blipFill>
                  <pic:spPr>
                    <a:xfrm>
                      <a:off x="0" y="0"/>
                      <a:ext cx="5612765" cy="7937500"/>
                    </a:xfrm>
                    <a:prstGeom prst="rect">
                      <a:avLst/>
                    </a:prstGeom>
                  </pic:spPr>
                </pic:pic>
              </a:graphicData>
            </a:graphic>
          </wp:inline>
        </w:drawing>
      </w:r>
    </w:p>
    <w:p>
      <w:pPr>
        <w:pStyle w:val="4"/>
        <w:numPr>
          <w:ilvl w:val="1"/>
          <w:numId w:val="0"/>
        </w:numPr>
        <w:rPr>
          <w:rFonts w:hint="default" w:ascii="Times New Roman" w:hAnsi="Times New Roman" w:cs="Times New Roman"/>
          <w:color w:val="auto"/>
        </w:rPr>
      </w:pPr>
      <w:r>
        <w:rPr>
          <w:rFonts w:hint="default" w:ascii="Times New Roman" w:hAnsi="Times New Roman" w:cs="Times New Roman"/>
          <w:color w:val="auto"/>
        </w:rPr>
        <w:t>附件</w:t>
      </w:r>
      <w:r>
        <w:rPr>
          <w:rFonts w:hint="eastAsia" w:cs="Times New Roman"/>
          <w:color w:val="auto"/>
          <w:lang w:val="en-US" w:eastAsia="zh-CN"/>
        </w:rPr>
        <w:t>12</w:t>
      </w:r>
      <w:r>
        <w:rPr>
          <w:rFonts w:hint="default" w:ascii="Times New Roman" w:hAnsi="Times New Roman" w:cs="Times New Roman"/>
          <w:color w:val="auto"/>
        </w:rPr>
        <w:t>：环评公示及涉密说明</w:t>
      </w:r>
    </w:p>
    <w:p>
      <w:pPr>
        <w:pStyle w:val="2"/>
        <w:adjustRightInd w:val="0"/>
        <w:ind w:firstLine="0" w:firstLineChars="0"/>
        <w:jc w:val="center"/>
        <w:rPr>
          <w:rFonts w:hint="eastAsia" w:ascii="Times New Roman" w:hAnsi="Times New Roman" w:eastAsia="宋体" w:cs="Times New Roman"/>
          <w:color w:val="auto"/>
          <w:lang w:eastAsia="zh-CN"/>
        </w:rPr>
        <w:sectPr>
          <w:pgSz w:w="11906" w:h="16838"/>
          <w:pgMar w:top="1701" w:right="1531" w:bottom="1701" w:left="1531" w:header="851" w:footer="851" w:gutter="0"/>
          <w:cols w:space="720" w:num="1"/>
          <w:docGrid w:linePitch="312" w:charSpace="0"/>
        </w:sectPr>
      </w:pPr>
      <w:r>
        <w:drawing>
          <wp:inline distT="0" distB="0" distL="114300" distR="114300">
            <wp:extent cx="5614670" cy="6772275"/>
            <wp:effectExtent l="0" t="0" r="5080" b="9525"/>
            <wp:docPr id="6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7"/>
                    <pic:cNvPicPr>
                      <a:picLocks noChangeAspect="1"/>
                    </pic:cNvPicPr>
                  </pic:nvPicPr>
                  <pic:blipFill>
                    <a:blip r:embed="rId80"/>
                    <a:stretch>
                      <a:fillRect/>
                    </a:stretch>
                  </pic:blipFill>
                  <pic:spPr>
                    <a:xfrm>
                      <a:off x="0" y="0"/>
                      <a:ext cx="5614670" cy="6772275"/>
                    </a:xfrm>
                    <a:prstGeom prst="rect">
                      <a:avLst/>
                    </a:prstGeom>
                    <a:noFill/>
                    <a:ln>
                      <a:noFill/>
                    </a:ln>
                  </pic:spPr>
                </pic:pic>
              </a:graphicData>
            </a:graphic>
          </wp:inline>
        </w:drawing>
      </w:r>
    </w:p>
    <w:p>
      <w:pPr>
        <w:pStyle w:val="2"/>
        <w:adjustRightInd w:val="0"/>
        <w:ind w:firstLine="0" w:firstLineChars="0"/>
        <w:jc w:val="left"/>
        <w:rPr>
          <w:rFonts w:hint="eastAsia" w:ascii="Times New Roman" w:hAnsi="Times New Roman" w:eastAsia="宋体" w:cs="Times New Roman"/>
          <w:color w:val="auto"/>
          <w:lang w:eastAsia="zh-CN"/>
        </w:rPr>
        <w:sectPr>
          <w:pgSz w:w="11906" w:h="16838"/>
          <w:pgMar w:top="1701" w:right="1531" w:bottom="1701" w:left="1531" w:header="851" w:footer="851" w:gutter="0"/>
          <w:cols w:space="720" w:num="1"/>
          <w:docGrid w:linePitch="312" w:charSpace="0"/>
        </w:sectPr>
      </w:pPr>
      <w:r>
        <w:drawing>
          <wp:inline distT="0" distB="0" distL="114300" distR="114300">
            <wp:extent cx="5610225" cy="6936740"/>
            <wp:effectExtent l="0" t="0" r="9525" b="16510"/>
            <wp:docPr id="6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
                    <pic:cNvPicPr>
                      <a:picLocks noChangeAspect="1"/>
                    </pic:cNvPicPr>
                  </pic:nvPicPr>
                  <pic:blipFill>
                    <a:blip r:embed="rId81"/>
                    <a:stretch>
                      <a:fillRect/>
                    </a:stretch>
                  </pic:blipFill>
                  <pic:spPr>
                    <a:xfrm>
                      <a:off x="0" y="0"/>
                      <a:ext cx="5610225" cy="6936740"/>
                    </a:xfrm>
                    <a:prstGeom prst="rect">
                      <a:avLst/>
                    </a:prstGeom>
                    <a:noFill/>
                    <a:ln>
                      <a:noFill/>
                    </a:ln>
                  </pic:spPr>
                </pic:pic>
              </a:graphicData>
            </a:graphic>
          </wp:inline>
        </w:drawing>
      </w:r>
    </w:p>
    <w:p>
      <w:pPr>
        <w:pStyle w:val="4"/>
        <w:numPr>
          <w:ilvl w:val="1"/>
          <w:numId w:val="0"/>
        </w:numPr>
        <w:rPr>
          <w:rFonts w:hint="default" w:ascii="Times New Roman" w:hAnsi="Times New Roman" w:cs="Times New Roman"/>
          <w:color w:val="auto"/>
        </w:rPr>
      </w:pPr>
      <w:r>
        <w:rPr>
          <w:rFonts w:hint="default" w:ascii="Times New Roman" w:hAnsi="Times New Roman" w:cs="Times New Roman"/>
          <w:color w:val="auto"/>
        </w:rPr>
        <w:t>附件1</w:t>
      </w:r>
      <w:r>
        <w:rPr>
          <w:rFonts w:hint="eastAsia" w:cs="Times New Roman"/>
          <w:color w:val="auto"/>
          <w:lang w:val="en-US" w:eastAsia="zh-CN"/>
        </w:rPr>
        <w:t>3</w:t>
      </w:r>
      <w:r>
        <w:rPr>
          <w:rFonts w:hint="default" w:ascii="Times New Roman" w:hAnsi="Times New Roman" w:cs="Times New Roman"/>
          <w:color w:val="auto"/>
        </w:rPr>
        <w:t>：总量承诺函</w:t>
      </w:r>
    </w:p>
    <w:p>
      <w:pPr>
        <w:ind w:left="0" w:leftChars="0" w:firstLine="0" w:firstLineChars="0"/>
        <w:rPr>
          <w:rFonts w:hint="eastAsia" w:eastAsia="宋体"/>
          <w:lang w:eastAsia="zh-CN"/>
        </w:rPr>
      </w:pPr>
      <w:r>
        <w:drawing>
          <wp:inline distT="0" distB="0" distL="114300" distR="114300">
            <wp:extent cx="5614035" cy="6310630"/>
            <wp:effectExtent l="0" t="0" r="5715" b="13970"/>
            <wp:docPr id="6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5"/>
                    <pic:cNvPicPr>
                      <a:picLocks noChangeAspect="1"/>
                    </pic:cNvPicPr>
                  </pic:nvPicPr>
                  <pic:blipFill>
                    <a:blip r:embed="rId82"/>
                    <a:stretch>
                      <a:fillRect/>
                    </a:stretch>
                  </pic:blipFill>
                  <pic:spPr>
                    <a:xfrm>
                      <a:off x="0" y="0"/>
                      <a:ext cx="5614035" cy="6310630"/>
                    </a:xfrm>
                    <a:prstGeom prst="rect">
                      <a:avLst/>
                    </a:prstGeom>
                    <a:noFill/>
                    <a:ln>
                      <a:noFill/>
                    </a:ln>
                  </pic:spPr>
                </pic:pic>
              </a:graphicData>
            </a:graphic>
          </wp:inline>
        </w:drawing>
      </w:r>
    </w:p>
    <w:sectPr>
      <w:pgSz w:w="11906" w:h="16838"/>
      <w:pgMar w:top="1701" w:right="1531" w:bottom="1701" w:left="1531" w:header="851" w:footer="851" w:gutter="0"/>
      <w:cols w:space="720" w:num="1"/>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方正小标宋_GBK">
    <w:altName w:val="微软雅黑"/>
    <w:panose1 w:val="00000000000000000000"/>
    <w:charset w:val="86"/>
    <w:family w:val="script"/>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MS Mincho">
    <w:altName w:val="Kozuka Mincho Pro M"/>
    <w:panose1 w:val="02020609040205080304"/>
    <w:charset w:val="80"/>
    <w:family w:val="modern"/>
    <w:pitch w:val="default"/>
    <w:sig w:usb0="00000000" w:usb1="00000000" w:usb2="00000012" w:usb3="00000000" w:csb0="0002009F" w:csb1="00000000"/>
  </w:font>
  <w:font w:name="Kozuka Mincho Pro M">
    <w:panose1 w:val="02020600000000000000"/>
    <w:charset w:val="80"/>
    <w:family w:val="auto"/>
    <w:pitch w:val="default"/>
    <w:sig w:usb0="00000083" w:usb1="2AC71C11" w:usb2="00000012" w:usb3="00000000" w:csb0="20020005"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right="360" w:firstLine="48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framePr w:wrap="around" w:vAnchor="text" w:hAnchor="margin" w:xAlign="center" w:y="1"/>
      <w:tabs>
        <w:tab w:val="center" w:pos="4153"/>
        <w:tab w:val="right" w:pos="8306"/>
      </w:tabs>
      <w:ind w:firstLine="480"/>
      <w:rPr>
        <w:rStyle w:val="17"/>
      </w:rPr>
    </w:pPr>
    <w:r>
      <w:fldChar w:fldCharType="begin"/>
    </w:r>
    <w:r>
      <w:rPr>
        <w:rStyle w:val="17"/>
      </w:rPr>
      <w:instrText xml:space="preserve">PAGE  </w:instrText>
    </w:r>
    <w:r>
      <w:fldChar w:fldCharType="end"/>
    </w:r>
  </w:p>
  <w:p>
    <w:pPr>
      <w:tabs>
        <w:tab w:val="center" w:pos="4153"/>
        <w:tab w:val="right" w:pos="8306"/>
      </w:tabs>
      <w:ind w:right="360" w:firstLine="48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right="360" w:firstLine="360"/>
      <w:jc w:val="center"/>
    </w:pPr>
    <w:r>
      <w:rPr>
        <w:sz w:val="18"/>
      </w:rP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134" name="文本框 1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tabs>
                              <w:tab w:val="center" w:pos="4153"/>
                              <w:tab w:val="right" w:pos="8306"/>
                            </w:tabs>
                            <w:ind w:firstLine="560"/>
                            <w:rPr>
                              <w:rStyle w:val="17"/>
                              <w:rFonts w:ascii="宋体" w:hAnsi="宋体"/>
                              <w:sz w:val="28"/>
                              <w:szCs w:val="28"/>
                            </w:rPr>
                          </w:pPr>
                          <w:r>
                            <w:rPr>
                              <w:rStyle w:val="17"/>
                              <w:rFonts w:hint="eastAsia" w:ascii="宋体" w:hAnsi="宋体"/>
                              <w:sz w:val="28"/>
                              <w:szCs w:val="28"/>
                            </w:rPr>
                            <w:t>—</w:t>
                          </w:r>
                          <w:r>
                            <w:rPr>
                              <w:rStyle w:val="17"/>
                              <w:rFonts w:hint="eastAsia" w:ascii="宋体" w:hAnsi="宋体"/>
                              <w:sz w:val="20"/>
                            </w:rPr>
                            <w:t xml:space="preserve">  </w:t>
                          </w:r>
                          <w:r>
                            <w:rPr>
                              <w:rFonts w:ascii="宋体" w:hAnsi="宋体"/>
                              <w:sz w:val="26"/>
                              <w:szCs w:val="26"/>
                            </w:rPr>
                            <w:fldChar w:fldCharType="begin"/>
                          </w:r>
                          <w:r>
                            <w:rPr>
                              <w:rStyle w:val="17"/>
                              <w:rFonts w:ascii="宋体" w:hAnsi="宋体"/>
                              <w:sz w:val="26"/>
                              <w:szCs w:val="26"/>
                            </w:rPr>
                            <w:instrText xml:space="preserve">PAGE  </w:instrText>
                          </w:r>
                          <w:r>
                            <w:rPr>
                              <w:rFonts w:ascii="宋体" w:hAnsi="宋体"/>
                              <w:sz w:val="26"/>
                              <w:szCs w:val="26"/>
                            </w:rPr>
                            <w:fldChar w:fldCharType="separate"/>
                          </w:r>
                          <w:r>
                            <w:rPr>
                              <w:rStyle w:val="17"/>
                              <w:rFonts w:ascii="宋体" w:hAnsi="宋体"/>
                              <w:sz w:val="26"/>
                              <w:szCs w:val="26"/>
                            </w:rPr>
                            <w:t>27</w:t>
                          </w:r>
                          <w:r>
                            <w:rPr>
                              <w:rFonts w:ascii="宋体" w:hAnsi="宋体"/>
                              <w:sz w:val="26"/>
                              <w:szCs w:val="26"/>
                            </w:rPr>
                            <w:fldChar w:fldCharType="end"/>
                          </w:r>
                          <w:r>
                            <w:rPr>
                              <w:rStyle w:val="17"/>
                              <w:rFonts w:hint="eastAsia" w:ascii="宋体" w:hAnsi="宋体"/>
                              <w:sz w:val="20"/>
                            </w:rPr>
                            <w:t xml:space="preserve">  </w:t>
                          </w:r>
                          <w:r>
                            <w:rPr>
                              <w:rStyle w:val="17"/>
                              <w:rFonts w:hint="eastAsia" w:ascii="宋体" w:hAnsi="宋体"/>
                              <w:sz w:val="28"/>
                              <w:szCs w:val="28"/>
                            </w:rPr>
                            <w:t>—</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k50e4tAgAAWQQAAA4AAABkcnMvZTJvRG9jLnhtbK1UzY7TMBC+I/EO&#10;lu80aRd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Ck50e4tAgAAWQQAAA4AAAAAAAAAAQAgAAAAHwEAAGRycy9lMm9Eb2MueG1sUEsFBgAAAAAG&#10;AAYAWQEAAL4FAAAAAA==&#10;">
              <v:fill on="f" focussize="0,0"/>
              <v:stroke on="f" weight="0.5pt"/>
              <v:imagedata o:title=""/>
              <o:lock v:ext="edit" aspectratio="f"/>
              <v:textbox inset="0mm,0mm,0mm,0mm" style="mso-fit-shape-to-text:t;">
                <w:txbxContent>
                  <w:p>
                    <w:pPr>
                      <w:tabs>
                        <w:tab w:val="center" w:pos="4153"/>
                        <w:tab w:val="right" w:pos="8306"/>
                      </w:tabs>
                      <w:ind w:firstLine="560"/>
                      <w:rPr>
                        <w:rStyle w:val="17"/>
                        <w:rFonts w:ascii="宋体" w:hAnsi="宋体"/>
                        <w:sz w:val="28"/>
                        <w:szCs w:val="28"/>
                      </w:rPr>
                    </w:pPr>
                    <w:r>
                      <w:rPr>
                        <w:rStyle w:val="17"/>
                        <w:rFonts w:hint="eastAsia" w:ascii="宋体" w:hAnsi="宋体"/>
                        <w:sz w:val="28"/>
                        <w:szCs w:val="28"/>
                      </w:rPr>
                      <w:t>—</w:t>
                    </w:r>
                    <w:r>
                      <w:rPr>
                        <w:rStyle w:val="17"/>
                        <w:rFonts w:hint="eastAsia" w:ascii="宋体" w:hAnsi="宋体"/>
                        <w:sz w:val="20"/>
                      </w:rPr>
                      <w:t xml:space="preserve">  </w:t>
                    </w:r>
                    <w:r>
                      <w:rPr>
                        <w:rFonts w:ascii="宋体" w:hAnsi="宋体"/>
                        <w:sz w:val="26"/>
                        <w:szCs w:val="26"/>
                      </w:rPr>
                      <w:fldChar w:fldCharType="begin"/>
                    </w:r>
                    <w:r>
                      <w:rPr>
                        <w:rStyle w:val="17"/>
                        <w:rFonts w:ascii="宋体" w:hAnsi="宋体"/>
                        <w:sz w:val="26"/>
                        <w:szCs w:val="26"/>
                      </w:rPr>
                      <w:instrText xml:space="preserve">PAGE  </w:instrText>
                    </w:r>
                    <w:r>
                      <w:rPr>
                        <w:rFonts w:ascii="宋体" w:hAnsi="宋体"/>
                        <w:sz w:val="26"/>
                        <w:szCs w:val="26"/>
                      </w:rPr>
                      <w:fldChar w:fldCharType="separate"/>
                    </w:r>
                    <w:r>
                      <w:rPr>
                        <w:rStyle w:val="17"/>
                        <w:rFonts w:ascii="宋体" w:hAnsi="宋体"/>
                        <w:sz w:val="26"/>
                        <w:szCs w:val="26"/>
                      </w:rPr>
                      <w:t>27</w:t>
                    </w:r>
                    <w:r>
                      <w:rPr>
                        <w:rFonts w:ascii="宋体" w:hAnsi="宋体"/>
                        <w:sz w:val="26"/>
                        <w:szCs w:val="26"/>
                      </w:rPr>
                      <w:fldChar w:fldCharType="end"/>
                    </w:r>
                    <w:r>
                      <w:rPr>
                        <w:rStyle w:val="17"/>
                        <w:rFonts w:hint="eastAsia" w:ascii="宋体" w:hAnsi="宋体"/>
                        <w:sz w:val="20"/>
                      </w:rPr>
                      <w:t xml:space="preserve">  </w:t>
                    </w:r>
                    <w:r>
                      <w:rPr>
                        <w:rStyle w:val="17"/>
                        <w:rFonts w:hint="eastAsia" w:ascii="宋体" w:hAnsi="宋体"/>
                        <w:sz w:val="28"/>
                        <w:szCs w:val="28"/>
                      </w:rPr>
                      <w:t>—</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right="360" w:firstLine="360"/>
      <w:jc w:val="center"/>
    </w:pPr>
    <w:r>
      <w:rPr>
        <w:sz w:val="18"/>
      </w:rPr>
      <mc:AlternateContent>
        <mc:Choice Requires="wps">
          <w:drawing>
            <wp:anchor distT="0" distB="0" distL="114300" distR="114300" simplePos="0" relativeHeight="251660288" behindDoc="0" locked="0" layoutInCell="1" allowOverlap="1">
              <wp:simplePos x="0" y="0"/>
              <wp:positionH relativeFrom="margin">
                <wp:align>outside</wp:align>
              </wp:positionH>
              <wp:positionV relativeFrom="paragraph">
                <wp:posOffset>0</wp:posOffset>
              </wp:positionV>
              <wp:extent cx="1828800" cy="1828800"/>
              <wp:effectExtent l="0" t="0" r="0" b="0"/>
              <wp:wrapNone/>
              <wp:docPr id="139" name="文本框 13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tabs>
                              <w:tab w:val="center" w:pos="4153"/>
                              <w:tab w:val="right" w:pos="8306"/>
                            </w:tabs>
                            <w:ind w:firstLine="560"/>
                            <w:rPr>
                              <w:rStyle w:val="17"/>
                              <w:rFonts w:ascii="宋体" w:hAnsi="宋体"/>
                              <w:sz w:val="28"/>
                              <w:szCs w:val="28"/>
                            </w:rPr>
                          </w:pPr>
                          <w:r>
                            <w:rPr>
                              <w:rStyle w:val="17"/>
                              <w:rFonts w:hint="eastAsia" w:ascii="宋体" w:hAnsi="宋体"/>
                              <w:sz w:val="28"/>
                              <w:szCs w:val="28"/>
                            </w:rPr>
                            <w:t>—</w:t>
                          </w:r>
                          <w:r>
                            <w:rPr>
                              <w:rStyle w:val="17"/>
                              <w:rFonts w:hint="eastAsia" w:ascii="宋体" w:hAnsi="宋体"/>
                              <w:sz w:val="20"/>
                            </w:rPr>
                            <w:t xml:space="preserve">  </w:t>
                          </w:r>
                          <w:r>
                            <w:rPr>
                              <w:rFonts w:ascii="宋体" w:hAnsi="宋体"/>
                              <w:sz w:val="26"/>
                              <w:szCs w:val="26"/>
                            </w:rPr>
                            <w:fldChar w:fldCharType="begin"/>
                          </w:r>
                          <w:r>
                            <w:rPr>
                              <w:rStyle w:val="17"/>
                              <w:rFonts w:ascii="宋体" w:hAnsi="宋体"/>
                              <w:sz w:val="26"/>
                              <w:szCs w:val="26"/>
                            </w:rPr>
                            <w:instrText xml:space="preserve">PAGE  </w:instrText>
                          </w:r>
                          <w:r>
                            <w:rPr>
                              <w:rFonts w:ascii="宋体" w:hAnsi="宋体"/>
                              <w:sz w:val="26"/>
                              <w:szCs w:val="26"/>
                            </w:rPr>
                            <w:fldChar w:fldCharType="separate"/>
                          </w:r>
                          <w:r>
                            <w:rPr>
                              <w:rStyle w:val="17"/>
                              <w:rFonts w:ascii="宋体" w:hAnsi="宋体"/>
                              <w:sz w:val="26"/>
                              <w:szCs w:val="26"/>
                            </w:rPr>
                            <w:t>47</w:t>
                          </w:r>
                          <w:r>
                            <w:rPr>
                              <w:rFonts w:ascii="宋体" w:hAnsi="宋体"/>
                              <w:sz w:val="26"/>
                              <w:szCs w:val="26"/>
                            </w:rPr>
                            <w:fldChar w:fldCharType="end"/>
                          </w:r>
                          <w:r>
                            <w:rPr>
                              <w:rStyle w:val="17"/>
                              <w:rFonts w:hint="eastAsia" w:ascii="宋体" w:hAnsi="宋体"/>
                              <w:sz w:val="20"/>
                            </w:rPr>
                            <w:t xml:space="preserve">  </w:t>
                          </w:r>
                          <w:r>
                            <w:rPr>
                              <w:rStyle w:val="17"/>
                              <w:rFonts w:hint="eastAsia" w:ascii="宋体" w:hAnsi="宋体"/>
                              <w:sz w:val="28"/>
                              <w:szCs w:val="28"/>
                            </w:rPr>
                            <w:t>—</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3qzJgtAgAAWQQAAA4AAABkcnMvZTJvRG9jLnhtbK1UzY7TMBC+I/EO&#10;lu80aVesSt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I3qzJgtAgAAWQQAAA4AAAAAAAAAAQAgAAAAHwEAAGRycy9lMm9Eb2MueG1sUEsFBgAAAAAG&#10;AAYAWQEAAL4FAAAAAA==&#10;">
              <v:fill on="f" focussize="0,0"/>
              <v:stroke on="f" weight="0.5pt"/>
              <v:imagedata o:title=""/>
              <o:lock v:ext="edit" aspectratio="f"/>
              <v:textbox inset="0mm,0mm,0mm,0mm" style="mso-fit-shape-to-text:t;">
                <w:txbxContent>
                  <w:p>
                    <w:pPr>
                      <w:tabs>
                        <w:tab w:val="center" w:pos="4153"/>
                        <w:tab w:val="right" w:pos="8306"/>
                      </w:tabs>
                      <w:ind w:firstLine="560"/>
                      <w:rPr>
                        <w:rStyle w:val="17"/>
                        <w:rFonts w:ascii="宋体" w:hAnsi="宋体"/>
                        <w:sz w:val="28"/>
                        <w:szCs w:val="28"/>
                      </w:rPr>
                    </w:pPr>
                    <w:r>
                      <w:rPr>
                        <w:rStyle w:val="17"/>
                        <w:rFonts w:hint="eastAsia" w:ascii="宋体" w:hAnsi="宋体"/>
                        <w:sz w:val="28"/>
                        <w:szCs w:val="28"/>
                      </w:rPr>
                      <w:t>—</w:t>
                    </w:r>
                    <w:r>
                      <w:rPr>
                        <w:rStyle w:val="17"/>
                        <w:rFonts w:hint="eastAsia" w:ascii="宋体" w:hAnsi="宋体"/>
                        <w:sz w:val="20"/>
                      </w:rPr>
                      <w:t xml:space="preserve">  </w:t>
                    </w:r>
                    <w:r>
                      <w:rPr>
                        <w:rFonts w:ascii="宋体" w:hAnsi="宋体"/>
                        <w:sz w:val="26"/>
                        <w:szCs w:val="26"/>
                      </w:rPr>
                      <w:fldChar w:fldCharType="begin"/>
                    </w:r>
                    <w:r>
                      <w:rPr>
                        <w:rStyle w:val="17"/>
                        <w:rFonts w:ascii="宋体" w:hAnsi="宋体"/>
                        <w:sz w:val="26"/>
                        <w:szCs w:val="26"/>
                      </w:rPr>
                      <w:instrText xml:space="preserve">PAGE  </w:instrText>
                    </w:r>
                    <w:r>
                      <w:rPr>
                        <w:rFonts w:ascii="宋体" w:hAnsi="宋体"/>
                        <w:sz w:val="26"/>
                        <w:szCs w:val="26"/>
                      </w:rPr>
                      <w:fldChar w:fldCharType="separate"/>
                    </w:r>
                    <w:r>
                      <w:rPr>
                        <w:rStyle w:val="17"/>
                        <w:rFonts w:ascii="宋体" w:hAnsi="宋体"/>
                        <w:sz w:val="26"/>
                        <w:szCs w:val="26"/>
                      </w:rPr>
                      <w:t>47</w:t>
                    </w:r>
                    <w:r>
                      <w:rPr>
                        <w:rFonts w:ascii="宋体" w:hAnsi="宋体"/>
                        <w:sz w:val="26"/>
                        <w:szCs w:val="26"/>
                      </w:rPr>
                      <w:fldChar w:fldCharType="end"/>
                    </w:r>
                    <w:r>
                      <w:rPr>
                        <w:rStyle w:val="17"/>
                        <w:rFonts w:hint="eastAsia" w:ascii="宋体" w:hAnsi="宋体"/>
                        <w:sz w:val="20"/>
                      </w:rPr>
                      <w:t xml:space="preserve">  </w:t>
                    </w:r>
                    <w:r>
                      <w:rPr>
                        <w:rStyle w:val="17"/>
                        <w:rFonts w:hint="eastAsia" w:ascii="宋体" w:hAnsi="宋体"/>
                        <w:sz w:val="28"/>
                        <w:szCs w:val="28"/>
                      </w:rPr>
                      <w:t>—</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6B39585"/>
    <w:multiLevelType w:val="singleLevel"/>
    <w:tmpl w:val="B6B39585"/>
    <w:lvl w:ilvl="0" w:tentative="0">
      <w:start w:val="3"/>
      <w:numFmt w:val="decimal"/>
      <w:suff w:val="nothing"/>
      <w:lvlText w:val="（%1）"/>
      <w:lvlJc w:val="left"/>
    </w:lvl>
  </w:abstractNum>
  <w:abstractNum w:abstractNumId="1">
    <w:nsid w:val="4E5B6D51"/>
    <w:multiLevelType w:val="singleLevel"/>
    <w:tmpl w:val="4E5B6D51"/>
    <w:lvl w:ilvl="0" w:tentative="0">
      <w:start w:val="1"/>
      <w:numFmt w:val="decimal"/>
      <w:suff w:val="nothing"/>
      <w:lvlText w:val="（%1）"/>
      <w:lvlJc w:val="left"/>
    </w:lvl>
  </w:abstractNum>
  <w:abstractNum w:abstractNumId="2">
    <w:nsid w:val="59BBE8CB"/>
    <w:multiLevelType w:val="multilevel"/>
    <w:tmpl w:val="59BBE8CB"/>
    <w:lvl w:ilvl="0" w:tentative="0">
      <w:start w:val="1"/>
      <w:numFmt w:val="chineseCounting"/>
      <w:pStyle w:val="3"/>
      <w:suff w:val="nothing"/>
      <w:lvlText w:val="%1、"/>
      <w:lvlJc w:val="left"/>
      <w:pPr>
        <w:tabs>
          <w:tab w:val="left" w:pos="0"/>
        </w:tabs>
        <w:ind w:left="425" w:hanging="425"/>
      </w:pPr>
      <w:rPr>
        <w:rFonts w:hint="eastAsia" w:ascii="Times New Roman" w:hAnsi="Times New Roman" w:eastAsia="黑体" w:cs="宋体"/>
        <w:b w:val="0"/>
        <w:sz w:val="30"/>
      </w:rPr>
    </w:lvl>
    <w:lvl w:ilvl="1" w:tentative="0">
      <w:start w:val="1"/>
      <w:numFmt w:val="decimal"/>
      <w:pStyle w:val="4"/>
      <w:isLgl/>
      <w:lvlText w:val="%1.%2"/>
      <w:lvlJc w:val="left"/>
      <w:pPr>
        <w:tabs>
          <w:tab w:val="left" w:pos="420"/>
        </w:tabs>
        <w:ind w:left="567" w:hanging="567"/>
      </w:pPr>
      <w:rPr>
        <w:rFonts w:hint="eastAsia" w:ascii="Times New Roman" w:hAnsi="Times New Roman" w:eastAsia="宋体" w:cs="宋体"/>
        <w:sz w:val="32"/>
      </w:rPr>
    </w:lvl>
    <w:lvl w:ilvl="2" w:tentative="0">
      <w:start w:val="1"/>
      <w:numFmt w:val="decimal"/>
      <w:pStyle w:val="5"/>
      <w:isLgl/>
      <w:lvlText w:val="%1.%2.%3"/>
      <w:lvlJc w:val="left"/>
      <w:pPr>
        <w:tabs>
          <w:tab w:val="left" w:pos="420"/>
        </w:tabs>
        <w:ind w:left="567" w:hanging="567"/>
      </w:pPr>
      <w:rPr>
        <w:rFonts w:hint="eastAsia" w:ascii="Times New Roman" w:hAnsi="Times New Roman" w:eastAsia="宋体" w:cs="宋体"/>
        <w:sz w:val="30"/>
      </w:rPr>
    </w:lvl>
    <w:lvl w:ilvl="3" w:tentative="0">
      <w:start w:val="1"/>
      <w:numFmt w:val="decimal"/>
      <w:pStyle w:val="6"/>
      <w:isLgl/>
      <w:lvlText w:val="%1.%2.%3.%4"/>
      <w:lvlJc w:val="left"/>
      <w:pPr>
        <w:tabs>
          <w:tab w:val="left" w:pos="420"/>
        </w:tabs>
        <w:ind w:left="850" w:hanging="850"/>
      </w:pPr>
      <w:rPr>
        <w:rFonts w:hint="eastAsia" w:ascii="Times New Roman" w:hAnsi="Times New Roman" w:eastAsia="宋体" w:cs="宋体"/>
        <w:sz w:val="28"/>
      </w:rPr>
    </w:lvl>
    <w:lvl w:ilvl="4" w:tentative="0">
      <w:start w:val="1"/>
      <w:numFmt w:val="decimal"/>
      <w:isLgl/>
      <w:lvlText w:val="%1.%2.%3.%4.%5."/>
      <w:lvlJc w:val="left"/>
      <w:pPr>
        <w:ind w:left="991" w:hanging="991"/>
      </w:pPr>
      <w:rPr>
        <w:rFonts w:hint="eastAsia"/>
      </w:rPr>
    </w:lvl>
    <w:lvl w:ilvl="5" w:tentative="0">
      <w:start w:val="1"/>
      <w:numFmt w:val="decimal"/>
      <w:isLgl/>
      <w:lvlText w:val="%1.%2.%3.%4.%5.%6."/>
      <w:lvlJc w:val="left"/>
      <w:pPr>
        <w:ind w:left="1134" w:hanging="1134"/>
      </w:pPr>
      <w:rPr>
        <w:rFonts w:hint="eastAsia"/>
      </w:rPr>
    </w:lvl>
    <w:lvl w:ilvl="6" w:tentative="0">
      <w:start w:val="1"/>
      <w:numFmt w:val="decimal"/>
      <w:isLgl/>
      <w:lvlText w:val="%1.%2.%3.%4.%5.%6.%7."/>
      <w:lvlJc w:val="left"/>
      <w:pPr>
        <w:ind w:left="1275" w:hanging="1275"/>
      </w:pPr>
      <w:rPr>
        <w:rFonts w:hint="eastAsia"/>
      </w:rPr>
    </w:lvl>
    <w:lvl w:ilvl="7" w:tentative="0">
      <w:start w:val="1"/>
      <w:numFmt w:val="decimal"/>
      <w:isLgl/>
      <w:lvlText w:val="%1.%2.%3.%4.%5.%6.%7.%8."/>
      <w:lvlJc w:val="left"/>
      <w:pPr>
        <w:ind w:left="1418" w:hanging="1418"/>
      </w:pPr>
      <w:rPr>
        <w:rFonts w:hint="eastAsia"/>
      </w:rPr>
    </w:lvl>
    <w:lvl w:ilvl="8" w:tentative="0">
      <w:start w:val="1"/>
      <w:numFmt w:val="decimal"/>
      <w:isLgl/>
      <w:lvlText w:val="%1.%2.%3.%4.%5.%6.%7.%8.%9."/>
      <w:lvlJc w:val="left"/>
      <w:pPr>
        <w:ind w:left="1558" w:hanging="1558"/>
      </w:pPr>
      <w:rPr>
        <w:rFonts w:hint="eastAsia"/>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60"/>
  <w:bordersDoNotSurroundHeader w:val="0"/>
  <w:bordersDoNotSurroundFooter w:val="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4947"/>
    <w:rsid w:val="000060B3"/>
    <w:rsid w:val="00015D20"/>
    <w:rsid w:val="000250C8"/>
    <w:rsid w:val="0004364B"/>
    <w:rsid w:val="00061B1F"/>
    <w:rsid w:val="0006378F"/>
    <w:rsid w:val="000733C4"/>
    <w:rsid w:val="00074783"/>
    <w:rsid w:val="0008070B"/>
    <w:rsid w:val="000810AC"/>
    <w:rsid w:val="00081A02"/>
    <w:rsid w:val="00082231"/>
    <w:rsid w:val="00092D38"/>
    <w:rsid w:val="0009377B"/>
    <w:rsid w:val="000A20C9"/>
    <w:rsid w:val="000B058F"/>
    <w:rsid w:val="000B09AC"/>
    <w:rsid w:val="000B4467"/>
    <w:rsid w:val="000B4DB9"/>
    <w:rsid w:val="000C09AC"/>
    <w:rsid w:val="000C3BE4"/>
    <w:rsid w:val="000C767F"/>
    <w:rsid w:val="000D4D7C"/>
    <w:rsid w:val="000D5A44"/>
    <w:rsid w:val="000E3ED2"/>
    <w:rsid w:val="00112BE7"/>
    <w:rsid w:val="00131F42"/>
    <w:rsid w:val="001357F1"/>
    <w:rsid w:val="00140FA8"/>
    <w:rsid w:val="001424B4"/>
    <w:rsid w:val="00142FEB"/>
    <w:rsid w:val="00143A2D"/>
    <w:rsid w:val="00145A41"/>
    <w:rsid w:val="00151675"/>
    <w:rsid w:val="00157435"/>
    <w:rsid w:val="0017504D"/>
    <w:rsid w:val="001753EA"/>
    <w:rsid w:val="0017671A"/>
    <w:rsid w:val="00177422"/>
    <w:rsid w:val="00184590"/>
    <w:rsid w:val="001870D1"/>
    <w:rsid w:val="0018781E"/>
    <w:rsid w:val="0019262D"/>
    <w:rsid w:val="00194874"/>
    <w:rsid w:val="001A1B35"/>
    <w:rsid w:val="001A48A2"/>
    <w:rsid w:val="001A6F61"/>
    <w:rsid w:val="001B72B8"/>
    <w:rsid w:val="001C69B3"/>
    <w:rsid w:val="001D5595"/>
    <w:rsid w:val="001D7874"/>
    <w:rsid w:val="001D7F22"/>
    <w:rsid w:val="001F0F17"/>
    <w:rsid w:val="001F3347"/>
    <w:rsid w:val="001F69E4"/>
    <w:rsid w:val="002125B4"/>
    <w:rsid w:val="002155B8"/>
    <w:rsid w:val="00224839"/>
    <w:rsid w:val="002249B2"/>
    <w:rsid w:val="00226574"/>
    <w:rsid w:val="002278EC"/>
    <w:rsid w:val="0023280E"/>
    <w:rsid w:val="002377D1"/>
    <w:rsid w:val="002506BC"/>
    <w:rsid w:val="00254345"/>
    <w:rsid w:val="00264557"/>
    <w:rsid w:val="00276843"/>
    <w:rsid w:val="002805AB"/>
    <w:rsid w:val="0028291D"/>
    <w:rsid w:val="00284204"/>
    <w:rsid w:val="00291773"/>
    <w:rsid w:val="002A168C"/>
    <w:rsid w:val="002A3DC7"/>
    <w:rsid w:val="002B49E2"/>
    <w:rsid w:val="002B7B00"/>
    <w:rsid w:val="002B7C44"/>
    <w:rsid w:val="002C0872"/>
    <w:rsid w:val="002C2B17"/>
    <w:rsid w:val="002D3DD0"/>
    <w:rsid w:val="002E1F3A"/>
    <w:rsid w:val="002E298A"/>
    <w:rsid w:val="002F149A"/>
    <w:rsid w:val="00301978"/>
    <w:rsid w:val="0030332C"/>
    <w:rsid w:val="003051C2"/>
    <w:rsid w:val="00312296"/>
    <w:rsid w:val="00314F0E"/>
    <w:rsid w:val="00321D8E"/>
    <w:rsid w:val="00325928"/>
    <w:rsid w:val="00332863"/>
    <w:rsid w:val="0033684D"/>
    <w:rsid w:val="00337B42"/>
    <w:rsid w:val="003408D7"/>
    <w:rsid w:val="00341B42"/>
    <w:rsid w:val="0034348F"/>
    <w:rsid w:val="00356653"/>
    <w:rsid w:val="0035743F"/>
    <w:rsid w:val="00357BE2"/>
    <w:rsid w:val="0036170C"/>
    <w:rsid w:val="00366E0F"/>
    <w:rsid w:val="00381A72"/>
    <w:rsid w:val="00384676"/>
    <w:rsid w:val="00390857"/>
    <w:rsid w:val="00390B0D"/>
    <w:rsid w:val="003A4BF3"/>
    <w:rsid w:val="003B420D"/>
    <w:rsid w:val="003C6C16"/>
    <w:rsid w:val="003D28C2"/>
    <w:rsid w:val="003D794D"/>
    <w:rsid w:val="003E0823"/>
    <w:rsid w:val="003E3058"/>
    <w:rsid w:val="003E76A9"/>
    <w:rsid w:val="003F0809"/>
    <w:rsid w:val="003F089A"/>
    <w:rsid w:val="003F6A8C"/>
    <w:rsid w:val="003F755C"/>
    <w:rsid w:val="00406F01"/>
    <w:rsid w:val="00416D50"/>
    <w:rsid w:val="00416FD5"/>
    <w:rsid w:val="00417772"/>
    <w:rsid w:val="00420E6A"/>
    <w:rsid w:val="00425A9E"/>
    <w:rsid w:val="00426D6B"/>
    <w:rsid w:val="00431E6C"/>
    <w:rsid w:val="00433CE7"/>
    <w:rsid w:val="00452738"/>
    <w:rsid w:val="00456091"/>
    <w:rsid w:val="00457737"/>
    <w:rsid w:val="00466321"/>
    <w:rsid w:val="0047670E"/>
    <w:rsid w:val="00484B9B"/>
    <w:rsid w:val="004855F6"/>
    <w:rsid w:val="0048661E"/>
    <w:rsid w:val="00492720"/>
    <w:rsid w:val="00494670"/>
    <w:rsid w:val="004A3823"/>
    <w:rsid w:val="004C1DB3"/>
    <w:rsid w:val="004E6946"/>
    <w:rsid w:val="004F1AD8"/>
    <w:rsid w:val="005039CB"/>
    <w:rsid w:val="0050558F"/>
    <w:rsid w:val="00506286"/>
    <w:rsid w:val="00510813"/>
    <w:rsid w:val="00511990"/>
    <w:rsid w:val="00511DE0"/>
    <w:rsid w:val="00514870"/>
    <w:rsid w:val="00514B9B"/>
    <w:rsid w:val="00517F02"/>
    <w:rsid w:val="00524303"/>
    <w:rsid w:val="005258A2"/>
    <w:rsid w:val="005401AE"/>
    <w:rsid w:val="00542E07"/>
    <w:rsid w:val="00545424"/>
    <w:rsid w:val="00554A7B"/>
    <w:rsid w:val="0055572C"/>
    <w:rsid w:val="0056106A"/>
    <w:rsid w:val="00564668"/>
    <w:rsid w:val="005646EF"/>
    <w:rsid w:val="005720AE"/>
    <w:rsid w:val="00594D77"/>
    <w:rsid w:val="00594EBE"/>
    <w:rsid w:val="005969E4"/>
    <w:rsid w:val="005A06B7"/>
    <w:rsid w:val="005A1759"/>
    <w:rsid w:val="005A23F7"/>
    <w:rsid w:val="005A68A7"/>
    <w:rsid w:val="005B3044"/>
    <w:rsid w:val="005D36AB"/>
    <w:rsid w:val="005E1807"/>
    <w:rsid w:val="005F29B6"/>
    <w:rsid w:val="00614050"/>
    <w:rsid w:val="00617CC3"/>
    <w:rsid w:val="006377A6"/>
    <w:rsid w:val="00637A3D"/>
    <w:rsid w:val="006411EF"/>
    <w:rsid w:val="00662C59"/>
    <w:rsid w:val="006748B8"/>
    <w:rsid w:val="006775C3"/>
    <w:rsid w:val="0069290A"/>
    <w:rsid w:val="0069775A"/>
    <w:rsid w:val="00697813"/>
    <w:rsid w:val="006A3EE8"/>
    <w:rsid w:val="006A5655"/>
    <w:rsid w:val="006A72BF"/>
    <w:rsid w:val="006B03F2"/>
    <w:rsid w:val="006B37DC"/>
    <w:rsid w:val="006B4F68"/>
    <w:rsid w:val="006B6D6D"/>
    <w:rsid w:val="006C0592"/>
    <w:rsid w:val="006C272E"/>
    <w:rsid w:val="006C5479"/>
    <w:rsid w:val="006D13B5"/>
    <w:rsid w:val="006E12FF"/>
    <w:rsid w:val="006E607E"/>
    <w:rsid w:val="00706C5D"/>
    <w:rsid w:val="00732922"/>
    <w:rsid w:val="007504F1"/>
    <w:rsid w:val="0075162E"/>
    <w:rsid w:val="00754034"/>
    <w:rsid w:val="00756556"/>
    <w:rsid w:val="00761237"/>
    <w:rsid w:val="007618C4"/>
    <w:rsid w:val="00767980"/>
    <w:rsid w:val="00770B19"/>
    <w:rsid w:val="0077463F"/>
    <w:rsid w:val="007836EA"/>
    <w:rsid w:val="00784CDA"/>
    <w:rsid w:val="007906C4"/>
    <w:rsid w:val="007940EA"/>
    <w:rsid w:val="007967E8"/>
    <w:rsid w:val="007A2170"/>
    <w:rsid w:val="007A22BF"/>
    <w:rsid w:val="007A3323"/>
    <w:rsid w:val="007B72B8"/>
    <w:rsid w:val="007B7A58"/>
    <w:rsid w:val="007C1888"/>
    <w:rsid w:val="007C21B5"/>
    <w:rsid w:val="007E07E3"/>
    <w:rsid w:val="007E4BD2"/>
    <w:rsid w:val="007F73C1"/>
    <w:rsid w:val="00801393"/>
    <w:rsid w:val="00802F88"/>
    <w:rsid w:val="0081293E"/>
    <w:rsid w:val="00815465"/>
    <w:rsid w:val="00817E9A"/>
    <w:rsid w:val="00821F82"/>
    <w:rsid w:val="008306BD"/>
    <w:rsid w:val="00831A80"/>
    <w:rsid w:val="00833743"/>
    <w:rsid w:val="008340A4"/>
    <w:rsid w:val="008432F0"/>
    <w:rsid w:val="0087135F"/>
    <w:rsid w:val="00872D94"/>
    <w:rsid w:val="00880364"/>
    <w:rsid w:val="00891592"/>
    <w:rsid w:val="00891E9E"/>
    <w:rsid w:val="008A2F68"/>
    <w:rsid w:val="008A7638"/>
    <w:rsid w:val="008B4FA6"/>
    <w:rsid w:val="008B5282"/>
    <w:rsid w:val="008B7C17"/>
    <w:rsid w:val="008C2D01"/>
    <w:rsid w:val="008C40E6"/>
    <w:rsid w:val="008D0F7A"/>
    <w:rsid w:val="008D68E4"/>
    <w:rsid w:val="008E0506"/>
    <w:rsid w:val="008E0CFF"/>
    <w:rsid w:val="008E5D6B"/>
    <w:rsid w:val="008E76F0"/>
    <w:rsid w:val="008F15FE"/>
    <w:rsid w:val="008F2D29"/>
    <w:rsid w:val="008F5187"/>
    <w:rsid w:val="008F60D8"/>
    <w:rsid w:val="009025C9"/>
    <w:rsid w:val="00902727"/>
    <w:rsid w:val="0090312B"/>
    <w:rsid w:val="0091736D"/>
    <w:rsid w:val="0093037A"/>
    <w:rsid w:val="009354CA"/>
    <w:rsid w:val="0094154D"/>
    <w:rsid w:val="00945C5F"/>
    <w:rsid w:val="0095155F"/>
    <w:rsid w:val="00954429"/>
    <w:rsid w:val="009563CE"/>
    <w:rsid w:val="00976328"/>
    <w:rsid w:val="0097680D"/>
    <w:rsid w:val="00982438"/>
    <w:rsid w:val="0098404C"/>
    <w:rsid w:val="00985283"/>
    <w:rsid w:val="00995992"/>
    <w:rsid w:val="009A03E5"/>
    <w:rsid w:val="009A0F3B"/>
    <w:rsid w:val="009A1BB4"/>
    <w:rsid w:val="009A2628"/>
    <w:rsid w:val="009A3200"/>
    <w:rsid w:val="009B0897"/>
    <w:rsid w:val="009B7BD9"/>
    <w:rsid w:val="009C0AFD"/>
    <w:rsid w:val="009C7DD5"/>
    <w:rsid w:val="009E227D"/>
    <w:rsid w:val="009E5019"/>
    <w:rsid w:val="00A04F1B"/>
    <w:rsid w:val="00A0501B"/>
    <w:rsid w:val="00A14947"/>
    <w:rsid w:val="00A20BAF"/>
    <w:rsid w:val="00A32A83"/>
    <w:rsid w:val="00A368DB"/>
    <w:rsid w:val="00A423AA"/>
    <w:rsid w:val="00A53133"/>
    <w:rsid w:val="00A53EC6"/>
    <w:rsid w:val="00A55C0F"/>
    <w:rsid w:val="00A82DCE"/>
    <w:rsid w:val="00A8713F"/>
    <w:rsid w:val="00A90BA1"/>
    <w:rsid w:val="00A97A9A"/>
    <w:rsid w:val="00AA0671"/>
    <w:rsid w:val="00AA2531"/>
    <w:rsid w:val="00AA380C"/>
    <w:rsid w:val="00AB1E09"/>
    <w:rsid w:val="00AB5330"/>
    <w:rsid w:val="00AB7747"/>
    <w:rsid w:val="00AC14CE"/>
    <w:rsid w:val="00AC2A56"/>
    <w:rsid w:val="00AD055E"/>
    <w:rsid w:val="00AD47A7"/>
    <w:rsid w:val="00AF0CBF"/>
    <w:rsid w:val="00AF257F"/>
    <w:rsid w:val="00AF2D88"/>
    <w:rsid w:val="00AF33CF"/>
    <w:rsid w:val="00AF4D50"/>
    <w:rsid w:val="00AF6179"/>
    <w:rsid w:val="00B1073B"/>
    <w:rsid w:val="00B1295A"/>
    <w:rsid w:val="00B168CB"/>
    <w:rsid w:val="00B20A45"/>
    <w:rsid w:val="00B22C5C"/>
    <w:rsid w:val="00B24F30"/>
    <w:rsid w:val="00B31ABF"/>
    <w:rsid w:val="00B33BE3"/>
    <w:rsid w:val="00B368CF"/>
    <w:rsid w:val="00B53B5D"/>
    <w:rsid w:val="00B6055E"/>
    <w:rsid w:val="00B6317D"/>
    <w:rsid w:val="00B7723F"/>
    <w:rsid w:val="00B80534"/>
    <w:rsid w:val="00B8433C"/>
    <w:rsid w:val="00B87491"/>
    <w:rsid w:val="00B91B4B"/>
    <w:rsid w:val="00BA034F"/>
    <w:rsid w:val="00BA29E9"/>
    <w:rsid w:val="00BA49E9"/>
    <w:rsid w:val="00BA7142"/>
    <w:rsid w:val="00BB237C"/>
    <w:rsid w:val="00BB41A3"/>
    <w:rsid w:val="00BC2368"/>
    <w:rsid w:val="00BC32DC"/>
    <w:rsid w:val="00BC35B6"/>
    <w:rsid w:val="00BC751E"/>
    <w:rsid w:val="00BD1B51"/>
    <w:rsid w:val="00BD4596"/>
    <w:rsid w:val="00BE1405"/>
    <w:rsid w:val="00BE312D"/>
    <w:rsid w:val="00BF1C20"/>
    <w:rsid w:val="00BF61B4"/>
    <w:rsid w:val="00C01237"/>
    <w:rsid w:val="00C10578"/>
    <w:rsid w:val="00C135BC"/>
    <w:rsid w:val="00C142B4"/>
    <w:rsid w:val="00C15C95"/>
    <w:rsid w:val="00C2596A"/>
    <w:rsid w:val="00C27537"/>
    <w:rsid w:val="00C328FE"/>
    <w:rsid w:val="00C33507"/>
    <w:rsid w:val="00C4409D"/>
    <w:rsid w:val="00C44E72"/>
    <w:rsid w:val="00C45A06"/>
    <w:rsid w:val="00C47E5B"/>
    <w:rsid w:val="00C61E4B"/>
    <w:rsid w:val="00C64BFF"/>
    <w:rsid w:val="00C704E9"/>
    <w:rsid w:val="00C763C9"/>
    <w:rsid w:val="00C80057"/>
    <w:rsid w:val="00C82232"/>
    <w:rsid w:val="00C82913"/>
    <w:rsid w:val="00C85F0C"/>
    <w:rsid w:val="00C972B1"/>
    <w:rsid w:val="00CA0B0D"/>
    <w:rsid w:val="00CA2CCE"/>
    <w:rsid w:val="00CA43FD"/>
    <w:rsid w:val="00CA7EF8"/>
    <w:rsid w:val="00CC489B"/>
    <w:rsid w:val="00CD2BCD"/>
    <w:rsid w:val="00CD3A4C"/>
    <w:rsid w:val="00CD74C0"/>
    <w:rsid w:val="00CE10E9"/>
    <w:rsid w:val="00CE2910"/>
    <w:rsid w:val="00CE5393"/>
    <w:rsid w:val="00CF36BE"/>
    <w:rsid w:val="00CF6000"/>
    <w:rsid w:val="00D003F3"/>
    <w:rsid w:val="00D0364F"/>
    <w:rsid w:val="00D06834"/>
    <w:rsid w:val="00D138E9"/>
    <w:rsid w:val="00D308ED"/>
    <w:rsid w:val="00D36D86"/>
    <w:rsid w:val="00D428AA"/>
    <w:rsid w:val="00D50A34"/>
    <w:rsid w:val="00D53EFA"/>
    <w:rsid w:val="00D85E2C"/>
    <w:rsid w:val="00D94A7C"/>
    <w:rsid w:val="00D95896"/>
    <w:rsid w:val="00DB2983"/>
    <w:rsid w:val="00DC1257"/>
    <w:rsid w:val="00DC3DC0"/>
    <w:rsid w:val="00DC5B2B"/>
    <w:rsid w:val="00DD318D"/>
    <w:rsid w:val="00DD72AC"/>
    <w:rsid w:val="00DF2E12"/>
    <w:rsid w:val="00DF33FA"/>
    <w:rsid w:val="00DF3790"/>
    <w:rsid w:val="00DF514A"/>
    <w:rsid w:val="00DF6690"/>
    <w:rsid w:val="00DF6804"/>
    <w:rsid w:val="00E0358D"/>
    <w:rsid w:val="00E04323"/>
    <w:rsid w:val="00E070A2"/>
    <w:rsid w:val="00E15663"/>
    <w:rsid w:val="00E2656A"/>
    <w:rsid w:val="00E412D0"/>
    <w:rsid w:val="00E50410"/>
    <w:rsid w:val="00E56322"/>
    <w:rsid w:val="00E60982"/>
    <w:rsid w:val="00E62C62"/>
    <w:rsid w:val="00E654C1"/>
    <w:rsid w:val="00E65D97"/>
    <w:rsid w:val="00E678F7"/>
    <w:rsid w:val="00E70689"/>
    <w:rsid w:val="00E72A5A"/>
    <w:rsid w:val="00E73354"/>
    <w:rsid w:val="00E9242D"/>
    <w:rsid w:val="00EA28FD"/>
    <w:rsid w:val="00EA6D8E"/>
    <w:rsid w:val="00EB5255"/>
    <w:rsid w:val="00EB5C47"/>
    <w:rsid w:val="00ED0639"/>
    <w:rsid w:val="00EF01E9"/>
    <w:rsid w:val="00EF2656"/>
    <w:rsid w:val="00EF4755"/>
    <w:rsid w:val="00EF7135"/>
    <w:rsid w:val="00F027DB"/>
    <w:rsid w:val="00F14A7A"/>
    <w:rsid w:val="00F22985"/>
    <w:rsid w:val="00F23938"/>
    <w:rsid w:val="00F3383E"/>
    <w:rsid w:val="00F3434A"/>
    <w:rsid w:val="00F465A7"/>
    <w:rsid w:val="00F50B7C"/>
    <w:rsid w:val="00F550E6"/>
    <w:rsid w:val="00F661C3"/>
    <w:rsid w:val="00F74345"/>
    <w:rsid w:val="00F743E1"/>
    <w:rsid w:val="00F76C78"/>
    <w:rsid w:val="00F80A0A"/>
    <w:rsid w:val="00F82B19"/>
    <w:rsid w:val="00F9212D"/>
    <w:rsid w:val="00F965DA"/>
    <w:rsid w:val="00FA406A"/>
    <w:rsid w:val="00FB072F"/>
    <w:rsid w:val="00FB0813"/>
    <w:rsid w:val="00FB10B9"/>
    <w:rsid w:val="00FB503A"/>
    <w:rsid w:val="00FB516C"/>
    <w:rsid w:val="00FD0236"/>
    <w:rsid w:val="00FD18F4"/>
    <w:rsid w:val="00FD54DB"/>
    <w:rsid w:val="00FD619F"/>
    <w:rsid w:val="01144E04"/>
    <w:rsid w:val="01253946"/>
    <w:rsid w:val="01290F7E"/>
    <w:rsid w:val="012E72BB"/>
    <w:rsid w:val="01406DA6"/>
    <w:rsid w:val="01465D7B"/>
    <w:rsid w:val="015374D9"/>
    <w:rsid w:val="01567CDC"/>
    <w:rsid w:val="015D1E09"/>
    <w:rsid w:val="017F5A0B"/>
    <w:rsid w:val="018278B0"/>
    <w:rsid w:val="019342BA"/>
    <w:rsid w:val="01D058FC"/>
    <w:rsid w:val="01D909E2"/>
    <w:rsid w:val="020822A1"/>
    <w:rsid w:val="023176F6"/>
    <w:rsid w:val="0257138F"/>
    <w:rsid w:val="02697903"/>
    <w:rsid w:val="02BD7967"/>
    <w:rsid w:val="02D30EB0"/>
    <w:rsid w:val="02F36864"/>
    <w:rsid w:val="02F96569"/>
    <w:rsid w:val="03226910"/>
    <w:rsid w:val="032C15D7"/>
    <w:rsid w:val="032F1DC8"/>
    <w:rsid w:val="03305056"/>
    <w:rsid w:val="037516E8"/>
    <w:rsid w:val="037D7592"/>
    <w:rsid w:val="03982821"/>
    <w:rsid w:val="03997313"/>
    <w:rsid w:val="03AE798A"/>
    <w:rsid w:val="03C72161"/>
    <w:rsid w:val="03EA7B21"/>
    <w:rsid w:val="03F80720"/>
    <w:rsid w:val="03F94853"/>
    <w:rsid w:val="0418667A"/>
    <w:rsid w:val="04351194"/>
    <w:rsid w:val="044266C8"/>
    <w:rsid w:val="04540575"/>
    <w:rsid w:val="04607805"/>
    <w:rsid w:val="04745760"/>
    <w:rsid w:val="04804FDB"/>
    <w:rsid w:val="04871BFB"/>
    <w:rsid w:val="048A25D2"/>
    <w:rsid w:val="04A6376D"/>
    <w:rsid w:val="04B64F01"/>
    <w:rsid w:val="04BF5FBF"/>
    <w:rsid w:val="04C876CC"/>
    <w:rsid w:val="04DB2986"/>
    <w:rsid w:val="04DB7416"/>
    <w:rsid w:val="04EF5C7B"/>
    <w:rsid w:val="0506508B"/>
    <w:rsid w:val="05145F3C"/>
    <w:rsid w:val="05265494"/>
    <w:rsid w:val="05724385"/>
    <w:rsid w:val="05836D23"/>
    <w:rsid w:val="058F185B"/>
    <w:rsid w:val="05A82A2F"/>
    <w:rsid w:val="05B53743"/>
    <w:rsid w:val="05C50AD2"/>
    <w:rsid w:val="05F83EAE"/>
    <w:rsid w:val="05F8528A"/>
    <w:rsid w:val="06172591"/>
    <w:rsid w:val="062D6A26"/>
    <w:rsid w:val="062E39D0"/>
    <w:rsid w:val="062F6941"/>
    <w:rsid w:val="063C62CC"/>
    <w:rsid w:val="063E7D85"/>
    <w:rsid w:val="0650099B"/>
    <w:rsid w:val="06797350"/>
    <w:rsid w:val="06967B5E"/>
    <w:rsid w:val="06B84F5C"/>
    <w:rsid w:val="06E525E5"/>
    <w:rsid w:val="071B126C"/>
    <w:rsid w:val="07293586"/>
    <w:rsid w:val="07295285"/>
    <w:rsid w:val="072E442D"/>
    <w:rsid w:val="07636392"/>
    <w:rsid w:val="076512AD"/>
    <w:rsid w:val="0766098B"/>
    <w:rsid w:val="07716182"/>
    <w:rsid w:val="07770C56"/>
    <w:rsid w:val="0798786D"/>
    <w:rsid w:val="07C217F5"/>
    <w:rsid w:val="07C92A71"/>
    <w:rsid w:val="080A24E6"/>
    <w:rsid w:val="080E4FCD"/>
    <w:rsid w:val="08372078"/>
    <w:rsid w:val="08431B65"/>
    <w:rsid w:val="08666DA1"/>
    <w:rsid w:val="08695E60"/>
    <w:rsid w:val="08895CAC"/>
    <w:rsid w:val="08B57CCB"/>
    <w:rsid w:val="08C327FF"/>
    <w:rsid w:val="08DB3BEA"/>
    <w:rsid w:val="08EC7A4E"/>
    <w:rsid w:val="09220158"/>
    <w:rsid w:val="092217DD"/>
    <w:rsid w:val="09304210"/>
    <w:rsid w:val="093A7294"/>
    <w:rsid w:val="09454969"/>
    <w:rsid w:val="097E6EA3"/>
    <w:rsid w:val="09810495"/>
    <w:rsid w:val="0983169A"/>
    <w:rsid w:val="09D71E5F"/>
    <w:rsid w:val="09DF15CC"/>
    <w:rsid w:val="09E2697A"/>
    <w:rsid w:val="0A263993"/>
    <w:rsid w:val="0A2D3AC2"/>
    <w:rsid w:val="0A3F2E2B"/>
    <w:rsid w:val="0A684BA4"/>
    <w:rsid w:val="0A7E3F4F"/>
    <w:rsid w:val="0A8B18C5"/>
    <w:rsid w:val="0AA755DF"/>
    <w:rsid w:val="0AC9565B"/>
    <w:rsid w:val="0AE211AF"/>
    <w:rsid w:val="0AFC1468"/>
    <w:rsid w:val="0B120D44"/>
    <w:rsid w:val="0B3155B3"/>
    <w:rsid w:val="0B547E13"/>
    <w:rsid w:val="0B6D5EE9"/>
    <w:rsid w:val="0B8730B0"/>
    <w:rsid w:val="0BBC7C0B"/>
    <w:rsid w:val="0BCD4627"/>
    <w:rsid w:val="0BD27BF6"/>
    <w:rsid w:val="0BE42A09"/>
    <w:rsid w:val="0BE63744"/>
    <w:rsid w:val="0BEC7247"/>
    <w:rsid w:val="0C074F67"/>
    <w:rsid w:val="0C294588"/>
    <w:rsid w:val="0C2C230A"/>
    <w:rsid w:val="0C3B3C7D"/>
    <w:rsid w:val="0C4560B5"/>
    <w:rsid w:val="0C493422"/>
    <w:rsid w:val="0C6A2B3A"/>
    <w:rsid w:val="0C8410E4"/>
    <w:rsid w:val="0C9353B3"/>
    <w:rsid w:val="0CAB2EAE"/>
    <w:rsid w:val="0CD34642"/>
    <w:rsid w:val="0CF739F1"/>
    <w:rsid w:val="0CF75828"/>
    <w:rsid w:val="0D10632B"/>
    <w:rsid w:val="0D2B14C6"/>
    <w:rsid w:val="0D2B22E3"/>
    <w:rsid w:val="0D345D60"/>
    <w:rsid w:val="0D611730"/>
    <w:rsid w:val="0D621C7D"/>
    <w:rsid w:val="0D721BE1"/>
    <w:rsid w:val="0D7E7FD1"/>
    <w:rsid w:val="0D9F1926"/>
    <w:rsid w:val="0E0D7574"/>
    <w:rsid w:val="0E3B377F"/>
    <w:rsid w:val="0E5275DB"/>
    <w:rsid w:val="0E5D5685"/>
    <w:rsid w:val="0E671AB4"/>
    <w:rsid w:val="0E73034D"/>
    <w:rsid w:val="0E96474D"/>
    <w:rsid w:val="0EB75AC4"/>
    <w:rsid w:val="0EBC5492"/>
    <w:rsid w:val="0EE04CED"/>
    <w:rsid w:val="0F0C0A35"/>
    <w:rsid w:val="0F13775A"/>
    <w:rsid w:val="0F1422BE"/>
    <w:rsid w:val="0F442373"/>
    <w:rsid w:val="0F5F45FE"/>
    <w:rsid w:val="0F9A112B"/>
    <w:rsid w:val="0FC50510"/>
    <w:rsid w:val="0FCA319C"/>
    <w:rsid w:val="0FCC0442"/>
    <w:rsid w:val="0FEF0D66"/>
    <w:rsid w:val="0FFB367C"/>
    <w:rsid w:val="1002474E"/>
    <w:rsid w:val="100C42C5"/>
    <w:rsid w:val="102C6989"/>
    <w:rsid w:val="106D2F64"/>
    <w:rsid w:val="107D1796"/>
    <w:rsid w:val="10896F77"/>
    <w:rsid w:val="10A51F8B"/>
    <w:rsid w:val="10B63710"/>
    <w:rsid w:val="10F10820"/>
    <w:rsid w:val="11096DD9"/>
    <w:rsid w:val="111764FF"/>
    <w:rsid w:val="111C2F7A"/>
    <w:rsid w:val="11205DB7"/>
    <w:rsid w:val="115C78AE"/>
    <w:rsid w:val="115D1472"/>
    <w:rsid w:val="11665CA1"/>
    <w:rsid w:val="11751814"/>
    <w:rsid w:val="11766133"/>
    <w:rsid w:val="119D3C47"/>
    <w:rsid w:val="11BF3628"/>
    <w:rsid w:val="11EF3A8C"/>
    <w:rsid w:val="12175C9E"/>
    <w:rsid w:val="122C7302"/>
    <w:rsid w:val="1243091A"/>
    <w:rsid w:val="12C22B80"/>
    <w:rsid w:val="12EE0B8C"/>
    <w:rsid w:val="13032F1C"/>
    <w:rsid w:val="13263654"/>
    <w:rsid w:val="1328367A"/>
    <w:rsid w:val="132F0FB1"/>
    <w:rsid w:val="13303297"/>
    <w:rsid w:val="13380894"/>
    <w:rsid w:val="133B7C11"/>
    <w:rsid w:val="134D485D"/>
    <w:rsid w:val="13951726"/>
    <w:rsid w:val="13C00D9F"/>
    <w:rsid w:val="140C5D92"/>
    <w:rsid w:val="14220E7C"/>
    <w:rsid w:val="14396509"/>
    <w:rsid w:val="1442132E"/>
    <w:rsid w:val="14524A50"/>
    <w:rsid w:val="14D37745"/>
    <w:rsid w:val="14DD2C3C"/>
    <w:rsid w:val="14E239C4"/>
    <w:rsid w:val="14F40A67"/>
    <w:rsid w:val="151C6F54"/>
    <w:rsid w:val="151E5339"/>
    <w:rsid w:val="15242A3A"/>
    <w:rsid w:val="153B4367"/>
    <w:rsid w:val="153D3AAD"/>
    <w:rsid w:val="155D7478"/>
    <w:rsid w:val="156740F1"/>
    <w:rsid w:val="156B641B"/>
    <w:rsid w:val="158203A9"/>
    <w:rsid w:val="1583450F"/>
    <w:rsid w:val="15943460"/>
    <w:rsid w:val="159712B2"/>
    <w:rsid w:val="15CC515D"/>
    <w:rsid w:val="15D52E4D"/>
    <w:rsid w:val="15FA3A6F"/>
    <w:rsid w:val="16070E8F"/>
    <w:rsid w:val="16087E1D"/>
    <w:rsid w:val="160B3367"/>
    <w:rsid w:val="16244481"/>
    <w:rsid w:val="162B1B2E"/>
    <w:rsid w:val="16482D6D"/>
    <w:rsid w:val="16590164"/>
    <w:rsid w:val="1663650F"/>
    <w:rsid w:val="16750E69"/>
    <w:rsid w:val="167A19D9"/>
    <w:rsid w:val="16816A0F"/>
    <w:rsid w:val="1686712A"/>
    <w:rsid w:val="16A33F03"/>
    <w:rsid w:val="16C32BC2"/>
    <w:rsid w:val="16D30570"/>
    <w:rsid w:val="1711672D"/>
    <w:rsid w:val="173B7BDA"/>
    <w:rsid w:val="1752622B"/>
    <w:rsid w:val="17596858"/>
    <w:rsid w:val="17701D14"/>
    <w:rsid w:val="17704C86"/>
    <w:rsid w:val="17735226"/>
    <w:rsid w:val="177C19B4"/>
    <w:rsid w:val="17945C26"/>
    <w:rsid w:val="17A925D0"/>
    <w:rsid w:val="17D63565"/>
    <w:rsid w:val="17ED1F41"/>
    <w:rsid w:val="18515349"/>
    <w:rsid w:val="186C1276"/>
    <w:rsid w:val="18781D3D"/>
    <w:rsid w:val="18964FD2"/>
    <w:rsid w:val="1897395E"/>
    <w:rsid w:val="189F624C"/>
    <w:rsid w:val="18C62201"/>
    <w:rsid w:val="18CA0302"/>
    <w:rsid w:val="18E122F2"/>
    <w:rsid w:val="18ED49F3"/>
    <w:rsid w:val="18F83CE0"/>
    <w:rsid w:val="191A6B87"/>
    <w:rsid w:val="195613E9"/>
    <w:rsid w:val="195B2F36"/>
    <w:rsid w:val="19647BA2"/>
    <w:rsid w:val="19851C3D"/>
    <w:rsid w:val="198600AA"/>
    <w:rsid w:val="19A26BA0"/>
    <w:rsid w:val="19AE29AC"/>
    <w:rsid w:val="19D42279"/>
    <w:rsid w:val="1A084A14"/>
    <w:rsid w:val="1A1C66C0"/>
    <w:rsid w:val="1A42393B"/>
    <w:rsid w:val="1A475DB0"/>
    <w:rsid w:val="1A52259C"/>
    <w:rsid w:val="1A776CD3"/>
    <w:rsid w:val="1A8854A5"/>
    <w:rsid w:val="1AA43E26"/>
    <w:rsid w:val="1AAD45DE"/>
    <w:rsid w:val="1AB9482E"/>
    <w:rsid w:val="1ACE6689"/>
    <w:rsid w:val="1AFF28A6"/>
    <w:rsid w:val="1B046F80"/>
    <w:rsid w:val="1B1705E7"/>
    <w:rsid w:val="1B3267B5"/>
    <w:rsid w:val="1B40161D"/>
    <w:rsid w:val="1B441859"/>
    <w:rsid w:val="1B5556FE"/>
    <w:rsid w:val="1B6606B1"/>
    <w:rsid w:val="1B7766A6"/>
    <w:rsid w:val="1B86328A"/>
    <w:rsid w:val="1B9E7044"/>
    <w:rsid w:val="1BA3709D"/>
    <w:rsid w:val="1BCB0363"/>
    <w:rsid w:val="1BCD1DDA"/>
    <w:rsid w:val="1C5E7925"/>
    <w:rsid w:val="1CAB2987"/>
    <w:rsid w:val="1CE23907"/>
    <w:rsid w:val="1CEE2E96"/>
    <w:rsid w:val="1CF756E4"/>
    <w:rsid w:val="1CF763F3"/>
    <w:rsid w:val="1CFD070F"/>
    <w:rsid w:val="1D1B4C4A"/>
    <w:rsid w:val="1D242BC5"/>
    <w:rsid w:val="1D2B3BE8"/>
    <w:rsid w:val="1D3E1D20"/>
    <w:rsid w:val="1D5435EB"/>
    <w:rsid w:val="1D5F6196"/>
    <w:rsid w:val="1D6132A5"/>
    <w:rsid w:val="1D6D12C4"/>
    <w:rsid w:val="1D751E3D"/>
    <w:rsid w:val="1D84622C"/>
    <w:rsid w:val="1D8E56D5"/>
    <w:rsid w:val="1D9D3801"/>
    <w:rsid w:val="1DC83ED9"/>
    <w:rsid w:val="1DE50839"/>
    <w:rsid w:val="1DF63CB4"/>
    <w:rsid w:val="1E3F597B"/>
    <w:rsid w:val="1E414482"/>
    <w:rsid w:val="1E4A5E44"/>
    <w:rsid w:val="1E6B2054"/>
    <w:rsid w:val="1E724832"/>
    <w:rsid w:val="1E7A43DA"/>
    <w:rsid w:val="1E9D0F7B"/>
    <w:rsid w:val="1EAF1807"/>
    <w:rsid w:val="1EEC3884"/>
    <w:rsid w:val="1F0E468A"/>
    <w:rsid w:val="1F1B18BC"/>
    <w:rsid w:val="1F2B4E34"/>
    <w:rsid w:val="1F3843C1"/>
    <w:rsid w:val="1F44587F"/>
    <w:rsid w:val="1F605FE7"/>
    <w:rsid w:val="1F632507"/>
    <w:rsid w:val="1F746E84"/>
    <w:rsid w:val="1FA84E42"/>
    <w:rsid w:val="1FB00F69"/>
    <w:rsid w:val="1FB965BB"/>
    <w:rsid w:val="1FE7539E"/>
    <w:rsid w:val="203D7D90"/>
    <w:rsid w:val="20590AC2"/>
    <w:rsid w:val="20614CD6"/>
    <w:rsid w:val="20671BE0"/>
    <w:rsid w:val="207043FE"/>
    <w:rsid w:val="209308CC"/>
    <w:rsid w:val="20963CB8"/>
    <w:rsid w:val="20A81A1B"/>
    <w:rsid w:val="20B07FB6"/>
    <w:rsid w:val="20B646FB"/>
    <w:rsid w:val="211046D4"/>
    <w:rsid w:val="211676D7"/>
    <w:rsid w:val="211845C8"/>
    <w:rsid w:val="213B74B1"/>
    <w:rsid w:val="213E6FB8"/>
    <w:rsid w:val="215A2310"/>
    <w:rsid w:val="216C3EE6"/>
    <w:rsid w:val="21B36E7F"/>
    <w:rsid w:val="21CB33D9"/>
    <w:rsid w:val="21CE1C7F"/>
    <w:rsid w:val="21D25F9C"/>
    <w:rsid w:val="21DE318A"/>
    <w:rsid w:val="21EF5B80"/>
    <w:rsid w:val="21F226EB"/>
    <w:rsid w:val="21FD2577"/>
    <w:rsid w:val="22042579"/>
    <w:rsid w:val="222B20EB"/>
    <w:rsid w:val="222C343F"/>
    <w:rsid w:val="224510FC"/>
    <w:rsid w:val="22576990"/>
    <w:rsid w:val="226877B8"/>
    <w:rsid w:val="22F47480"/>
    <w:rsid w:val="23011782"/>
    <w:rsid w:val="234B34B7"/>
    <w:rsid w:val="23636575"/>
    <w:rsid w:val="237E0F11"/>
    <w:rsid w:val="239255C5"/>
    <w:rsid w:val="23DE1C48"/>
    <w:rsid w:val="240210CD"/>
    <w:rsid w:val="24337677"/>
    <w:rsid w:val="24514728"/>
    <w:rsid w:val="24623E46"/>
    <w:rsid w:val="246F15F9"/>
    <w:rsid w:val="24782E72"/>
    <w:rsid w:val="24BF09F7"/>
    <w:rsid w:val="24CB5BED"/>
    <w:rsid w:val="24F00936"/>
    <w:rsid w:val="24FC1579"/>
    <w:rsid w:val="25100DC9"/>
    <w:rsid w:val="252458BF"/>
    <w:rsid w:val="252B120A"/>
    <w:rsid w:val="252D53FE"/>
    <w:rsid w:val="25574537"/>
    <w:rsid w:val="2561089A"/>
    <w:rsid w:val="256E70EA"/>
    <w:rsid w:val="257632C2"/>
    <w:rsid w:val="2593043B"/>
    <w:rsid w:val="25C5105D"/>
    <w:rsid w:val="25CA35FA"/>
    <w:rsid w:val="25CF052A"/>
    <w:rsid w:val="25EA71B5"/>
    <w:rsid w:val="25EB342A"/>
    <w:rsid w:val="25EC2D81"/>
    <w:rsid w:val="262961B5"/>
    <w:rsid w:val="263A4F49"/>
    <w:rsid w:val="265B69C8"/>
    <w:rsid w:val="2662742C"/>
    <w:rsid w:val="267F3AB9"/>
    <w:rsid w:val="268623B7"/>
    <w:rsid w:val="26BB7F82"/>
    <w:rsid w:val="26D273BE"/>
    <w:rsid w:val="26F1708D"/>
    <w:rsid w:val="273534DF"/>
    <w:rsid w:val="274D4DAF"/>
    <w:rsid w:val="2751509B"/>
    <w:rsid w:val="277057A2"/>
    <w:rsid w:val="27712C61"/>
    <w:rsid w:val="27805317"/>
    <w:rsid w:val="27915F19"/>
    <w:rsid w:val="27986F69"/>
    <w:rsid w:val="27B66C14"/>
    <w:rsid w:val="27DB3A6D"/>
    <w:rsid w:val="27E266BE"/>
    <w:rsid w:val="27FB6B9D"/>
    <w:rsid w:val="281F20EA"/>
    <w:rsid w:val="28284534"/>
    <w:rsid w:val="28524E07"/>
    <w:rsid w:val="286D6E2A"/>
    <w:rsid w:val="287723F6"/>
    <w:rsid w:val="287D3569"/>
    <w:rsid w:val="28853F57"/>
    <w:rsid w:val="288B0015"/>
    <w:rsid w:val="28965154"/>
    <w:rsid w:val="28972724"/>
    <w:rsid w:val="29031737"/>
    <w:rsid w:val="291412AF"/>
    <w:rsid w:val="29206EB8"/>
    <w:rsid w:val="292251BA"/>
    <w:rsid w:val="29595666"/>
    <w:rsid w:val="297F1B17"/>
    <w:rsid w:val="29874881"/>
    <w:rsid w:val="298C4BB9"/>
    <w:rsid w:val="29A0394E"/>
    <w:rsid w:val="29A27C41"/>
    <w:rsid w:val="29A62ABE"/>
    <w:rsid w:val="29BA6D10"/>
    <w:rsid w:val="29E325E0"/>
    <w:rsid w:val="29E3627E"/>
    <w:rsid w:val="29EE496D"/>
    <w:rsid w:val="2A3A657B"/>
    <w:rsid w:val="2A452503"/>
    <w:rsid w:val="2A552A26"/>
    <w:rsid w:val="2A6976B6"/>
    <w:rsid w:val="2A6F179B"/>
    <w:rsid w:val="2A7542EE"/>
    <w:rsid w:val="2A893CA1"/>
    <w:rsid w:val="2A9A2534"/>
    <w:rsid w:val="2AC86160"/>
    <w:rsid w:val="2ADF7D11"/>
    <w:rsid w:val="2B0A757D"/>
    <w:rsid w:val="2B102BB8"/>
    <w:rsid w:val="2B3E4DB0"/>
    <w:rsid w:val="2B483F08"/>
    <w:rsid w:val="2B4C0D74"/>
    <w:rsid w:val="2B4D6032"/>
    <w:rsid w:val="2B567541"/>
    <w:rsid w:val="2B694173"/>
    <w:rsid w:val="2B6B404A"/>
    <w:rsid w:val="2B7A5672"/>
    <w:rsid w:val="2B9510E4"/>
    <w:rsid w:val="2BA936A8"/>
    <w:rsid w:val="2BB52D4A"/>
    <w:rsid w:val="2BE54812"/>
    <w:rsid w:val="2C315A5A"/>
    <w:rsid w:val="2C3F68BD"/>
    <w:rsid w:val="2C4B1C25"/>
    <w:rsid w:val="2C6116E2"/>
    <w:rsid w:val="2C795946"/>
    <w:rsid w:val="2C8958D9"/>
    <w:rsid w:val="2C9E098C"/>
    <w:rsid w:val="2CB1540A"/>
    <w:rsid w:val="2CB6160B"/>
    <w:rsid w:val="2CD60996"/>
    <w:rsid w:val="2D1452CC"/>
    <w:rsid w:val="2D164812"/>
    <w:rsid w:val="2D2E7EFA"/>
    <w:rsid w:val="2D4413BE"/>
    <w:rsid w:val="2D5168EB"/>
    <w:rsid w:val="2D646A9E"/>
    <w:rsid w:val="2D7417E0"/>
    <w:rsid w:val="2D937994"/>
    <w:rsid w:val="2D967370"/>
    <w:rsid w:val="2D9A3C9C"/>
    <w:rsid w:val="2D9E56F5"/>
    <w:rsid w:val="2DAB40A7"/>
    <w:rsid w:val="2DB070E1"/>
    <w:rsid w:val="2DB9108C"/>
    <w:rsid w:val="2DD21CFE"/>
    <w:rsid w:val="2DED22BD"/>
    <w:rsid w:val="2E060F93"/>
    <w:rsid w:val="2E5B6CCE"/>
    <w:rsid w:val="2E667F96"/>
    <w:rsid w:val="2E811FD2"/>
    <w:rsid w:val="2E8226AB"/>
    <w:rsid w:val="2E9B0C22"/>
    <w:rsid w:val="2EB26CA6"/>
    <w:rsid w:val="2EC857AF"/>
    <w:rsid w:val="2ECC3126"/>
    <w:rsid w:val="2EDE1CA5"/>
    <w:rsid w:val="2EE8129A"/>
    <w:rsid w:val="2EEB7F84"/>
    <w:rsid w:val="2EF54A74"/>
    <w:rsid w:val="2F010A42"/>
    <w:rsid w:val="2F117543"/>
    <w:rsid w:val="2F213E94"/>
    <w:rsid w:val="2F2218CD"/>
    <w:rsid w:val="2F327161"/>
    <w:rsid w:val="2FAD43E3"/>
    <w:rsid w:val="2FC7058A"/>
    <w:rsid w:val="2FD065E6"/>
    <w:rsid w:val="2FD96870"/>
    <w:rsid w:val="300E6765"/>
    <w:rsid w:val="3035771E"/>
    <w:rsid w:val="303D1505"/>
    <w:rsid w:val="30580BC9"/>
    <w:rsid w:val="305B3706"/>
    <w:rsid w:val="307C7B13"/>
    <w:rsid w:val="30981088"/>
    <w:rsid w:val="309B0E28"/>
    <w:rsid w:val="30A019AE"/>
    <w:rsid w:val="30A229C5"/>
    <w:rsid w:val="30B90164"/>
    <w:rsid w:val="30BD1830"/>
    <w:rsid w:val="310E1AE3"/>
    <w:rsid w:val="31174B3B"/>
    <w:rsid w:val="311E2ED7"/>
    <w:rsid w:val="313A1B9E"/>
    <w:rsid w:val="31405C47"/>
    <w:rsid w:val="31457FBA"/>
    <w:rsid w:val="315619EE"/>
    <w:rsid w:val="315C449C"/>
    <w:rsid w:val="316C2770"/>
    <w:rsid w:val="318A151B"/>
    <w:rsid w:val="319C2EC7"/>
    <w:rsid w:val="31B82709"/>
    <w:rsid w:val="31BC0EDD"/>
    <w:rsid w:val="31BC5FAB"/>
    <w:rsid w:val="31C43381"/>
    <w:rsid w:val="31D05482"/>
    <w:rsid w:val="32044DE7"/>
    <w:rsid w:val="32127643"/>
    <w:rsid w:val="32152719"/>
    <w:rsid w:val="3219116F"/>
    <w:rsid w:val="32400B34"/>
    <w:rsid w:val="324711D9"/>
    <w:rsid w:val="327266B7"/>
    <w:rsid w:val="329E6876"/>
    <w:rsid w:val="32B55019"/>
    <w:rsid w:val="32C207D0"/>
    <w:rsid w:val="33027CCB"/>
    <w:rsid w:val="330938A4"/>
    <w:rsid w:val="33155247"/>
    <w:rsid w:val="33233DD1"/>
    <w:rsid w:val="333015F2"/>
    <w:rsid w:val="3333558C"/>
    <w:rsid w:val="333357B9"/>
    <w:rsid w:val="33377599"/>
    <w:rsid w:val="334B6320"/>
    <w:rsid w:val="33523D87"/>
    <w:rsid w:val="336015CA"/>
    <w:rsid w:val="337C5CE2"/>
    <w:rsid w:val="338A2D0F"/>
    <w:rsid w:val="338E0E25"/>
    <w:rsid w:val="33AD5DE2"/>
    <w:rsid w:val="33D934D4"/>
    <w:rsid w:val="33ED353E"/>
    <w:rsid w:val="33F46302"/>
    <w:rsid w:val="33F9005E"/>
    <w:rsid w:val="33FE2F6A"/>
    <w:rsid w:val="340E07E5"/>
    <w:rsid w:val="34235BF7"/>
    <w:rsid w:val="34776090"/>
    <w:rsid w:val="347F7F90"/>
    <w:rsid w:val="34845FFE"/>
    <w:rsid w:val="34AA7269"/>
    <w:rsid w:val="34D44E08"/>
    <w:rsid w:val="34F81D93"/>
    <w:rsid w:val="353108A9"/>
    <w:rsid w:val="35407898"/>
    <w:rsid w:val="356332EE"/>
    <w:rsid w:val="35795A7A"/>
    <w:rsid w:val="358C5FA8"/>
    <w:rsid w:val="35AF07FC"/>
    <w:rsid w:val="35C15DF1"/>
    <w:rsid w:val="35C264DF"/>
    <w:rsid w:val="35E0255E"/>
    <w:rsid w:val="35F04BB4"/>
    <w:rsid w:val="35F97933"/>
    <w:rsid w:val="35FD643B"/>
    <w:rsid w:val="36051466"/>
    <w:rsid w:val="36074A7F"/>
    <w:rsid w:val="360761AC"/>
    <w:rsid w:val="36111D60"/>
    <w:rsid w:val="362E15BF"/>
    <w:rsid w:val="36344C0B"/>
    <w:rsid w:val="3645480F"/>
    <w:rsid w:val="36466CA9"/>
    <w:rsid w:val="364735C6"/>
    <w:rsid w:val="368419DB"/>
    <w:rsid w:val="36923549"/>
    <w:rsid w:val="36AA4385"/>
    <w:rsid w:val="36B00C10"/>
    <w:rsid w:val="36B75FBF"/>
    <w:rsid w:val="36B76963"/>
    <w:rsid w:val="36B84BBF"/>
    <w:rsid w:val="36BA564C"/>
    <w:rsid w:val="36BD0C45"/>
    <w:rsid w:val="36D1363F"/>
    <w:rsid w:val="371E2415"/>
    <w:rsid w:val="3746697E"/>
    <w:rsid w:val="374B6D81"/>
    <w:rsid w:val="37767CBC"/>
    <w:rsid w:val="37A3153C"/>
    <w:rsid w:val="37AD2B24"/>
    <w:rsid w:val="37B3220F"/>
    <w:rsid w:val="37B62948"/>
    <w:rsid w:val="37BA05D2"/>
    <w:rsid w:val="37C356D1"/>
    <w:rsid w:val="37C37D60"/>
    <w:rsid w:val="37CC4FCD"/>
    <w:rsid w:val="37D03612"/>
    <w:rsid w:val="37E00298"/>
    <w:rsid w:val="37E201D0"/>
    <w:rsid w:val="37E65A75"/>
    <w:rsid w:val="38141F03"/>
    <w:rsid w:val="382724FA"/>
    <w:rsid w:val="383271EC"/>
    <w:rsid w:val="38411EEB"/>
    <w:rsid w:val="38811DB6"/>
    <w:rsid w:val="3894402F"/>
    <w:rsid w:val="38B302F9"/>
    <w:rsid w:val="38C15AA9"/>
    <w:rsid w:val="38DB4FAA"/>
    <w:rsid w:val="38E73B11"/>
    <w:rsid w:val="38F105F4"/>
    <w:rsid w:val="38F12CD3"/>
    <w:rsid w:val="38F26DE2"/>
    <w:rsid w:val="38F94775"/>
    <w:rsid w:val="39193AB9"/>
    <w:rsid w:val="392971ED"/>
    <w:rsid w:val="39325651"/>
    <w:rsid w:val="39503DF1"/>
    <w:rsid w:val="39523981"/>
    <w:rsid w:val="39583F58"/>
    <w:rsid w:val="39613471"/>
    <w:rsid w:val="396F6A8E"/>
    <w:rsid w:val="397817E5"/>
    <w:rsid w:val="397A778A"/>
    <w:rsid w:val="39847693"/>
    <w:rsid w:val="399764F9"/>
    <w:rsid w:val="39BD6E1B"/>
    <w:rsid w:val="39C15F74"/>
    <w:rsid w:val="39D6110F"/>
    <w:rsid w:val="3A271FA0"/>
    <w:rsid w:val="3A2B23A7"/>
    <w:rsid w:val="3A5066FA"/>
    <w:rsid w:val="3A5B25EF"/>
    <w:rsid w:val="3A5F44D3"/>
    <w:rsid w:val="3A616D13"/>
    <w:rsid w:val="3A872856"/>
    <w:rsid w:val="3AC0708D"/>
    <w:rsid w:val="3AD526F1"/>
    <w:rsid w:val="3ADC2B95"/>
    <w:rsid w:val="3B00137F"/>
    <w:rsid w:val="3B04378B"/>
    <w:rsid w:val="3B2F45E4"/>
    <w:rsid w:val="3B3763D1"/>
    <w:rsid w:val="3B377F33"/>
    <w:rsid w:val="3B681B8A"/>
    <w:rsid w:val="3B7A6DD7"/>
    <w:rsid w:val="3B804F23"/>
    <w:rsid w:val="3B9F6A1B"/>
    <w:rsid w:val="3BA87A17"/>
    <w:rsid w:val="3BAE764C"/>
    <w:rsid w:val="3BD4470C"/>
    <w:rsid w:val="3BD44ADD"/>
    <w:rsid w:val="3BEC0B52"/>
    <w:rsid w:val="3BF41C87"/>
    <w:rsid w:val="3C066867"/>
    <w:rsid w:val="3C2F6E1E"/>
    <w:rsid w:val="3C4D0AAA"/>
    <w:rsid w:val="3C4F64BA"/>
    <w:rsid w:val="3C604CE8"/>
    <w:rsid w:val="3C810CC7"/>
    <w:rsid w:val="3C9838DB"/>
    <w:rsid w:val="3CC70342"/>
    <w:rsid w:val="3CCA4C4F"/>
    <w:rsid w:val="3CD921B8"/>
    <w:rsid w:val="3CDA245A"/>
    <w:rsid w:val="3CE308D4"/>
    <w:rsid w:val="3CE8106F"/>
    <w:rsid w:val="3D035378"/>
    <w:rsid w:val="3D0B656F"/>
    <w:rsid w:val="3D1B6F44"/>
    <w:rsid w:val="3D1E06B7"/>
    <w:rsid w:val="3D3F65C6"/>
    <w:rsid w:val="3D514E60"/>
    <w:rsid w:val="3D554EEA"/>
    <w:rsid w:val="3D5835D6"/>
    <w:rsid w:val="3D640675"/>
    <w:rsid w:val="3D640B45"/>
    <w:rsid w:val="3D7A14A2"/>
    <w:rsid w:val="3D80785C"/>
    <w:rsid w:val="3DBD30FA"/>
    <w:rsid w:val="3DDD479F"/>
    <w:rsid w:val="3DEE2F5C"/>
    <w:rsid w:val="3DF36CD1"/>
    <w:rsid w:val="3E1A36D6"/>
    <w:rsid w:val="3E2D76B9"/>
    <w:rsid w:val="3E2E756B"/>
    <w:rsid w:val="3E337B3E"/>
    <w:rsid w:val="3E722108"/>
    <w:rsid w:val="3E8976D9"/>
    <w:rsid w:val="3E9F0985"/>
    <w:rsid w:val="3EA0645E"/>
    <w:rsid w:val="3EA419DB"/>
    <w:rsid w:val="3EBC555F"/>
    <w:rsid w:val="3EC20933"/>
    <w:rsid w:val="3EC67486"/>
    <w:rsid w:val="3EDA0523"/>
    <w:rsid w:val="3EE019A6"/>
    <w:rsid w:val="3EFD1269"/>
    <w:rsid w:val="3F0C47A7"/>
    <w:rsid w:val="3F0F1848"/>
    <w:rsid w:val="3F5B638A"/>
    <w:rsid w:val="3F5F763B"/>
    <w:rsid w:val="3F6A121D"/>
    <w:rsid w:val="3F7C0903"/>
    <w:rsid w:val="3F8E6FA5"/>
    <w:rsid w:val="3FB44A1C"/>
    <w:rsid w:val="3FC24A2C"/>
    <w:rsid w:val="3FC3275A"/>
    <w:rsid w:val="400D0872"/>
    <w:rsid w:val="401D1486"/>
    <w:rsid w:val="405D7862"/>
    <w:rsid w:val="406916B3"/>
    <w:rsid w:val="406E6E70"/>
    <w:rsid w:val="40764976"/>
    <w:rsid w:val="407A6407"/>
    <w:rsid w:val="40810BB6"/>
    <w:rsid w:val="40882F97"/>
    <w:rsid w:val="40B47C7B"/>
    <w:rsid w:val="40D71E10"/>
    <w:rsid w:val="410C0387"/>
    <w:rsid w:val="41517F47"/>
    <w:rsid w:val="41A052D0"/>
    <w:rsid w:val="41B56BFE"/>
    <w:rsid w:val="41EA05D1"/>
    <w:rsid w:val="4200449D"/>
    <w:rsid w:val="4200548E"/>
    <w:rsid w:val="421E53B6"/>
    <w:rsid w:val="422148FE"/>
    <w:rsid w:val="423A3BCC"/>
    <w:rsid w:val="424E57D2"/>
    <w:rsid w:val="425B60BE"/>
    <w:rsid w:val="42911BE5"/>
    <w:rsid w:val="42A805F2"/>
    <w:rsid w:val="42B26C49"/>
    <w:rsid w:val="42B8474A"/>
    <w:rsid w:val="42F0009A"/>
    <w:rsid w:val="43380F99"/>
    <w:rsid w:val="433A6FE6"/>
    <w:rsid w:val="433B127C"/>
    <w:rsid w:val="434616D3"/>
    <w:rsid w:val="43480868"/>
    <w:rsid w:val="4350713C"/>
    <w:rsid w:val="436653E0"/>
    <w:rsid w:val="43A00867"/>
    <w:rsid w:val="43AF4F06"/>
    <w:rsid w:val="43BD5FBA"/>
    <w:rsid w:val="43C4431A"/>
    <w:rsid w:val="43D12241"/>
    <w:rsid w:val="43E03BDE"/>
    <w:rsid w:val="43E201C2"/>
    <w:rsid w:val="43E32A0B"/>
    <w:rsid w:val="43EB1B29"/>
    <w:rsid w:val="43F13A73"/>
    <w:rsid w:val="44382086"/>
    <w:rsid w:val="443A7B6D"/>
    <w:rsid w:val="44403649"/>
    <w:rsid w:val="444165C6"/>
    <w:rsid w:val="449E26AF"/>
    <w:rsid w:val="449F1289"/>
    <w:rsid w:val="44B951CC"/>
    <w:rsid w:val="44B95A3B"/>
    <w:rsid w:val="44CD14E0"/>
    <w:rsid w:val="44F20B0B"/>
    <w:rsid w:val="44F36336"/>
    <w:rsid w:val="4501631C"/>
    <w:rsid w:val="45260AD8"/>
    <w:rsid w:val="452C3D15"/>
    <w:rsid w:val="452E5F4C"/>
    <w:rsid w:val="45494444"/>
    <w:rsid w:val="454E2EFE"/>
    <w:rsid w:val="45507C63"/>
    <w:rsid w:val="45612018"/>
    <w:rsid w:val="458946E9"/>
    <w:rsid w:val="45970940"/>
    <w:rsid w:val="45A207D7"/>
    <w:rsid w:val="45A47C0E"/>
    <w:rsid w:val="45B76BBA"/>
    <w:rsid w:val="45C32F97"/>
    <w:rsid w:val="45C72F44"/>
    <w:rsid w:val="45F75872"/>
    <w:rsid w:val="46080B16"/>
    <w:rsid w:val="46290511"/>
    <w:rsid w:val="463472FB"/>
    <w:rsid w:val="46577FD6"/>
    <w:rsid w:val="466248F0"/>
    <w:rsid w:val="46AB342C"/>
    <w:rsid w:val="46D955A7"/>
    <w:rsid w:val="47025C1D"/>
    <w:rsid w:val="470C32B1"/>
    <w:rsid w:val="47133957"/>
    <w:rsid w:val="471A48B3"/>
    <w:rsid w:val="47234105"/>
    <w:rsid w:val="4723441D"/>
    <w:rsid w:val="47337E96"/>
    <w:rsid w:val="473B1B07"/>
    <w:rsid w:val="47585C96"/>
    <w:rsid w:val="47622F99"/>
    <w:rsid w:val="47705E5F"/>
    <w:rsid w:val="47A07E0C"/>
    <w:rsid w:val="47AC4FF6"/>
    <w:rsid w:val="47C603E8"/>
    <w:rsid w:val="47DD7200"/>
    <w:rsid w:val="4800349E"/>
    <w:rsid w:val="481A1169"/>
    <w:rsid w:val="483507D3"/>
    <w:rsid w:val="48505C33"/>
    <w:rsid w:val="486E7F5B"/>
    <w:rsid w:val="4870272E"/>
    <w:rsid w:val="48845BC5"/>
    <w:rsid w:val="48B46707"/>
    <w:rsid w:val="48FA4737"/>
    <w:rsid w:val="49373532"/>
    <w:rsid w:val="49395BCD"/>
    <w:rsid w:val="494811E1"/>
    <w:rsid w:val="49694779"/>
    <w:rsid w:val="497C7F85"/>
    <w:rsid w:val="497E373C"/>
    <w:rsid w:val="49B9621C"/>
    <w:rsid w:val="49BE447F"/>
    <w:rsid w:val="49D2396D"/>
    <w:rsid w:val="49DC7715"/>
    <w:rsid w:val="49DD633C"/>
    <w:rsid w:val="4A023139"/>
    <w:rsid w:val="4A1E05DC"/>
    <w:rsid w:val="4A243948"/>
    <w:rsid w:val="4A2606BE"/>
    <w:rsid w:val="4A3315AC"/>
    <w:rsid w:val="4A3F0B72"/>
    <w:rsid w:val="4A487B75"/>
    <w:rsid w:val="4A5B6857"/>
    <w:rsid w:val="4A7862B5"/>
    <w:rsid w:val="4A7B576F"/>
    <w:rsid w:val="4AB72EEA"/>
    <w:rsid w:val="4AB87339"/>
    <w:rsid w:val="4ABA669A"/>
    <w:rsid w:val="4ABC08EE"/>
    <w:rsid w:val="4ABC2C3A"/>
    <w:rsid w:val="4ACA59A7"/>
    <w:rsid w:val="4ACC3A63"/>
    <w:rsid w:val="4AD93045"/>
    <w:rsid w:val="4AF561A9"/>
    <w:rsid w:val="4AFA304E"/>
    <w:rsid w:val="4B166E20"/>
    <w:rsid w:val="4B443410"/>
    <w:rsid w:val="4B5C290D"/>
    <w:rsid w:val="4B64781A"/>
    <w:rsid w:val="4B651A71"/>
    <w:rsid w:val="4B667F97"/>
    <w:rsid w:val="4B842CFD"/>
    <w:rsid w:val="4B8E2620"/>
    <w:rsid w:val="4B933132"/>
    <w:rsid w:val="4BAD385B"/>
    <w:rsid w:val="4BDC451E"/>
    <w:rsid w:val="4BE20432"/>
    <w:rsid w:val="4C465562"/>
    <w:rsid w:val="4C471BA7"/>
    <w:rsid w:val="4C4A0649"/>
    <w:rsid w:val="4C4C410D"/>
    <w:rsid w:val="4C7E5ECA"/>
    <w:rsid w:val="4C876AA5"/>
    <w:rsid w:val="4CBC60BD"/>
    <w:rsid w:val="4CC550F8"/>
    <w:rsid w:val="4CF4338D"/>
    <w:rsid w:val="4CFD7656"/>
    <w:rsid w:val="4D0E00FB"/>
    <w:rsid w:val="4D176606"/>
    <w:rsid w:val="4D2838A7"/>
    <w:rsid w:val="4D4051A4"/>
    <w:rsid w:val="4D47444B"/>
    <w:rsid w:val="4D512281"/>
    <w:rsid w:val="4D52465E"/>
    <w:rsid w:val="4D754351"/>
    <w:rsid w:val="4D7D69C0"/>
    <w:rsid w:val="4DEC4FB0"/>
    <w:rsid w:val="4DF75391"/>
    <w:rsid w:val="4E075D8A"/>
    <w:rsid w:val="4E085A4A"/>
    <w:rsid w:val="4E1103A2"/>
    <w:rsid w:val="4E6A3A66"/>
    <w:rsid w:val="4E820AE4"/>
    <w:rsid w:val="4EC00FAD"/>
    <w:rsid w:val="4EE66F35"/>
    <w:rsid w:val="4EE75DB2"/>
    <w:rsid w:val="4EF80252"/>
    <w:rsid w:val="4F036846"/>
    <w:rsid w:val="4F0467B6"/>
    <w:rsid w:val="4F144B0F"/>
    <w:rsid w:val="4F372219"/>
    <w:rsid w:val="4F486C0A"/>
    <w:rsid w:val="4F561C4B"/>
    <w:rsid w:val="4F680CDB"/>
    <w:rsid w:val="4F786766"/>
    <w:rsid w:val="4F924447"/>
    <w:rsid w:val="4F9843DC"/>
    <w:rsid w:val="4F9F4696"/>
    <w:rsid w:val="4FA217D3"/>
    <w:rsid w:val="4FAE2DC1"/>
    <w:rsid w:val="4FC21845"/>
    <w:rsid w:val="4FC62A8C"/>
    <w:rsid w:val="4FE20F0D"/>
    <w:rsid w:val="4FE51552"/>
    <w:rsid w:val="4FE56933"/>
    <w:rsid w:val="4FF56E86"/>
    <w:rsid w:val="50020A13"/>
    <w:rsid w:val="5003330D"/>
    <w:rsid w:val="50194746"/>
    <w:rsid w:val="50203E7C"/>
    <w:rsid w:val="502E5B28"/>
    <w:rsid w:val="50377D6A"/>
    <w:rsid w:val="503A1776"/>
    <w:rsid w:val="50504C4B"/>
    <w:rsid w:val="509674D4"/>
    <w:rsid w:val="509C6E7C"/>
    <w:rsid w:val="50A24223"/>
    <w:rsid w:val="50AD52BD"/>
    <w:rsid w:val="50B366C5"/>
    <w:rsid w:val="50B96C02"/>
    <w:rsid w:val="50D1103C"/>
    <w:rsid w:val="50D55552"/>
    <w:rsid w:val="50E063E5"/>
    <w:rsid w:val="50EC74AB"/>
    <w:rsid w:val="5112348A"/>
    <w:rsid w:val="512B3798"/>
    <w:rsid w:val="51416BEB"/>
    <w:rsid w:val="515B11C4"/>
    <w:rsid w:val="5162104E"/>
    <w:rsid w:val="51A259B5"/>
    <w:rsid w:val="51BF78DE"/>
    <w:rsid w:val="51F1017B"/>
    <w:rsid w:val="52053BBF"/>
    <w:rsid w:val="52073E6C"/>
    <w:rsid w:val="521B4B3B"/>
    <w:rsid w:val="522B6FE2"/>
    <w:rsid w:val="52345AFF"/>
    <w:rsid w:val="5244531B"/>
    <w:rsid w:val="528D254B"/>
    <w:rsid w:val="528F764D"/>
    <w:rsid w:val="52BB5524"/>
    <w:rsid w:val="52BD70B1"/>
    <w:rsid w:val="52D435A9"/>
    <w:rsid w:val="52E47FD2"/>
    <w:rsid w:val="52EF6D40"/>
    <w:rsid w:val="53A039CC"/>
    <w:rsid w:val="53A1505A"/>
    <w:rsid w:val="53D93F3E"/>
    <w:rsid w:val="53ED4489"/>
    <w:rsid w:val="54063E08"/>
    <w:rsid w:val="543437E8"/>
    <w:rsid w:val="54566323"/>
    <w:rsid w:val="546A52F0"/>
    <w:rsid w:val="54957BAE"/>
    <w:rsid w:val="54A81362"/>
    <w:rsid w:val="54B74615"/>
    <w:rsid w:val="54DD666C"/>
    <w:rsid w:val="54E10FC7"/>
    <w:rsid w:val="54EB1227"/>
    <w:rsid w:val="54F171F9"/>
    <w:rsid w:val="54F57175"/>
    <w:rsid w:val="54F70277"/>
    <w:rsid w:val="54F73313"/>
    <w:rsid w:val="54F80955"/>
    <w:rsid w:val="54F96E83"/>
    <w:rsid w:val="54FD0E3B"/>
    <w:rsid w:val="551E7CC6"/>
    <w:rsid w:val="553B0A80"/>
    <w:rsid w:val="554F3FF4"/>
    <w:rsid w:val="555170A7"/>
    <w:rsid w:val="5562274C"/>
    <w:rsid w:val="5587536D"/>
    <w:rsid w:val="559B174B"/>
    <w:rsid w:val="559F5269"/>
    <w:rsid w:val="55A462F3"/>
    <w:rsid w:val="55AB3A4D"/>
    <w:rsid w:val="55B86093"/>
    <w:rsid w:val="55CD6E4A"/>
    <w:rsid w:val="55CE0CF4"/>
    <w:rsid w:val="55F403D6"/>
    <w:rsid w:val="55F64D5F"/>
    <w:rsid w:val="561E539C"/>
    <w:rsid w:val="562B7C7F"/>
    <w:rsid w:val="566412A3"/>
    <w:rsid w:val="56A43EE5"/>
    <w:rsid w:val="56A91334"/>
    <w:rsid w:val="56B22A9C"/>
    <w:rsid w:val="56C95FA9"/>
    <w:rsid w:val="56D8766E"/>
    <w:rsid w:val="56ED382F"/>
    <w:rsid w:val="57003E96"/>
    <w:rsid w:val="5759744E"/>
    <w:rsid w:val="576F7271"/>
    <w:rsid w:val="57904270"/>
    <w:rsid w:val="57AC706E"/>
    <w:rsid w:val="57B63C82"/>
    <w:rsid w:val="57B72A76"/>
    <w:rsid w:val="57B83A58"/>
    <w:rsid w:val="57C3426C"/>
    <w:rsid w:val="57C90C66"/>
    <w:rsid w:val="57CE1F93"/>
    <w:rsid w:val="581C4626"/>
    <w:rsid w:val="582513AB"/>
    <w:rsid w:val="583E2985"/>
    <w:rsid w:val="584D5F52"/>
    <w:rsid w:val="58504EDA"/>
    <w:rsid w:val="586B5D0C"/>
    <w:rsid w:val="58796B0F"/>
    <w:rsid w:val="588743D1"/>
    <w:rsid w:val="5887701A"/>
    <w:rsid w:val="589A1198"/>
    <w:rsid w:val="58A263B4"/>
    <w:rsid w:val="58B759CB"/>
    <w:rsid w:val="58BB7969"/>
    <w:rsid w:val="58BC207A"/>
    <w:rsid w:val="58E125FF"/>
    <w:rsid w:val="58E23958"/>
    <w:rsid w:val="58E9099D"/>
    <w:rsid w:val="58F61F6A"/>
    <w:rsid w:val="593F3715"/>
    <w:rsid w:val="59990C47"/>
    <w:rsid w:val="599A0F67"/>
    <w:rsid w:val="59B96879"/>
    <w:rsid w:val="59C0439F"/>
    <w:rsid w:val="59C313C6"/>
    <w:rsid w:val="59E44263"/>
    <w:rsid w:val="5A110DDF"/>
    <w:rsid w:val="5A26789A"/>
    <w:rsid w:val="5A2825F4"/>
    <w:rsid w:val="5A2E4B5D"/>
    <w:rsid w:val="5A4331EE"/>
    <w:rsid w:val="5A68664C"/>
    <w:rsid w:val="5A702935"/>
    <w:rsid w:val="5A9F2F96"/>
    <w:rsid w:val="5AA12940"/>
    <w:rsid w:val="5ABD33B7"/>
    <w:rsid w:val="5ABE2233"/>
    <w:rsid w:val="5AF16334"/>
    <w:rsid w:val="5B0D21A4"/>
    <w:rsid w:val="5B21304B"/>
    <w:rsid w:val="5B2D0678"/>
    <w:rsid w:val="5B351FF1"/>
    <w:rsid w:val="5B3F16B2"/>
    <w:rsid w:val="5BCA3C18"/>
    <w:rsid w:val="5BD32B01"/>
    <w:rsid w:val="5BD77DCC"/>
    <w:rsid w:val="5BDF5D95"/>
    <w:rsid w:val="5BF3205E"/>
    <w:rsid w:val="5BFE7528"/>
    <w:rsid w:val="5C2338DE"/>
    <w:rsid w:val="5C2A2F96"/>
    <w:rsid w:val="5C6679F7"/>
    <w:rsid w:val="5C737CEF"/>
    <w:rsid w:val="5C8E5B99"/>
    <w:rsid w:val="5C9151A8"/>
    <w:rsid w:val="5CE7126A"/>
    <w:rsid w:val="5D0559D4"/>
    <w:rsid w:val="5D2C0425"/>
    <w:rsid w:val="5D3D1BD4"/>
    <w:rsid w:val="5D4E2759"/>
    <w:rsid w:val="5D817965"/>
    <w:rsid w:val="5D9B410E"/>
    <w:rsid w:val="5DBB7546"/>
    <w:rsid w:val="5E2467F1"/>
    <w:rsid w:val="5E3014F9"/>
    <w:rsid w:val="5E4B2DBD"/>
    <w:rsid w:val="5E565FEC"/>
    <w:rsid w:val="5E5C7DCE"/>
    <w:rsid w:val="5E5D1F84"/>
    <w:rsid w:val="5EAF5C4C"/>
    <w:rsid w:val="5EB610E5"/>
    <w:rsid w:val="5EC55262"/>
    <w:rsid w:val="5EC713B4"/>
    <w:rsid w:val="5ECA2749"/>
    <w:rsid w:val="5ED242D7"/>
    <w:rsid w:val="5ED66942"/>
    <w:rsid w:val="5EF54E28"/>
    <w:rsid w:val="5F0C3C7C"/>
    <w:rsid w:val="5F107AA7"/>
    <w:rsid w:val="5F1A2B43"/>
    <w:rsid w:val="5F287936"/>
    <w:rsid w:val="5F2C3A81"/>
    <w:rsid w:val="5F4F429F"/>
    <w:rsid w:val="5F712028"/>
    <w:rsid w:val="5FB837BB"/>
    <w:rsid w:val="5FCA5759"/>
    <w:rsid w:val="5FDF2FCB"/>
    <w:rsid w:val="5FF028C8"/>
    <w:rsid w:val="5FFE4F2A"/>
    <w:rsid w:val="601E1B69"/>
    <w:rsid w:val="602626A4"/>
    <w:rsid w:val="60425E83"/>
    <w:rsid w:val="6044472A"/>
    <w:rsid w:val="60447488"/>
    <w:rsid w:val="604957C6"/>
    <w:rsid w:val="60632948"/>
    <w:rsid w:val="60870E0E"/>
    <w:rsid w:val="60A72382"/>
    <w:rsid w:val="60AE772B"/>
    <w:rsid w:val="60C64A9A"/>
    <w:rsid w:val="60CC405A"/>
    <w:rsid w:val="60CC714A"/>
    <w:rsid w:val="60D5052A"/>
    <w:rsid w:val="60DA3754"/>
    <w:rsid w:val="60DD41F3"/>
    <w:rsid w:val="60FC1866"/>
    <w:rsid w:val="61006EB0"/>
    <w:rsid w:val="61054F00"/>
    <w:rsid w:val="61253B20"/>
    <w:rsid w:val="61867324"/>
    <w:rsid w:val="61B17F98"/>
    <w:rsid w:val="61C50E60"/>
    <w:rsid w:val="61C727FE"/>
    <w:rsid w:val="61C80203"/>
    <w:rsid w:val="61DA58CB"/>
    <w:rsid w:val="61E215D8"/>
    <w:rsid w:val="61FB6749"/>
    <w:rsid w:val="621B3775"/>
    <w:rsid w:val="622A7A66"/>
    <w:rsid w:val="62364782"/>
    <w:rsid w:val="62690A4F"/>
    <w:rsid w:val="62694DD8"/>
    <w:rsid w:val="626E5911"/>
    <w:rsid w:val="628673A9"/>
    <w:rsid w:val="62896A4A"/>
    <w:rsid w:val="628D638D"/>
    <w:rsid w:val="62940676"/>
    <w:rsid w:val="62973365"/>
    <w:rsid w:val="629D790E"/>
    <w:rsid w:val="629E3742"/>
    <w:rsid w:val="62AE6F9C"/>
    <w:rsid w:val="62DA1901"/>
    <w:rsid w:val="62DE337B"/>
    <w:rsid w:val="62F020A0"/>
    <w:rsid w:val="63296148"/>
    <w:rsid w:val="634F5CB8"/>
    <w:rsid w:val="63603120"/>
    <w:rsid w:val="63641DB6"/>
    <w:rsid w:val="63695900"/>
    <w:rsid w:val="636E04B8"/>
    <w:rsid w:val="63892AC9"/>
    <w:rsid w:val="6394356A"/>
    <w:rsid w:val="63A34623"/>
    <w:rsid w:val="63B418C5"/>
    <w:rsid w:val="63BC6F13"/>
    <w:rsid w:val="63C61B2C"/>
    <w:rsid w:val="63C913ED"/>
    <w:rsid w:val="63D40BE9"/>
    <w:rsid w:val="640D02EF"/>
    <w:rsid w:val="64102431"/>
    <w:rsid w:val="6416019A"/>
    <w:rsid w:val="643D2985"/>
    <w:rsid w:val="644C1EE9"/>
    <w:rsid w:val="644F2494"/>
    <w:rsid w:val="64704AFB"/>
    <w:rsid w:val="64761303"/>
    <w:rsid w:val="648F271C"/>
    <w:rsid w:val="64A5243A"/>
    <w:rsid w:val="64C47469"/>
    <w:rsid w:val="64CE445A"/>
    <w:rsid w:val="64CF3168"/>
    <w:rsid w:val="64EC2318"/>
    <w:rsid w:val="64F531DE"/>
    <w:rsid w:val="651A006D"/>
    <w:rsid w:val="65333FEC"/>
    <w:rsid w:val="65373578"/>
    <w:rsid w:val="65384473"/>
    <w:rsid w:val="65667FDE"/>
    <w:rsid w:val="65C169E2"/>
    <w:rsid w:val="65E92EE0"/>
    <w:rsid w:val="65EE4B40"/>
    <w:rsid w:val="6622590D"/>
    <w:rsid w:val="66277A8B"/>
    <w:rsid w:val="66333D2C"/>
    <w:rsid w:val="66353332"/>
    <w:rsid w:val="66591648"/>
    <w:rsid w:val="667B4715"/>
    <w:rsid w:val="668B14EF"/>
    <w:rsid w:val="66A72964"/>
    <w:rsid w:val="66BD0C19"/>
    <w:rsid w:val="66C7062C"/>
    <w:rsid w:val="66CA2A97"/>
    <w:rsid w:val="66CF2DEE"/>
    <w:rsid w:val="671F124A"/>
    <w:rsid w:val="672759BA"/>
    <w:rsid w:val="67287E96"/>
    <w:rsid w:val="672D3569"/>
    <w:rsid w:val="67374850"/>
    <w:rsid w:val="67530FFE"/>
    <w:rsid w:val="677A33C6"/>
    <w:rsid w:val="67870914"/>
    <w:rsid w:val="67A74E48"/>
    <w:rsid w:val="67B077B5"/>
    <w:rsid w:val="681F6961"/>
    <w:rsid w:val="68230833"/>
    <w:rsid w:val="682455FD"/>
    <w:rsid w:val="684D10B5"/>
    <w:rsid w:val="68513CB8"/>
    <w:rsid w:val="685D0134"/>
    <w:rsid w:val="685D182B"/>
    <w:rsid w:val="68610A2F"/>
    <w:rsid w:val="68673B74"/>
    <w:rsid w:val="68805514"/>
    <w:rsid w:val="68924A8A"/>
    <w:rsid w:val="68983125"/>
    <w:rsid w:val="68B24298"/>
    <w:rsid w:val="68B56590"/>
    <w:rsid w:val="68DE3C93"/>
    <w:rsid w:val="6901169C"/>
    <w:rsid w:val="690A5643"/>
    <w:rsid w:val="6910593A"/>
    <w:rsid w:val="692D0E1E"/>
    <w:rsid w:val="692E4DC5"/>
    <w:rsid w:val="69316E2F"/>
    <w:rsid w:val="693C4B3B"/>
    <w:rsid w:val="694E2071"/>
    <w:rsid w:val="694F10AB"/>
    <w:rsid w:val="69766163"/>
    <w:rsid w:val="69787EA2"/>
    <w:rsid w:val="697A3B33"/>
    <w:rsid w:val="69800353"/>
    <w:rsid w:val="69B76167"/>
    <w:rsid w:val="69CD55B4"/>
    <w:rsid w:val="69D44760"/>
    <w:rsid w:val="6A126ACE"/>
    <w:rsid w:val="6A1B313B"/>
    <w:rsid w:val="6A362708"/>
    <w:rsid w:val="6A397588"/>
    <w:rsid w:val="6A520EC7"/>
    <w:rsid w:val="6A5D24A5"/>
    <w:rsid w:val="6A6D5B9F"/>
    <w:rsid w:val="6AC42941"/>
    <w:rsid w:val="6ACB218E"/>
    <w:rsid w:val="6AF87E20"/>
    <w:rsid w:val="6B322639"/>
    <w:rsid w:val="6B375493"/>
    <w:rsid w:val="6B3B0433"/>
    <w:rsid w:val="6B4E2F6B"/>
    <w:rsid w:val="6B633636"/>
    <w:rsid w:val="6B860939"/>
    <w:rsid w:val="6B9C59A6"/>
    <w:rsid w:val="6BAB2818"/>
    <w:rsid w:val="6BB50243"/>
    <w:rsid w:val="6BEA47D7"/>
    <w:rsid w:val="6BF00E9C"/>
    <w:rsid w:val="6BF12589"/>
    <w:rsid w:val="6C1120A0"/>
    <w:rsid w:val="6C133AE8"/>
    <w:rsid w:val="6C2532F6"/>
    <w:rsid w:val="6C2B3107"/>
    <w:rsid w:val="6C2E7E64"/>
    <w:rsid w:val="6C322CB0"/>
    <w:rsid w:val="6C587640"/>
    <w:rsid w:val="6C636C38"/>
    <w:rsid w:val="6CC11F8A"/>
    <w:rsid w:val="6CC13481"/>
    <w:rsid w:val="6CD14A7D"/>
    <w:rsid w:val="6CDB59C5"/>
    <w:rsid w:val="6D091893"/>
    <w:rsid w:val="6D0A7FDC"/>
    <w:rsid w:val="6D4141D9"/>
    <w:rsid w:val="6D4F59A1"/>
    <w:rsid w:val="6D77796F"/>
    <w:rsid w:val="6DB34098"/>
    <w:rsid w:val="6DB545B6"/>
    <w:rsid w:val="6DB74935"/>
    <w:rsid w:val="6DE02FB4"/>
    <w:rsid w:val="6E0C256A"/>
    <w:rsid w:val="6E104869"/>
    <w:rsid w:val="6E1516FB"/>
    <w:rsid w:val="6E514CED"/>
    <w:rsid w:val="6E551F26"/>
    <w:rsid w:val="6E732847"/>
    <w:rsid w:val="6EB563D5"/>
    <w:rsid w:val="6EBC0360"/>
    <w:rsid w:val="6EC16B2B"/>
    <w:rsid w:val="6EC90F1E"/>
    <w:rsid w:val="6ECF3049"/>
    <w:rsid w:val="6ED92677"/>
    <w:rsid w:val="6EE31699"/>
    <w:rsid w:val="6EFE5514"/>
    <w:rsid w:val="6F0131AB"/>
    <w:rsid w:val="6F225983"/>
    <w:rsid w:val="6F60681E"/>
    <w:rsid w:val="6F812B58"/>
    <w:rsid w:val="6FC74B67"/>
    <w:rsid w:val="6FE54F74"/>
    <w:rsid w:val="6FFC5590"/>
    <w:rsid w:val="70096D11"/>
    <w:rsid w:val="704663D5"/>
    <w:rsid w:val="706719D0"/>
    <w:rsid w:val="706D1DD0"/>
    <w:rsid w:val="70856B87"/>
    <w:rsid w:val="708C1582"/>
    <w:rsid w:val="70AE22AE"/>
    <w:rsid w:val="70D527EE"/>
    <w:rsid w:val="70FB0450"/>
    <w:rsid w:val="71030A7E"/>
    <w:rsid w:val="712F0DDB"/>
    <w:rsid w:val="71380A69"/>
    <w:rsid w:val="715B5300"/>
    <w:rsid w:val="71744E78"/>
    <w:rsid w:val="71D27F8A"/>
    <w:rsid w:val="71E30F0C"/>
    <w:rsid w:val="720C7DF1"/>
    <w:rsid w:val="721868BF"/>
    <w:rsid w:val="721F7C8B"/>
    <w:rsid w:val="72285DBC"/>
    <w:rsid w:val="722A73B7"/>
    <w:rsid w:val="722F044F"/>
    <w:rsid w:val="72553024"/>
    <w:rsid w:val="72562125"/>
    <w:rsid w:val="72625EA1"/>
    <w:rsid w:val="72891AE6"/>
    <w:rsid w:val="72A01A7D"/>
    <w:rsid w:val="72B5685D"/>
    <w:rsid w:val="72E25768"/>
    <w:rsid w:val="73122968"/>
    <w:rsid w:val="73191907"/>
    <w:rsid w:val="731B2E2B"/>
    <w:rsid w:val="731F5D5E"/>
    <w:rsid w:val="735A4161"/>
    <w:rsid w:val="737E7B6F"/>
    <w:rsid w:val="73893AF8"/>
    <w:rsid w:val="73A73D3F"/>
    <w:rsid w:val="73C51AD5"/>
    <w:rsid w:val="73D4479A"/>
    <w:rsid w:val="73FA146F"/>
    <w:rsid w:val="740B7127"/>
    <w:rsid w:val="740D72DD"/>
    <w:rsid w:val="740E68AB"/>
    <w:rsid w:val="741E793C"/>
    <w:rsid w:val="743D6A7C"/>
    <w:rsid w:val="744C1395"/>
    <w:rsid w:val="745E3944"/>
    <w:rsid w:val="748809B2"/>
    <w:rsid w:val="748A47B1"/>
    <w:rsid w:val="748D284B"/>
    <w:rsid w:val="748E1D48"/>
    <w:rsid w:val="74A4671C"/>
    <w:rsid w:val="74AE6E7D"/>
    <w:rsid w:val="74B03C60"/>
    <w:rsid w:val="74C00116"/>
    <w:rsid w:val="74C079D2"/>
    <w:rsid w:val="74CA668D"/>
    <w:rsid w:val="75042F80"/>
    <w:rsid w:val="751607BD"/>
    <w:rsid w:val="752179D3"/>
    <w:rsid w:val="752B7B94"/>
    <w:rsid w:val="753A2574"/>
    <w:rsid w:val="754517C5"/>
    <w:rsid w:val="75646BB7"/>
    <w:rsid w:val="756A25E7"/>
    <w:rsid w:val="757530AB"/>
    <w:rsid w:val="7580716F"/>
    <w:rsid w:val="75851268"/>
    <w:rsid w:val="75856806"/>
    <w:rsid w:val="7593098E"/>
    <w:rsid w:val="759630D9"/>
    <w:rsid w:val="75A36B3D"/>
    <w:rsid w:val="75C81E6C"/>
    <w:rsid w:val="75CB7941"/>
    <w:rsid w:val="75D33F28"/>
    <w:rsid w:val="75D536BC"/>
    <w:rsid w:val="75DA174C"/>
    <w:rsid w:val="75F606A5"/>
    <w:rsid w:val="7635099D"/>
    <w:rsid w:val="76422C4A"/>
    <w:rsid w:val="76423AF2"/>
    <w:rsid w:val="76431901"/>
    <w:rsid w:val="76455FF9"/>
    <w:rsid w:val="764A1933"/>
    <w:rsid w:val="767E01C1"/>
    <w:rsid w:val="768C36FC"/>
    <w:rsid w:val="769D0A2A"/>
    <w:rsid w:val="769F62B3"/>
    <w:rsid w:val="76AF5D1A"/>
    <w:rsid w:val="76C02B7B"/>
    <w:rsid w:val="76C23F5E"/>
    <w:rsid w:val="76D6258E"/>
    <w:rsid w:val="76EF766F"/>
    <w:rsid w:val="76FA61D6"/>
    <w:rsid w:val="76FD28EB"/>
    <w:rsid w:val="77136398"/>
    <w:rsid w:val="772E69EC"/>
    <w:rsid w:val="77325C7B"/>
    <w:rsid w:val="773968A5"/>
    <w:rsid w:val="77430E07"/>
    <w:rsid w:val="77460E3F"/>
    <w:rsid w:val="775D6F5A"/>
    <w:rsid w:val="77660A33"/>
    <w:rsid w:val="77751ED2"/>
    <w:rsid w:val="77762421"/>
    <w:rsid w:val="777F4C1F"/>
    <w:rsid w:val="779730E3"/>
    <w:rsid w:val="77AF7060"/>
    <w:rsid w:val="77B56B1F"/>
    <w:rsid w:val="77D31F1C"/>
    <w:rsid w:val="77D77F66"/>
    <w:rsid w:val="77DB5ED6"/>
    <w:rsid w:val="780F09F4"/>
    <w:rsid w:val="7825254C"/>
    <w:rsid w:val="7830652F"/>
    <w:rsid w:val="78572898"/>
    <w:rsid w:val="786078E7"/>
    <w:rsid w:val="78755928"/>
    <w:rsid w:val="788E511F"/>
    <w:rsid w:val="789B6A7E"/>
    <w:rsid w:val="789C2D8D"/>
    <w:rsid w:val="78A90480"/>
    <w:rsid w:val="78AB74B7"/>
    <w:rsid w:val="78FD6A2B"/>
    <w:rsid w:val="79192B1F"/>
    <w:rsid w:val="793737CF"/>
    <w:rsid w:val="795D0818"/>
    <w:rsid w:val="797A0CEE"/>
    <w:rsid w:val="7985259B"/>
    <w:rsid w:val="79E331B0"/>
    <w:rsid w:val="7A0C195D"/>
    <w:rsid w:val="7A1B3DF1"/>
    <w:rsid w:val="7A364017"/>
    <w:rsid w:val="7A8265E1"/>
    <w:rsid w:val="7A9F7E85"/>
    <w:rsid w:val="7AF52DF5"/>
    <w:rsid w:val="7B031E86"/>
    <w:rsid w:val="7B101679"/>
    <w:rsid w:val="7B257811"/>
    <w:rsid w:val="7B364B62"/>
    <w:rsid w:val="7B686D42"/>
    <w:rsid w:val="7B841746"/>
    <w:rsid w:val="7BBA6F28"/>
    <w:rsid w:val="7BEF5C44"/>
    <w:rsid w:val="7C1C2525"/>
    <w:rsid w:val="7C1C2FB2"/>
    <w:rsid w:val="7C3641FE"/>
    <w:rsid w:val="7C4F2403"/>
    <w:rsid w:val="7C5164D8"/>
    <w:rsid w:val="7C6C5AC7"/>
    <w:rsid w:val="7C736E04"/>
    <w:rsid w:val="7C7B0FBC"/>
    <w:rsid w:val="7C803145"/>
    <w:rsid w:val="7C8237D5"/>
    <w:rsid w:val="7C8823DA"/>
    <w:rsid w:val="7CC6544B"/>
    <w:rsid w:val="7CC8395B"/>
    <w:rsid w:val="7CDA3CB0"/>
    <w:rsid w:val="7D0239FF"/>
    <w:rsid w:val="7D0A2076"/>
    <w:rsid w:val="7D44453F"/>
    <w:rsid w:val="7D48125B"/>
    <w:rsid w:val="7D4A15F2"/>
    <w:rsid w:val="7D5E40CD"/>
    <w:rsid w:val="7D693F77"/>
    <w:rsid w:val="7D752336"/>
    <w:rsid w:val="7D9D545C"/>
    <w:rsid w:val="7DA03D73"/>
    <w:rsid w:val="7DCD56F2"/>
    <w:rsid w:val="7DF5288B"/>
    <w:rsid w:val="7DF545C5"/>
    <w:rsid w:val="7E0208B6"/>
    <w:rsid w:val="7E0B3266"/>
    <w:rsid w:val="7E0E786A"/>
    <w:rsid w:val="7E11124C"/>
    <w:rsid w:val="7E1960EF"/>
    <w:rsid w:val="7E257579"/>
    <w:rsid w:val="7E3B597E"/>
    <w:rsid w:val="7EA41D54"/>
    <w:rsid w:val="7ED12687"/>
    <w:rsid w:val="7F001CE7"/>
    <w:rsid w:val="7F073237"/>
    <w:rsid w:val="7F3F7F97"/>
    <w:rsid w:val="7F4C3416"/>
    <w:rsid w:val="7F4D16F5"/>
    <w:rsid w:val="7F540428"/>
    <w:rsid w:val="7F611700"/>
    <w:rsid w:val="7F855217"/>
    <w:rsid w:val="7FA9757A"/>
    <w:rsid w:val="7FB108C3"/>
    <w:rsid w:val="7FD21063"/>
    <w:rsid w:val="7FE14F77"/>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semiHidden="0" w:name="heading 2" w:locked="1"/>
    <w:lsdException w:qFormat="1" w:uiPriority="0" w:semiHidden="0" w:name="heading 3" w:locked="1"/>
    <w:lsdException w:qFormat="1"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iPriority="39" w:semiHidden="0" w:name="toc 1"/>
    <w:lsdException w:qFormat="1" w:unhideWhenUsed="0" w:uiPriority="0" w:semiHidden="0" w:name="toc 2" w:locked="1"/>
    <w:lsdException w:qFormat="1"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qFormat="1" w:unhideWhenUsed="0" w:uiPriority="0" w:semiHidden="0" w:name="toc 7" w:locked="1"/>
    <w:lsdException w:unhideWhenUsed="0" w:uiPriority="0" w:semiHidden="0" w:name="toc 8" w:locked="1"/>
    <w:lsdException w:unhideWhenUsed="0" w:uiPriority="0" w:semiHidden="0" w:name="toc 9" w:locked="1"/>
    <w:lsdException w:unhideWhenUsed="0" w:uiPriority="0" w:semiHidden="0" w:name="Normal Indent"/>
    <w:lsdException w:unhideWhenUsed="0" w:uiPriority="0" w:semiHidden="0" w:name="footnote text" w:locked="1"/>
    <w:lsdException w:qFormat="1" w:unhideWhenUsed="0" w:uiPriority="0" w:semiHidden="0" w:name="annotation text"/>
    <w:lsdException w:qFormat="1" w:unhideWhenUsed="0" w:uiPriority="0" w:semiHidden="0" w:name="header"/>
    <w:lsdException w:unhideWhenUsed="0" w:uiPriority="0" w:semiHidden="0" w:name="footer"/>
    <w:lsdException w:unhideWhenUsed="0" w:uiPriority="0" w:semiHidden="0" w:name="index heading" w:locked="1"/>
    <w:lsdException w:qFormat="1" w:uiPriority="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sdException w:unhideWhenUsed="0" w:uiPriority="0" w:semiHidden="0" w:name="footnote reference" w:locked="1"/>
    <w:lsdException w:qFormat="1" w:uiPriority="99" w:semiHidden="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qFormat="1"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iPriority="1" w:semiHidden="0" w:name="Body Text"/>
    <w:lsdException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qFormat="1" w:uiPriority="99" w:semiHidden="0" w:name="Salutation" w:locked="1"/>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ocked="1"/>
    <w:lsdException w:unhideWhenUsed="0" w:uiPriority="0" w:semiHidden="0" w:name="Body Text 2" w:locked="1"/>
    <w:lsdException w:unhideWhenUsed="0" w:uiPriority="0" w:semiHidden="0" w:name="Body Text 3" w:locked="1"/>
    <w:lsdException w:unhideWhenUsed="0" w:uiPriority="0" w:semiHidden="0" w:name="Body Text Indent 2" w:locked="1"/>
    <w:lsdException w:unhideWhenUsed="0" w:uiPriority="0" w:semiHidden="0" w:name="Body Text Indent 3" w:locked="1"/>
    <w:lsdException w:unhideWhenUsed="0" w:uiPriority="0" w:semiHidden="0" w:name="Block Text" w:locked="1"/>
    <w:lsdException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iPriority="99" w:semiHidden="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unhideWhenUsed="0" w:uiPriority="0" w:semiHidden="0" w:name="Balloon Text"/>
    <w:lsdException w:qFormat="1" w:unhideWhenUsed="0" w:uiPriority="0" w:semiHidden="0" w:name="Table Grid"/>
    <w:lsdException w:uiPriority="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720" w:firstLineChars="200"/>
      <w:jc w:val="both"/>
    </w:pPr>
    <w:rPr>
      <w:rFonts w:ascii="Times New Roman" w:hAnsi="Times New Roman" w:eastAsia="宋体" w:cs="Times New Roman"/>
      <w:kern w:val="2"/>
      <w:sz w:val="24"/>
      <w:szCs w:val="24"/>
      <w:lang w:val="en-US" w:eastAsia="zh-CN" w:bidi="ar-SA"/>
    </w:rPr>
  </w:style>
  <w:style w:type="paragraph" w:styleId="3">
    <w:name w:val="heading 1"/>
    <w:basedOn w:val="1"/>
    <w:next w:val="1"/>
    <w:link w:val="21"/>
    <w:qFormat/>
    <w:locked/>
    <w:uiPriority w:val="99"/>
    <w:pPr>
      <w:keepNext/>
      <w:numPr>
        <w:ilvl w:val="0"/>
        <w:numId w:val="1"/>
      </w:numPr>
      <w:tabs>
        <w:tab w:val="left" w:pos="420"/>
        <w:tab w:val="clear" w:pos="0"/>
      </w:tabs>
      <w:overflowPunct w:val="0"/>
      <w:snapToGrid w:val="0"/>
      <w:jc w:val="center"/>
      <w:outlineLvl w:val="0"/>
    </w:pPr>
    <w:rPr>
      <w:rFonts w:ascii="黑体" w:hAnsi="黑体" w:eastAsia="黑体"/>
      <w:bCs/>
      <w:color w:val="000000"/>
      <w:kern w:val="44"/>
      <w:sz w:val="32"/>
      <w:szCs w:val="30"/>
    </w:rPr>
  </w:style>
  <w:style w:type="paragraph" w:styleId="4">
    <w:name w:val="heading 2"/>
    <w:basedOn w:val="1"/>
    <w:next w:val="1"/>
    <w:link w:val="20"/>
    <w:unhideWhenUsed/>
    <w:qFormat/>
    <w:locked/>
    <w:uiPriority w:val="0"/>
    <w:pPr>
      <w:keepNext/>
      <w:keepLines/>
      <w:numPr>
        <w:ilvl w:val="1"/>
        <w:numId w:val="1"/>
      </w:numPr>
      <w:tabs>
        <w:tab w:val="left" w:pos="0"/>
      </w:tabs>
      <w:adjustRightInd w:val="0"/>
      <w:snapToGrid w:val="0"/>
      <w:spacing w:before="260" w:after="120"/>
      <w:ind w:firstLineChars="0"/>
      <w:jc w:val="left"/>
      <w:outlineLvl w:val="1"/>
    </w:pPr>
    <w:rPr>
      <w:b/>
      <w:sz w:val="32"/>
    </w:rPr>
  </w:style>
  <w:style w:type="paragraph" w:styleId="5">
    <w:name w:val="heading 3"/>
    <w:basedOn w:val="1"/>
    <w:next w:val="1"/>
    <w:unhideWhenUsed/>
    <w:qFormat/>
    <w:locked/>
    <w:uiPriority w:val="0"/>
    <w:pPr>
      <w:keepNext/>
      <w:keepLines/>
      <w:numPr>
        <w:ilvl w:val="2"/>
        <w:numId w:val="1"/>
      </w:numPr>
      <w:tabs>
        <w:tab w:val="left" w:pos="0"/>
      </w:tabs>
      <w:adjustRightInd w:val="0"/>
      <w:snapToGrid w:val="0"/>
      <w:spacing w:before="120" w:after="120"/>
      <w:jc w:val="left"/>
      <w:outlineLvl w:val="2"/>
    </w:pPr>
    <w:rPr>
      <w:b/>
      <w:sz w:val="30"/>
    </w:rPr>
  </w:style>
  <w:style w:type="paragraph" w:styleId="6">
    <w:name w:val="heading 4"/>
    <w:basedOn w:val="1"/>
    <w:next w:val="1"/>
    <w:unhideWhenUsed/>
    <w:qFormat/>
    <w:locked/>
    <w:uiPriority w:val="0"/>
    <w:pPr>
      <w:keepNext/>
      <w:keepLines/>
      <w:numPr>
        <w:ilvl w:val="3"/>
        <w:numId w:val="1"/>
      </w:numPr>
      <w:adjustRightInd w:val="0"/>
      <w:snapToGrid w:val="0"/>
      <w:ind w:left="0" w:firstLine="0" w:firstLineChars="0"/>
      <w:outlineLvl w:val="3"/>
    </w:pPr>
    <w:rPr>
      <w:b/>
      <w:sz w:val="28"/>
    </w:rPr>
  </w:style>
  <w:style w:type="character" w:default="1" w:styleId="16">
    <w:name w:val="Default Paragraph Font"/>
    <w:semiHidden/>
    <w:unhideWhenUsed/>
    <w:qFormat/>
    <w:uiPriority w:val="1"/>
  </w:style>
  <w:style w:type="table" w:default="1" w:styleId="14">
    <w:name w:val="Normal Table"/>
    <w:semiHidden/>
    <w:unhideWhenUsed/>
    <w:qFormat/>
    <w:uiPriority w:val="99"/>
    <w:tblPr>
      <w:tblCellMar>
        <w:top w:w="0" w:type="dxa"/>
        <w:left w:w="108" w:type="dxa"/>
        <w:bottom w:w="0" w:type="dxa"/>
        <w:right w:w="108" w:type="dxa"/>
      </w:tblCellMar>
    </w:tblPr>
  </w:style>
  <w:style w:type="paragraph" w:styleId="2">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pPr>
    <w:rPr>
      <w:sz w:val="18"/>
    </w:rPr>
  </w:style>
  <w:style w:type="paragraph" w:styleId="7">
    <w:name w:val="toc 7"/>
    <w:basedOn w:val="1"/>
    <w:next w:val="1"/>
    <w:qFormat/>
    <w:locked/>
    <w:uiPriority w:val="0"/>
    <w:pPr>
      <w:widowControl/>
      <w:ind w:left="2520"/>
      <w:jc w:val="left"/>
    </w:pPr>
    <w:rPr>
      <w:szCs w:val="21"/>
    </w:rPr>
  </w:style>
  <w:style w:type="paragraph" w:styleId="8">
    <w:name w:val="annotation text"/>
    <w:basedOn w:val="1"/>
    <w:link w:val="28"/>
    <w:qFormat/>
    <w:uiPriority w:val="0"/>
    <w:pPr>
      <w:jc w:val="left"/>
    </w:pPr>
  </w:style>
  <w:style w:type="paragraph" w:styleId="9">
    <w:name w:val="toc 3"/>
    <w:basedOn w:val="1"/>
    <w:next w:val="1"/>
    <w:qFormat/>
    <w:locked/>
    <w:uiPriority w:val="0"/>
    <w:pPr>
      <w:ind w:left="840" w:leftChars="400"/>
    </w:pPr>
  </w:style>
  <w:style w:type="paragraph" w:styleId="10">
    <w:name w:val="toc 1"/>
    <w:basedOn w:val="1"/>
    <w:next w:val="1"/>
    <w:unhideWhenUsed/>
    <w:qFormat/>
    <w:uiPriority w:val="39"/>
  </w:style>
  <w:style w:type="paragraph" w:styleId="11">
    <w:name w:val="Subtitle"/>
    <w:next w:val="1"/>
    <w:qFormat/>
    <w:locked/>
    <w:uiPriority w:val="0"/>
    <w:pPr>
      <w:widowControl w:val="0"/>
      <w:jc w:val="center"/>
    </w:pPr>
    <w:rPr>
      <w:rFonts w:ascii="Times New Roman" w:hAnsi="Times New Roman" w:eastAsia="宋体" w:cs="Times New Roman"/>
      <w:sz w:val="21"/>
      <w:szCs w:val="24"/>
      <w:lang w:val="en-US" w:eastAsia="zh-CN" w:bidi="ar-SA"/>
    </w:rPr>
  </w:style>
  <w:style w:type="paragraph" w:styleId="12">
    <w:name w:val="toc 2"/>
    <w:basedOn w:val="1"/>
    <w:next w:val="1"/>
    <w:qFormat/>
    <w:locked/>
    <w:uiPriority w:val="0"/>
    <w:pPr>
      <w:ind w:left="420" w:leftChars="200"/>
    </w:pPr>
  </w:style>
  <w:style w:type="paragraph" w:styleId="13">
    <w:name w:val="annotation subject"/>
    <w:basedOn w:val="8"/>
    <w:next w:val="8"/>
    <w:link w:val="27"/>
    <w:unhideWhenUsed/>
    <w:qFormat/>
    <w:uiPriority w:val="99"/>
    <w:pPr>
      <w:spacing w:line="240" w:lineRule="auto"/>
      <w:ind w:firstLine="0" w:firstLineChars="0"/>
    </w:pPr>
    <w:rPr>
      <w:sz w:val="21"/>
    </w:rPr>
  </w:style>
  <w:style w:type="table" w:styleId="15">
    <w:name w:val="Table Grid"/>
    <w:basedOn w:val="14"/>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7">
    <w:name w:val="page number"/>
    <w:basedOn w:val="16"/>
    <w:qFormat/>
    <w:locked/>
    <w:uiPriority w:val="0"/>
  </w:style>
  <w:style w:type="character" w:styleId="18">
    <w:name w:val="annotation reference"/>
    <w:unhideWhenUsed/>
    <w:qFormat/>
    <w:uiPriority w:val="99"/>
    <w:rPr>
      <w:sz w:val="21"/>
      <w:szCs w:val="21"/>
    </w:rPr>
  </w:style>
  <w:style w:type="paragraph" w:customStyle="1" w:styleId="19">
    <w:name w:val="表头"/>
    <w:next w:val="1"/>
    <w:link w:val="22"/>
    <w:qFormat/>
    <w:uiPriority w:val="0"/>
    <w:pPr>
      <w:adjustRightInd w:val="0"/>
      <w:snapToGrid w:val="0"/>
      <w:jc w:val="center"/>
    </w:pPr>
    <w:rPr>
      <w:rFonts w:ascii="Times New Roman" w:hAnsi="Times New Roman" w:eastAsia="宋体" w:cs="Times New Roman"/>
      <w:b/>
      <w:sz w:val="24"/>
      <w:lang w:val="en-US" w:eastAsia="zh-CN" w:bidi="ar-SA"/>
    </w:rPr>
  </w:style>
  <w:style w:type="character" w:customStyle="1" w:styleId="20">
    <w:name w:val="标题 2 Char"/>
    <w:link w:val="4"/>
    <w:qFormat/>
    <w:uiPriority w:val="0"/>
    <w:rPr>
      <w:b/>
      <w:kern w:val="2"/>
      <w:sz w:val="32"/>
      <w:szCs w:val="24"/>
    </w:rPr>
  </w:style>
  <w:style w:type="character" w:customStyle="1" w:styleId="21">
    <w:name w:val="标题 1 Char"/>
    <w:link w:val="3"/>
    <w:qFormat/>
    <w:uiPriority w:val="99"/>
    <w:rPr>
      <w:rFonts w:ascii="黑体" w:hAnsi="黑体" w:eastAsia="黑体"/>
      <w:bCs/>
      <w:color w:val="000000"/>
      <w:kern w:val="44"/>
      <w:sz w:val="32"/>
      <w:szCs w:val="30"/>
    </w:rPr>
  </w:style>
  <w:style w:type="character" w:customStyle="1" w:styleId="22">
    <w:name w:val="表头 Char"/>
    <w:link w:val="19"/>
    <w:qFormat/>
    <w:uiPriority w:val="0"/>
    <w:rPr>
      <w:rFonts w:ascii="Times New Roman" w:hAnsi="Times New Roman" w:eastAsia="宋体"/>
      <w:b/>
      <w:sz w:val="24"/>
    </w:rPr>
  </w:style>
  <w:style w:type="paragraph" w:customStyle="1" w:styleId="23">
    <w:name w:val="表格文字"/>
    <w:basedOn w:val="1"/>
    <w:qFormat/>
    <w:uiPriority w:val="0"/>
    <w:pPr>
      <w:adjustRightInd w:val="0"/>
      <w:snapToGrid w:val="0"/>
      <w:spacing w:line="240" w:lineRule="auto"/>
      <w:ind w:firstLine="0" w:firstLineChars="0"/>
      <w:jc w:val="center"/>
    </w:pPr>
    <w:rPr>
      <w:sz w:val="21"/>
    </w:rPr>
  </w:style>
  <w:style w:type="paragraph" w:customStyle="1" w:styleId="24">
    <w:name w:val="表格内容"/>
    <w:basedOn w:val="19"/>
    <w:next w:val="1"/>
    <w:link w:val="36"/>
    <w:qFormat/>
    <w:uiPriority w:val="0"/>
    <w:rPr>
      <w:iCs/>
      <w:sz w:val="21"/>
      <w:szCs w:val="21"/>
    </w:rPr>
  </w:style>
  <w:style w:type="paragraph" w:customStyle="1" w:styleId="25">
    <w:name w:val="表内容"/>
    <w:qFormat/>
    <w:uiPriority w:val="0"/>
    <w:pPr>
      <w:widowControl w:val="0"/>
      <w:jc w:val="center"/>
    </w:pPr>
    <w:rPr>
      <w:rFonts w:ascii="Times New Roman" w:hAnsi="Times New Roman" w:eastAsia="宋体" w:cs="Times New Roman"/>
      <w:kern w:val="2"/>
      <w:sz w:val="21"/>
      <w:szCs w:val="21"/>
      <w:lang w:val="en-US" w:eastAsia="zh-CN" w:bidi="ar-SA"/>
    </w:rPr>
  </w:style>
  <w:style w:type="paragraph" w:customStyle="1" w:styleId="26">
    <w:name w:val="表正文"/>
    <w:basedOn w:val="1"/>
    <w:qFormat/>
    <w:uiPriority w:val="0"/>
    <w:pPr>
      <w:ind w:firstLine="200"/>
    </w:pPr>
  </w:style>
  <w:style w:type="character" w:customStyle="1" w:styleId="27">
    <w:name w:val="批注主题 Char"/>
    <w:basedOn w:val="28"/>
    <w:link w:val="13"/>
    <w:qFormat/>
    <w:uiPriority w:val="0"/>
    <w:rPr>
      <w:kern w:val="2"/>
      <w:sz w:val="21"/>
      <w:szCs w:val="24"/>
    </w:rPr>
  </w:style>
  <w:style w:type="character" w:customStyle="1" w:styleId="28">
    <w:name w:val="批注文字 Char"/>
    <w:basedOn w:val="16"/>
    <w:link w:val="8"/>
    <w:qFormat/>
    <w:uiPriority w:val="0"/>
    <w:rPr>
      <w:kern w:val="2"/>
      <w:sz w:val="24"/>
      <w:szCs w:val="24"/>
    </w:rPr>
  </w:style>
  <w:style w:type="character" w:customStyle="1" w:styleId="29">
    <w:name w:val="批注主题 Char1"/>
    <w:basedOn w:val="28"/>
    <w:qFormat/>
    <w:uiPriority w:val="0"/>
    <w:rPr>
      <w:b/>
      <w:bCs/>
      <w:kern w:val="2"/>
      <w:sz w:val="24"/>
      <w:szCs w:val="24"/>
    </w:rPr>
  </w:style>
  <w:style w:type="character" w:customStyle="1" w:styleId="30">
    <w:name w:val="z表（图）头 字符"/>
    <w:link w:val="31"/>
    <w:qFormat/>
    <w:uiPriority w:val="0"/>
    <w:rPr>
      <w:rFonts w:eastAsia="黑体"/>
      <w:b/>
      <w:color w:val="000000"/>
      <w:kern w:val="2"/>
      <w:sz w:val="24"/>
      <w:szCs w:val="24"/>
    </w:rPr>
  </w:style>
  <w:style w:type="paragraph" w:customStyle="1" w:styleId="31">
    <w:name w:val="z表（图）头"/>
    <w:basedOn w:val="1"/>
    <w:link w:val="30"/>
    <w:qFormat/>
    <w:uiPriority w:val="0"/>
    <w:pPr>
      <w:adjustRightInd w:val="0"/>
      <w:spacing w:line="240" w:lineRule="auto"/>
      <w:ind w:firstLine="0" w:firstLineChars="0"/>
      <w:jc w:val="center"/>
      <w:outlineLvl w:val="4"/>
    </w:pPr>
    <w:rPr>
      <w:rFonts w:eastAsia="黑体"/>
      <w:b/>
      <w:color w:val="000000"/>
    </w:rPr>
  </w:style>
  <w:style w:type="character" w:customStyle="1" w:styleId="32">
    <w:name w:val="z表格内文字 字符"/>
    <w:link w:val="33"/>
    <w:qFormat/>
    <w:uiPriority w:val="0"/>
    <w:rPr>
      <w:color w:val="000000"/>
      <w:kern w:val="2"/>
      <w:sz w:val="21"/>
      <w:szCs w:val="21"/>
    </w:rPr>
  </w:style>
  <w:style w:type="paragraph" w:customStyle="1" w:styleId="33">
    <w:name w:val="z表格内文字"/>
    <w:basedOn w:val="1"/>
    <w:link w:val="32"/>
    <w:qFormat/>
    <w:uiPriority w:val="0"/>
    <w:pPr>
      <w:spacing w:line="240" w:lineRule="auto"/>
      <w:ind w:firstLine="0" w:firstLineChars="0"/>
      <w:jc w:val="center"/>
    </w:pPr>
    <w:rPr>
      <w:color w:val="000000"/>
      <w:sz w:val="21"/>
      <w:szCs w:val="21"/>
    </w:rPr>
  </w:style>
  <w:style w:type="character" w:customStyle="1" w:styleId="34">
    <w:name w:val="a表格内文字 Char"/>
    <w:link w:val="35"/>
    <w:qFormat/>
    <w:uiPriority w:val="0"/>
    <w:rPr>
      <w:color w:val="000000"/>
      <w:kern w:val="2"/>
      <w:sz w:val="21"/>
      <w:szCs w:val="21"/>
    </w:rPr>
  </w:style>
  <w:style w:type="paragraph" w:customStyle="1" w:styleId="35">
    <w:name w:val="a表格内文字"/>
    <w:basedOn w:val="1"/>
    <w:link w:val="34"/>
    <w:qFormat/>
    <w:uiPriority w:val="0"/>
    <w:pPr>
      <w:spacing w:line="240" w:lineRule="auto"/>
      <w:ind w:firstLine="0" w:firstLineChars="0"/>
      <w:jc w:val="center"/>
    </w:pPr>
    <w:rPr>
      <w:color w:val="000000"/>
      <w:sz w:val="21"/>
      <w:szCs w:val="21"/>
    </w:rPr>
  </w:style>
  <w:style w:type="character" w:customStyle="1" w:styleId="36">
    <w:name w:val="表格内容 Char"/>
    <w:link w:val="24"/>
    <w:qFormat/>
    <w:uiPriority w:val="0"/>
    <w:rPr>
      <w:b/>
      <w:iCs/>
      <w:sz w:val="21"/>
      <w:szCs w:val="21"/>
    </w:rPr>
  </w:style>
  <w:style w:type="character" w:customStyle="1" w:styleId="37">
    <w:name w:val="表格内容 Char1"/>
    <w:qFormat/>
    <w:uiPriority w:val="0"/>
    <w:rPr>
      <w:rFonts w:ascii="宋体" w:hAnsi="宋体" w:eastAsia="宋体"/>
      <w:kern w:val="0"/>
      <w:sz w:val="21"/>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5" Type="http://schemas.openxmlformats.org/officeDocument/2006/relationships/fontTable" Target="fontTable.xml"/><Relationship Id="rId84" Type="http://schemas.openxmlformats.org/officeDocument/2006/relationships/numbering" Target="numbering.xml"/><Relationship Id="rId83" Type="http://schemas.openxmlformats.org/officeDocument/2006/relationships/customXml" Target="../customXml/item1.xml"/><Relationship Id="rId82" Type="http://schemas.openxmlformats.org/officeDocument/2006/relationships/image" Target="media/image69.png"/><Relationship Id="rId81" Type="http://schemas.openxmlformats.org/officeDocument/2006/relationships/image" Target="media/image68.png"/><Relationship Id="rId80" Type="http://schemas.openxmlformats.org/officeDocument/2006/relationships/image" Target="media/image67.png"/><Relationship Id="rId8" Type="http://schemas.openxmlformats.org/officeDocument/2006/relationships/footer" Target="footer4.xml"/><Relationship Id="rId79" Type="http://schemas.openxmlformats.org/officeDocument/2006/relationships/image" Target="media/image66.jpeg"/><Relationship Id="rId78" Type="http://schemas.openxmlformats.org/officeDocument/2006/relationships/image" Target="media/image65.jpeg"/><Relationship Id="rId77" Type="http://schemas.openxmlformats.org/officeDocument/2006/relationships/image" Target="media/image64.jpeg"/><Relationship Id="rId76" Type="http://schemas.openxmlformats.org/officeDocument/2006/relationships/image" Target="media/image63.jpeg"/><Relationship Id="rId75" Type="http://schemas.openxmlformats.org/officeDocument/2006/relationships/image" Target="media/image62.jpeg"/><Relationship Id="rId74" Type="http://schemas.openxmlformats.org/officeDocument/2006/relationships/image" Target="media/image61.jpeg"/><Relationship Id="rId73" Type="http://schemas.openxmlformats.org/officeDocument/2006/relationships/image" Target="media/image60.jpeg"/><Relationship Id="rId72" Type="http://schemas.openxmlformats.org/officeDocument/2006/relationships/image" Target="media/image59.jpeg"/><Relationship Id="rId71" Type="http://schemas.openxmlformats.org/officeDocument/2006/relationships/image" Target="media/image58.jpeg"/><Relationship Id="rId70" Type="http://schemas.openxmlformats.org/officeDocument/2006/relationships/image" Target="media/image57.jpeg"/><Relationship Id="rId7" Type="http://schemas.openxmlformats.org/officeDocument/2006/relationships/footer" Target="footer3.xml"/><Relationship Id="rId69" Type="http://schemas.openxmlformats.org/officeDocument/2006/relationships/image" Target="media/image56.jpeg"/><Relationship Id="rId68" Type="http://schemas.openxmlformats.org/officeDocument/2006/relationships/image" Target="media/image55.jpeg"/><Relationship Id="rId67" Type="http://schemas.openxmlformats.org/officeDocument/2006/relationships/image" Target="media/image54.jpeg"/><Relationship Id="rId66" Type="http://schemas.openxmlformats.org/officeDocument/2006/relationships/image" Target="media/image53.jpeg"/><Relationship Id="rId65" Type="http://schemas.openxmlformats.org/officeDocument/2006/relationships/image" Target="media/image52.jpeg"/><Relationship Id="rId64" Type="http://schemas.openxmlformats.org/officeDocument/2006/relationships/image" Target="media/image51.jpeg"/><Relationship Id="rId63" Type="http://schemas.openxmlformats.org/officeDocument/2006/relationships/image" Target="media/image50.jpeg"/><Relationship Id="rId62" Type="http://schemas.openxmlformats.org/officeDocument/2006/relationships/image" Target="media/image49.jpeg"/><Relationship Id="rId61" Type="http://schemas.openxmlformats.org/officeDocument/2006/relationships/image" Target="media/image48.jpeg"/><Relationship Id="rId60" Type="http://schemas.openxmlformats.org/officeDocument/2006/relationships/image" Target="media/image47.jpeg"/><Relationship Id="rId6" Type="http://schemas.openxmlformats.org/officeDocument/2006/relationships/footer" Target="footer2.xml"/><Relationship Id="rId59" Type="http://schemas.openxmlformats.org/officeDocument/2006/relationships/image" Target="media/image46.jpeg"/><Relationship Id="rId58" Type="http://schemas.openxmlformats.org/officeDocument/2006/relationships/image" Target="media/image45.jpeg"/><Relationship Id="rId57" Type="http://schemas.openxmlformats.org/officeDocument/2006/relationships/image" Target="media/image44.jpeg"/><Relationship Id="rId56" Type="http://schemas.openxmlformats.org/officeDocument/2006/relationships/image" Target="media/image43.jpeg"/><Relationship Id="rId55" Type="http://schemas.openxmlformats.org/officeDocument/2006/relationships/image" Target="media/image42.jpeg"/><Relationship Id="rId54" Type="http://schemas.openxmlformats.org/officeDocument/2006/relationships/image" Target="media/image41.jpeg"/><Relationship Id="rId53" Type="http://schemas.openxmlformats.org/officeDocument/2006/relationships/image" Target="media/image40.jpeg"/><Relationship Id="rId52" Type="http://schemas.openxmlformats.org/officeDocument/2006/relationships/image" Target="media/image39.jpeg"/><Relationship Id="rId51" Type="http://schemas.openxmlformats.org/officeDocument/2006/relationships/image" Target="media/image38.jpeg"/><Relationship Id="rId50" Type="http://schemas.openxmlformats.org/officeDocument/2006/relationships/image" Target="media/image37.jpeg"/><Relationship Id="rId5" Type="http://schemas.openxmlformats.org/officeDocument/2006/relationships/footer" Target="footer1.xml"/><Relationship Id="rId49" Type="http://schemas.openxmlformats.org/officeDocument/2006/relationships/image" Target="media/image36.jpeg"/><Relationship Id="rId48" Type="http://schemas.openxmlformats.org/officeDocument/2006/relationships/image" Target="media/image35.jpeg"/><Relationship Id="rId47" Type="http://schemas.openxmlformats.org/officeDocument/2006/relationships/image" Target="media/image34.jpeg"/><Relationship Id="rId46" Type="http://schemas.openxmlformats.org/officeDocument/2006/relationships/image" Target="media/image33.jpeg"/><Relationship Id="rId45" Type="http://schemas.openxmlformats.org/officeDocument/2006/relationships/image" Target="media/image32.jpeg"/><Relationship Id="rId44" Type="http://schemas.openxmlformats.org/officeDocument/2006/relationships/image" Target="media/image31.png"/><Relationship Id="rId43" Type="http://schemas.openxmlformats.org/officeDocument/2006/relationships/image" Target="media/image30.jpeg"/><Relationship Id="rId42" Type="http://schemas.openxmlformats.org/officeDocument/2006/relationships/image" Target="media/image29.jpeg"/><Relationship Id="rId41" Type="http://schemas.openxmlformats.org/officeDocument/2006/relationships/image" Target="media/image28.jpeg"/><Relationship Id="rId40" Type="http://schemas.openxmlformats.org/officeDocument/2006/relationships/image" Target="media/image27.png"/><Relationship Id="rId4" Type="http://schemas.openxmlformats.org/officeDocument/2006/relationships/endnotes" Target="endnotes.xml"/><Relationship Id="rId39" Type="http://schemas.openxmlformats.org/officeDocument/2006/relationships/image" Target="media/image26.png"/><Relationship Id="rId38" Type="http://schemas.openxmlformats.org/officeDocument/2006/relationships/image" Target="media/image25.png"/><Relationship Id="rId37" Type="http://schemas.openxmlformats.org/officeDocument/2006/relationships/image" Target="media/image24.png"/><Relationship Id="rId36" Type="http://schemas.openxmlformats.org/officeDocument/2006/relationships/image" Target="media/image23.png"/><Relationship Id="rId35" Type="http://schemas.openxmlformats.org/officeDocument/2006/relationships/image" Target="media/image22.png"/><Relationship Id="rId34" Type="http://schemas.openxmlformats.org/officeDocument/2006/relationships/image" Target="media/image21.png"/><Relationship Id="rId33" Type="http://schemas.openxmlformats.org/officeDocument/2006/relationships/image" Target="media/image20.png"/><Relationship Id="rId32" Type="http://schemas.openxmlformats.org/officeDocument/2006/relationships/image" Target="media/image19.png"/><Relationship Id="rId31" Type="http://schemas.openxmlformats.org/officeDocument/2006/relationships/image" Target="media/image18.png"/><Relationship Id="rId30" Type="http://schemas.openxmlformats.org/officeDocument/2006/relationships/image" Target="media/image17.png"/><Relationship Id="rId3" Type="http://schemas.openxmlformats.org/officeDocument/2006/relationships/footnotes" Target="footnotes.xml"/><Relationship Id="rId29" Type="http://schemas.openxmlformats.org/officeDocument/2006/relationships/image" Target="media/image16.wmf"/><Relationship Id="rId28" Type="http://schemas.openxmlformats.org/officeDocument/2006/relationships/oleObject" Target="embeddings/oleObject3.bin"/><Relationship Id="rId27" Type="http://schemas.openxmlformats.org/officeDocument/2006/relationships/image" Target="media/image15.wmf"/><Relationship Id="rId26" Type="http://schemas.openxmlformats.org/officeDocument/2006/relationships/oleObject" Target="embeddings/oleObject2.bin"/><Relationship Id="rId25" Type="http://schemas.openxmlformats.org/officeDocument/2006/relationships/image" Target="media/image14.wmf"/><Relationship Id="rId24" Type="http://schemas.openxmlformats.org/officeDocument/2006/relationships/oleObject" Target="embeddings/oleObject1.bin"/><Relationship Id="rId23" Type="http://schemas.openxmlformats.org/officeDocument/2006/relationships/image" Target="media/image13.png"/><Relationship Id="rId22" Type="http://schemas.openxmlformats.org/officeDocument/2006/relationships/image" Target="../Users/Administrator/AppData/Roaming/Tencent/Users/349206422/QQ/WinTemp/RichOle/F%25252525257bUPVYU@3B3EFUPUV%25252525257b80)XT.png" TargetMode="External"/><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jpeg"/><Relationship Id="rId16" Type="http://schemas.openxmlformats.org/officeDocument/2006/relationships/image" Target="media/image7.jpe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image" Target="media/image1.jpe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wdzx97.dot</Template>
  <Company>微软中国</Company>
  <Pages>78</Pages>
  <Words>15594</Words>
  <Characters>18034</Characters>
  <Lines>143</Lines>
  <Paragraphs>40</Paragraphs>
  <TotalTime>0</TotalTime>
  <ScaleCrop>false</ScaleCrop>
  <LinksUpToDate>false</LinksUpToDate>
  <CharactersWithSpaces>18257</CharactersWithSpaces>
  <Application>WPS Office_11.1.0.10938_F1E327BC-269C-435d-A152-05C5408002CA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2021-10-07T08:12:00Z</dcterms:created>
  <dc:creator>lhj</dc:creator>
  <cp:lastModifiedBy>星</cp:lastModifiedBy>
  <cp:lastPrinted>2021-03-24T02:44:00Z</cp:lastPrinted>
  <dcterms:modified xsi:type="dcterms:W3CDTF">2021-10-13T03:06:51Z</dcterms:modified>
  <dc:title>附件2</dc:title>
  <cp:revision>48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2052-11.1.0.10938</vt:lpwstr>
  </property>
  <property fmtid="{D5CDD505-2E9C-101B-9397-08002B2CF9AE}" pid="3" name="ICV">
    <vt:lpwstr>6BC34109DC0E40FFAFAEA1B976286115</vt:lpwstr>
  </property>
</Properties>
</file>