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E4FC06C">
      <w:pPr>
        <w:rPr>
          <w:rFonts w:hint="default" w:ascii="Times New Roman" w:hAnsi="Times New Roman" w:eastAsia="仿宋_GB2312" w:cs="Times New Roman"/>
          <w:color w:val="auto"/>
          <w:sz w:val="36"/>
          <w:szCs w:val="36"/>
        </w:rPr>
      </w:pPr>
    </w:p>
    <w:p w14:paraId="50053917">
      <w:pPr>
        <w:rPr>
          <w:rFonts w:hint="default" w:ascii="Times New Roman" w:hAnsi="Times New Roman" w:eastAsia="仿宋_GB2312" w:cs="Times New Roman"/>
          <w:color w:val="auto"/>
          <w:sz w:val="36"/>
          <w:szCs w:val="36"/>
        </w:rPr>
      </w:pPr>
    </w:p>
    <w:p w14:paraId="51EBFA85">
      <w:pPr>
        <w:rPr>
          <w:rFonts w:hint="default" w:ascii="Times New Roman" w:hAnsi="Times New Roman" w:eastAsia="仿宋_GB2312" w:cs="Times New Roman"/>
          <w:color w:val="auto"/>
          <w:sz w:val="36"/>
          <w:szCs w:val="36"/>
        </w:rPr>
      </w:pPr>
    </w:p>
    <w:p w14:paraId="5DBC9085">
      <w:pPr>
        <w:adjustRightInd w:val="0"/>
        <w:snapToGrid w:val="0"/>
        <w:ind w:firstLine="0" w:firstLineChars="0"/>
        <w:jc w:val="center"/>
        <w:rPr>
          <w:rFonts w:hint="default" w:ascii="Times New Roman" w:hAnsi="Times New Roman" w:eastAsia="方正小标宋_GBK" w:cs="Times New Roman"/>
          <w:bCs/>
          <w:color w:val="auto"/>
          <w:sz w:val="72"/>
          <w:szCs w:val="72"/>
        </w:rPr>
      </w:pPr>
      <w:bookmarkStart w:id="0" w:name="_Toc13256"/>
      <w:r>
        <w:rPr>
          <w:rFonts w:hint="default" w:ascii="Times New Roman" w:hAnsi="Times New Roman" w:eastAsia="方正小标宋_GBK" w:cs="Times New Roman"/>
          <w:bCs/>
          <w:color w:val="auto"/>
          <w:sz w:val="72"/>
          <w:szCs w:val="72"/>
        </w:rPr>
        <w:t>建设项目环境影响报告表</w:t>
      </w:r>
      <w:bookmarkEnd w:id="0"/>
    </w:p>
    <w:p w14:paraId="53F018BA">
      <w:pPr>
        <w:adjustRightInd w:val="0"/>
        <w:snapToGrid w:val="0"/>
        <w:spacing w:before="192" w:beforeLines="80"/>
        <w:ind w:firstLine="0" w:firstLineChars="0"/>
        <w:jc w:val="center"/>
        <w:rPr>
          <w:rFonts w:hint="default" w:ascii="Times New Roman" w:hAnsi="Times New Roman" w:eastAsia="楷体_GB2312" w:cs="Times New Roman"/>
          <w:bCs/>
          <w:color w:val="auto"/>
          <w:sz w:val="48"/>
          <w:szCs w:val="48"/>
        </w:rPr>
      </w:pPr>
      <w:bookmarkStart w:id="1" w:name="_Toc30419"/>
      <w:r>
        <w:rPr>
          <w:rFonts w:hint="default" w:ascii="Times New Roman" w:hAnsi="Times New Roman" w:eastAsia="楷体_GB2312" w:cs="Times New Roman"/>
          <w:bCs/>
          <w:color w:val="auto"/>
          <w:sz w:val="48"/>
          <w:szCs w:val="48"/>
        </w:rPr>
        <w:t>（污染影响类）</w:t>
      </w:r>
      <w:bookmarkEnd w:id="1"/>
    </w:p>
    <w:p w14:paraId="28B071D2">
      <w:pPr>
        <w:ind w:firstLine="480"/>
        <w:rPr>
          <w:rFonts w:hint="default" w:ascii="Times New Roman" w:hAnsi="Times New Roman" w:cs="Times New Roman"/>
          <w:color w:val="auto"/>
        </w:rPr>
      </w:pPr>
    </w:p>
    <w:p w14:paraId="57FE56BC">
      <w:pPr>
        <w:ind w:firstLine="480"/>
        <w:rPr>
          <w:rFonts w:hint="default" w:ascii="Times New Roman" w:hAnsi="Times New Roman" w:cs="Times New Roman"/>
          <w:color w:val="auto"/>
        </w:rPr>
      </w:pPr>
    </w:p>
    <w:p w14:paraId="39DABB3F">
      <w:pPr>
        <w:ind w:firstLine="880"/>
        <w:rPr>
          <w:rFonts w:hint="default" w:ascii="Times New Roman" w:hAnsi="Times New Roman" w:eastAsia="仿宋" w:cs="Times New Roman"/>
          <w:color w:val="auto"/>
          <w:sz w:val="44"/>
          <w:szCs w:val="44"/>
        </w:rPr>
      </w:pPr>
    </w:p>
    <w:p w14:paraId="7C71D137">
      <w:pPr>
        <w:ind w:firstLine="880"/>
        <w:rPr>
          <w:rFonts w:hint="default" w:ascii="Times New Roman" w:hAnsi="Times New Roman" w:eastAsia="仿宋" w:cs="Times New Roman"/>
          <w:color w:val="auto"/>
          <w:sz w:val="44"/>
          <w:szCs w:val="44"/>
        </w:rPr>
      </w:pPr>
    </w:p>
    <w:p w14:paraId="1295795F">
      <w:pPr>
        <w:ind w:firstLine="880"/>
        <w:rPr>
          <w:rFonts w:hint="default" w:ascii="Times New Roman" w:hAnsi="Times New Roman" w:eastAsia="仿宋" w:cs="Times New Roman"/>
          <w:color w:val="auto"/>
          <w:sz w:val="44"/>
          <w:szCs w:val="44"/>
        </w:rPr>
      </w:pPr>
    </w:p>
    <w:p w14:paraId="595D57AF">
      <w:pPr>
        <w:adjustRightInd w:val="0"/>
        <w:snapToGrid w:val="0"/>
        <w:spacing w:line="288" w:lineRule="auto"/>
        <w:jc w:val="left"/>
        <w:rPr>
          <w:rFonts w:hint="eastAsia" w:ascii="Times New Roman" w:hAnsi="Times New Roman" w:eastAsia="仿宋_GB2312" w:cs="Times New Roman"/>
          <w:color w:val="auto"/>
          <w:sz w:val="36"/>
          <w:szCs w:val="36"/>
          <w:u w:val="single"/>
          <w:lang w:eastAsia="zh-CN"/>
        </w:rPr>
      </w:pPr>
      <w:bookmarkStart w:id="2" w:name="_Toc11885"/>
      <w:r>
        <w:rPr>
          <w:rFonts w:hint="default" w:ascii="Times New Roman" w:hAnsi="Times New Roman" w:eastAsia="仿宋_GB2312" w:cs="Times New Roman"/>
          <w:color w:val="auto"/>
          <w:sz w:val="36"/>
          <w:szCs w:val="36"/>
        </w:rPr>
        <w:t>项目名称：</w:t>
      </w:r>
      <w:bookmarkEnd w:id="2"/>
      <w:bookmarkStart w:id="3" w:name="_Toc17957"/>
      <w:bookmarkStart w:id="60" w:name="_GoBack"/>
      <w:r>
        <w:rPr>
          <w:rFonts w:hint="eastAsia" w:eastAsia="仿宋_GB2312" w:cs="Times New Roman"/>
          <w:color w:val="auto"/>
          <w:sz w:val="36"/>
          <w:szCs w:val="36"/>
          <w:u w:val="single"/>
          <w:lang w:eastAsia="zh-CN"/>
        </w:rPr>
        <w:t>福建福老酒业有限公司锅炉改建项目</w:t>
      </w:r>
      <w:bookmarkEnd w:id="60"/>
    </w:p>
    <w:bookmarkEnd w:id="3"/>
    <w:p w14:paraId="790E9D53">
      <w:pPr>
        <w:adjustRightInd w:val="0"/>
        <w:snapToGrid w:val="0"/>
        <w:spacing w:line="288" w:lineRule="auto"/>
        <w:rPr>
          <w:rFonts w:hint="default" w:ascii="Times New Roman" w:hAnsi="Times New Roman" w:eastAsia="仿宋_GB2312" w:cs="Times New Roman"/>
          <w:color w:val="auto"/>
          <w:sz w:val="36"/>
          <w:szCs w:val="36"/>
          <w:u w:val="single"/>
        </w:rPr>
      </w:pPr>
      <w:bookmarkStart w:id="4" w:name="_Toc16728"/>
      <w:r>
        <w:rPr>
          <w:rFonts w:hint="default" w:ascii="Times New Roman" w:hAnsi="Times New Roman" w:eastAsia="仿宋_GB2312" w:cs="Times New Roman"/>
          <w:color w:val="auto"/>
          <w:sz w:val="36"/>
          <w:szCs w:val="36"/>
        </w:rPr>
        <w:t>建设单位（盖章）：</w:t>
      </w:r>
      <w:bookmarkEnd w:id="4"/>
      <w:r>
        <w:rPr>
          <w:rFonts w:hint="default" w:ascii="Times New Roman" w:hAnsi="Times New Roman" w:eastAsia="仿宋_GB2312" w:cs="Times New Roman"/>
          <w:color w:val="auto"/>
          <w:sz w:val="36"/>
          <w:szCs w:val="36"/>
          <w:u w:val="single"/>
        </w:rPr>
        <w:t xml:space="preserve">   </w:t>
      </w:r>
      <w:r>
        <w:rPr>
          <w:rFonts w:hint="eastAsia" w:eastAsia="仿宋_GB2312" w:cs="Times New Roman"/>
          <w:color w:val="auto"/>
          <w:sz w:val="36"/>
          <w:szCs w:val="36"/>
          <w:u w:val="single"/>
          <w:lang w:eastAsia="zh-CN"/>
        </w:rPr>
        <w:t>福建福老酒业有限公司</w:t>
      </w:r>
      <w:r>
        <w:rPr>
          <w:rFonts w:hint="default" w:ascii="Times New Roman" w:hAnsi="Times New Roman" w:eastAsia="仿宋_GB2312" w:cs="Times New Roman"/>
          <w:color w:val="auto"/>
          <w:sz w:val="36"/>
          <w:szCs w:val="36"/>
          <w:u w:val="single"/>
        </w:rPr>
        <w:t xml:space="preserve">    </w:t>
      </w:r>
    </w:p>
    <w:p w14:paraId="7E791F9E">
      <w:pPr>
        <w:adjustRightInd w:val="0"/>
        <w:snapToGrid w:val="0"/>
        <w:spacing w:line="288" w:lineRule="auto"/>
        <w:rPr>
          <w:rFonts w:hint="default" w:ascii="Times New Roman" w:hAnsi="Times New Roman" w:eastAsia="仿宋_GB2312" w:cs="Times New Roman"/>
          <w:color w:val="auto"/>
          <w:sz w:val="36"/>
          <w:szCs w:val="36"/>
          <w:u w:val="single"/>
        </w:rPr>
      </w:pPr>
      <w:bookmarkStart w:id="5" w:name="_Toc20189"/>
      <w:r>
        <w:rPr>
          <w:rFonts w:hint="default" w:ascii="Times New Roman" w:hAnsi="Times New Roman" w:eastAsia="仿宋_GB2312" w:cs="Times New Roman"/>
          <w:color w:val="auto"/>
          <w:sz w:val="36"/>
          <w:szCs w:val="36"/>
        </w:rPr>
        <w:t>编制日期：</w:t>
      </w:r>
      <w:r>
        <w:rPr>
          <w:rFonts w:hint="default" w:ascii="Times New Roman" w:hAnsi="Times New Roman" w:eastAsia="仿宋_GB2312" w:cs="Times New Roman"/>
          <w:color w:val="auto"/>
          <w:sz w:val="36"/>
          <w:szCs w:val="36"/>
          <w:u w:val="single"/>
        </w:rPr>
        <w:t xml:space="preserve">            2021年</w:t>
      </w:r>
      <w:r>
        <w:rPr>
          <w:rFonts w:hint="eastAsia" w:eastAsia="仿宋_GB2312" w:cs="Times New Roman"/>
          <w:color w:val="auto"/>
          <w:sz w:val="36"/>
          <w:szCs w:val="36"/>
          <w:u w:val="single"/>
          <w:lang w:val="en-US" w:eastAsia="zh-CN"/>
        </w:rPr>
        <w:t>11</w:t>
      </w:r>
      <w:r>
        <w:rPr>
          <w:rFonts w:hint="default" w:ascii="Times New Roman" w:hAnsi="Times New Roman" w:eastAsia="仿宋_GB2312" w:cs="Times New Roman"/>
          <w:color w:val="auto"/>
          <w:sz w:val="36"/>
          <w:szCs w:val="36"/>
          <w:u w:val="single"/>
        </w:rPr>
        <w:t>月</w:t>
      </w:r>
      <w:bookmarkEnd w:id="5"/>
      <w:r>
        <w:rPr>
          <w:rFonts w:hint="default" w:ascii="Times New Roman" w:hAnsi="Times New Roman" w:eastAsia="仿宋_GB2312" w:cs="Times New Roman"/>
          <w:color w:val="auto"/>
          <w:sz w:val="36"/>
          <w:szCs w:val="36"/>
          <w:u w:val="single"/>
        </w:rPr>
        <w:t xml:space="preserve">            </w:t>
      </w:r>
    </w:p>
    <w:p w14:paraId="3F4DFF15">
      <w:pPr>
        <w:adjustRightInd w:val="0"/>
        <w:snapToGrid w:val="0"/>
        <w:spacing w:line="288" w:lineRule="auto"/>
        <w:ind w:firstLine="0" w:firstLineChars="0"/>
        <w:rPr>
          <w:rFonts w:hint="default" w:ascii="Times New Roman" w:hAnsi="Times New Roman" w:eastAsia="仿宋_GB2312" w:cs="Times New Roman"/>
          <w:color w:val="auto"/>
          <w:sz w:val="36"/>
          <w:szCs w:val="36"/>
          <w:u w:val="single"/>
        </w:rPr>
      </w:pPr>
      <w:bookmarkStart w:id="6" w:name="_Hlk57884087"/>
    </w:p>
    <w:p w14:paraId="29992A8C">
      <w:pPr>
        <w:adjustRightInd w:val="0"/>
        <w:snapToGrid w:val="0"/>
        <w:spacing w:line="288" w:lineRule="auto"/>
        <w:rPr>
          <w:rFonts w:hint="default" w:ascii="Times New Roman" w:hAnsi="Times New Roman" w:eastAsia="仿宋_GB2312" w:cs="Times New Roman"/>
          <w:color w:val="auto"/>
          <w:sz w:val="36"/>
          <w:szCs w:val="36"/>
        </w:rPr>
      </w:pPr>
    </w:p>
    <w:p w14:paraId="5DBC66D9">
      <w:pPr>
        <w:adjustRightInd w:val="0"/>
        <w:snapToGrid w:val="0"/>
        <w:spacing w:line="288" w:lineRule="auto"/>
        <w:rPr>
          <w:rFonts w:hint="default" w:ascii="Times New Roman" w:hAnsi="Times New Roman" w:eastAsia="仿宋_GB2312" w:cs="Times New Roman"/>
          <w:color w:val="auto"/>
          <w:sz w:val="36"/>
          <w:szCs w:val="36"/>
        </w:rPr>
      </w:pPr>
    </w:p>
    <w:p w14:paraId="44180DD4">
      <w:pPr>
        <w:adjustRightInd w:val="0"/>
        <w:snapToGrid w:val="0"/>
        <w:spacing w:line="288" w:lineRule="auto"/>
        <w:rPr>
          <w:rFonts w:hint="default" w:ascii="Times New Roman" w:hAnsi="Times New Roman" w:eastAsia="仿宋_GB2312" w:cs="Times New Roman"/>
          <w:color w:val="auto"/>
          <w:sz w:val="36"/>
          <w:szCs w:val="36"/>
        </w:rPr>
      </w:pPr>
    </w:p>
    <w:bookmarkEnd w:id="6"/>
    <w:p w14:paraId="7881D5D9">
      <w:pPr>
        <w:adjustRightInd w:val="0"/>
        <w:snapToGrid w:val="0"/>
        <w:spacing w:line="288" w:lineRule="auto"/>
        <w:jc w:val="center"/>
        <w:rPr>
          <w:rFonts w:hint="default" w:ascii="Times New Roman" w:hAnsi="Times New Roman" w:cs="Times New Roman"/>
          <w:color w:val="auto"/>
        </w:rPr>
      </w:pPr>
      <w:bookmarkStart w:id="7" w:name="_Toc5736"/>
      <w:r>
        <w:rPr>
          <w:rFonts w:hint="default" w:ascii="Times New Roman" w:hAnsi="Times New Roman" w:eastAsia="楷体_GB2312" w:cs="Times New Roman"/>
          <w:color w:val="auto"/>
          <w:sz w:val="36"/>
          <w:szCs w:val="36"/>
        </w:rPr>
        <w:t>中华人民共和国生态环境部制</w:t>
      </w:r>
      <w:bookmarkEnd w:id="7"/>
    </w:p>
    <w:p w14:paraId="2C44A8BE">
      <w:pPr>
        <w:adjustRightInd w:val="0"/>
        <w:snapToGrid w:val="0"/>
        <w:spacing w:line="288" w:lineRule="auto"/>
        <w:rPr>
          <w:rFonts w:hint="default" w:ascii="Times New Roman" w:hAnsi="Times New Roman" w:eastAsia="仿宋_GB2312" w:cs="Times New Roman"/>
          <w:color w:val="auto"/>
          <w:sz w:val="36"/>
          <w:szCs w:val="36"/>
        </w:rPr>
        <w:sectPr>
          <w:footerReference r:id="rId5" w:type="default"/>
          <w:footerReference r:id="rId6" w:type="even"/>
          <w:pgSz w:w="11906" w:h="16838"/>
          <w:pgMar w:top="1701" w:right="1531" w:bottom="1701" w:left="1531" w:header="851" w:footer="1077" w:gutter="0"/>
          <w:pgNumType w:start="3"/>
          <w:cols w:space="720" w:num="1"/>
          <w:docGrid w:linePitch="312" w:charSpace="0"/>
        </w:sectPr>
      </w:pPr>
    </w:p>
    <w:p w14:paraId="179B5804">
      <w:pPr>
        <w:pStyle w:val="3"/>
        <w:ind w:firstLineChars="0"/>
        <w:rPr>
          <w:rFonts w:hint="default" w:ascii="Times New Roman" w:hAnsi="Times New Roman" w:cs="Times New Roman"/>
          <w:color w:val="auto"/>
        </w:rPr>
      </w:pPr>
      <w:bookmarkStart w:id="8" w:name="_Toc6682"/>
      <w:bookmarkStart w:id="9" w:name="_Toc26408"/>
      <w:r>
        <w:rPr>
          <w:rFonts w:hint="default" w:ascii="Times New Roman" w:hAnsi="Times New Roman" w:cs="Times New Roman"/>
          <w:color w:val="auto"/>
        </w:rPr>
        <w:t>建设项目基本情况</w:t>
      </w:r>
      <w:bookmarkEnd w:id="8"/>
      <w:bookmarkEnd w:id="9"/>
    </w:p>
    <w:tbl>
      <w:tblPr>
        <w:tblStyle w:val="21"/>
        <w:tblW w:w="88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34"/>
        <w:gridCol w:w="1870"/>
        <w:gridCol w:w="1770"/>
        <w:gridCol w:w="3465"/>
      </w:tblGrid>
      <w:tr w14:paraId="59571A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6" w:hRule="atLeast"/>
          <w:jc w:val="center"/>
        </w:trPr>
        <w:tc>
          <w:tcPr>
            <w:tcW w:w="1734" w:type="dxa"/>
            <w:tcMar>
              <w:top w:w="16" w:type="dxa"/>
              <w:left w:w="16" w:type="dxa"/>
              <w:right w:w="16" w:type="dxa"/>
            </w:tcMar>
            <w:vAlign w:val="center"/>
          </w:tcPr>
          <w:p w14:paraId="44AEA695">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建设项目名称</w:t>
            </w:r>
          </w:p>
        </w:tc>
        <w:tc>
          <w:tcPr>
            <w:tcW w:w="7105" w:type="dxa"/>
            <w:gridSpan w:val="3"/>
            <w:vAlign w:val="center"/>
          </w:tcPr>
          <w:p w14:paraId="12D90D75">
            <w:pPr>
              <w:adjustRightInd w:val="0"/>
              <w:snapToGrid w:val="0"/>
              <w:spacing w:line="240" w:lineRule="auto"/>
              <w:ind w:firstLine="0" w:firstLineChars="0"/>
              <w:jc w:val="center"/>
              <w:rPr>
                <w:rFonts w:hint="eastAsia" w:ascii="Times New Roman" w:hAnsi="Times New Roman" w:eastAsia="宋体" w:cs="Times New Roman"/>
                <w:color w:val="auto"/>
                <w:lang w:eastAsia="zh-CN"/>
              </w:rPr>
            </w:pPr>
            <w:r>
              <w:rPr>
                <w:rFonts w:hint="eastAsia" w:cs="Times New Roman"/>
                <w:color w:val="auto"/>
                <w:lang w:eastAsia="zh-CN"/>
              </w:rPr>
              <w:t>福建福老酒业有限公司锅炉改建项目</w:t>
            </w:r>
          </w:p>
        </w:tc>
      </w:tr>
      <w:tr w14:paraId="1F310D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6" w:hRule="atLeast"/>
          <w:jc w:val="center"/>
        </w:trPr>
        <w:tc>
          <w:tcPr>
            <w:tcW w:w="1734" w:type="dxa"/>
            <w:tcMar>
              <w:top w:w="16" w:type="dxa"/>
              <w:left w:w="16" w:type="dxa"/>
              <w:right w:w="16" w:type="dxa"/>
            </w:tcMar>
            <w:vAlign w:val="center"/>
          </w:tcPr>
          <w:p w14:paraId="4FC307BB">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项目代码</w:t>
            </w:r>
          </w:p>
        </w:tc>
        <w:tc>
          <w:tcPr>
            <w:tcW w:w="7105" w:type="dxa"/>
            <w:gridSpan w:val="3"/>
            <w:vAlign w:val="center"/>
          </w:tcPr>
          <w:p w14:paraId="655DF9D6">
            <w:pPr>
              <w:adjustRightInd w:val="0"/>
              <w:snapToGrid w:val="0"/>
              <w:spacing w:line="240" w:lineRule="auto"/>
              <w:ind w:firstLine="0" w:firstLineChars="0"/>
              <w:jc w:val="center"/>
              <w:rPr>
                <w:rFonts w:hint="eastAsia" w:ascii="Times New Roman" w:hAnsi="Times New Roman" w:eastAsia="宋体" w:cs="Times New Roman"/>
                <w:color w:val="auto"/>
                <w:lang w:eastAsia="zh-CN"/>
              </w:rPr>
            </w:pPr>
            <w:r>
              <w:rPr>
                <w:rFonts w:hint="eastAsia" w:cs="Times New Roman"/>
                <w:color w:val="auto"/>
                <w:lang w:val="en-US" w:eastAsia="zh-CN"/>
              </w:rPr>
              <w:t>/</w:t>
            </w:r>
          </w:p>
        </w:tc>
      </w:tr>
      <w:tr w14:paraId="7DB256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5" w:hRule="atLeast"/>
          <w:jc w:val="center"/>
        </w:trPr>
        <w:tc>
          <w:tcPr>
            <w:tcW w:w="1734" w:type="dxa"/>
            <w:tcMar>
              <w:top w:w="16" w:type="dxa"/>
              <w:left w:w="16" w:type="dxa"/>
              <w:right w:w="16" w:type="dxa"/>
            </w:tcMar>
            <w:vAlign w:val="center"/>
          </w:tcPr>
          <w:p w14:paraId="73488B82">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建设单位联系人</w:t>
            </w:r>
          </w:p>
        </w:tc>
        <w:tc>
          <w:tcPr>
            <w:tcW w:w="1870" w:type="dxa"/>
            <w:vAlign w:val="center"/>
          </w:tcPr>
          <w:p w14:paraId="015F1EF9">
            <w:pPr>
              <w:adjustRightInd w:val="0"/>
              <w:snapToGrid w:val="0"/>
              <w:spacing w:line="240" w:lineRule="auto"/>
              <w:ind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1770" w:type="dxa"/>
            <w:vAlign w:val="center"/>
          </w:tcPr>
          <w:p w14:paraId="1477A755">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联系方式</w:t>
            </w:r>
          </w:p>
        </w:tc>
        <w:tc>
          <w:tcPr>
            <w:tcW w:w="3465" w:type="dxa"/>
            <w:vAlign w:val="center"/>
          </w:tcPr>
          <w:p w14:paraId="08F88A16">
            <w:pPr>
              <w:adjustRightInd w:val="0"/>
              <w:snapToGrid w:val="0"/>
              <w:spacing w:line="240" w:lineRule="auto"/>
              <w:ind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14:paraId="26D9AB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9" w:hRule="atLeast"/>
          <w:jc w:val="center"/>
        </w:trPr>
        <w:tc>
          <w:tcPr>
            <w:tcW w:w="1734" w:type="dxa"/>
            <w:tcMar>
              <w:top w:w="16" w:type="dxa"/>
              <w:left w:w="16" w:type="dxa"/>
              <w:right w:w="16" w:type="dxa"/>
            </w:tcMar>
            <w:vAlign w:val="center"/>
          </w:tcPr>
          <w:p w14:paraId="68A932F1">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建设地点</w:t>
            </w:r>
          </w:p>
        </w:tc>
        <w:tc>
          <w:tcPr>
            <w:tcW w:w="7105" w:type="dxa"/>
            <w:gridSpan w:val="3"/>
            <w:vAlign w:val="center"/>
          </w:tcPr>
          <w:p w14:paraId="6E501270">
            <w:pPr>
              <w:adjustRightInd w:val="0"/>
              <w:snapToGrid w:val="0"/>
              <w:spacing w:line="240" w:lineRule="auto"/>
              <w:ind w:firstLine="0" w:firstLineChars="0"/>
              <w:jc w:val="center"/>
              <w:rPr>
                <w:rFonts w:hint="eastAsia" w:ascii="Times New Roman" w:hAnsi="Times New Roman" w:eastAsia="宋体" w:cs="Times New Roman"/>
                <w:color w:val="auto"/>
                <w:lang w:eastAsia="zh-CN"/>
              </w:rPr>
            </w:pPr>
            <w:r>
              <w:rPr>
                <w:rFonts w:hint="eastAsia" w:cs="Times New Roman"/>
                <w:color w:val="auto"/>
                <w:lang w:eastAsia="zh-CN"/>
              </w:rPr>
              <w:t>福建省福州市闽侯县铁岭工业区长龙西路1号</w:t>
            </w:r>
          </w:p>
        </w:tc>
      </w:tr>
      <w:tr w14:paraId="46759D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9" w:hRule="atLeast"/>
          <w:jc w:val="center"/>
        </w:trPr>
        <w:tc>
          <w:tcPr>
            <w:tcW w:w="1734" w:type="dxa"/>
            <w:tcMar>
              <w:top w:w="16" w:type="dxa"/>
              <w:left w:w="16" w:type="dxa"/>
              <w:right w:w="16" w:type="dxa"/>
            </w:tcMar>
            <w:vAlign w:val="center"/>
          </w:tcPr>
          <w:p w14:paraId="701D2235">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地理坐标</w:t>
            </w:r>
          </w:p>
        </w:tc>
        <w:tc>
          <w:tcPr>
            <w:tcW w:w="7105" w:type="dxa"/>
            <w:gridSpan w:val="3"/>
            <w:vAlign w:val="center"/>
          </w:tcPr>
          <w:p w14:paraId="69A2B657">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东经119°8′56.44″，北纬26°9′39.64″</w:t>
            </w:r>
          </w:p>
        </w:tc>
      </w:tr>
      <w:tr w14:paraId="58FCFC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77" w:hRule="atLeast"/>
          <w:jc w:val="center"/>
        </w:trPr>
        <w:tc>
          <w:tcPr>
            <w:tcW w:w="1734" w:type="dxa"/>
            <w:tcMar>
              <w:top w:w="16" w:type="dxa"/>
              <w:left w:w="16" w:type="dxa"/>
              <w:right w:w="16" w:type="dxa"/>
            </w:tcMar>
            <w:vAlign w:val="center"/>
          </w:tcPr>
          <w:p w14:paraId="2B59AA40">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国民经济</w:t>
            </w:r>
          </w:p>
          <w:p w14:paraId="462CDD68">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行业类别</w:t>
            </w:r>
          </w:p>
        </w:tc>
        <w:tc>
          <w:tcPr>
            <w:tcW w:w="1870" w:type="dxa"/>
            <w:vAlign w:val="center"/>
          </w:tcPr>
          <w:p w14:paraId="5762FF08">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D4430热力生产和供应</w:t>
            </w:r>
          </w:p>
        </w:tc>
        <w:tc>
          <w:tcPr>
            <w:tcW w:w="1770" w:type="dxa"/>
            <w:vAlign w:val="center"/>
          </w:tcPr>
          <w:p w14:paraId="7C2DD0FA">
            <w:pPr>
              <w:adjustRightInd w:val="0"/>
              <w:snapToGrid w:val="0"/>
              <w:spacing w:line="240" w:lineRule="auto"/>
              <w:ind w:firstLine="0" w:firstLineChars="0"/>
              <w:jc w:val="center"/>
              <w:rPr>
                <w:rFonts w:hint="default" w:ascii="Times New Roman" w:hAnsi="Times New Roman" w:cs="Times New Roman"/>
                <w:color w:val="auto"/>
              </w:rPr>
            </w:pPr>
            <w:bookmarkStart w:id="10" w:name="_Hlk49843745"/>
            <w:r>
              <w:rPr>
                <w:rFonts w:hint="default" w:ascii="Times New Roman" w:hAnsi="Times New Roman" w:cs="Times New Roman"/>
                <w:color w:val="auto"/>
              </w:rPr>
              <w:t>建设项目</w:t>
            </w:r>
          </w:p>
          <w:p w14:paraId="46901E65">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行业类别</w:t>
            </w:r>
            <w:bookmarkEnd w:id="10"/>
          </w:p>
        </w:tc>
        <w:tc>
          <w:tcPr>
            <w:tcW w:w="3465" w:type="dxa"/>
            <w:vAlign w:val="center"/>
          </w:tcPr>
          <w:p w14:paraId="48D1BCE5">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四十一、电力、热力生产和供应业 “91 热力生产和供应工程（包括建设单位自建自用的供热工程”中的“天然气锅炉总容量1吨/小时（0.7兆瓦）以上的”</w:t>
            </w:r>
          </w:p>
        </w:tc>
      </w:tr>
      <w:tr w14:paraId="02AB94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31" w:hRule="atLeast"/>
          <w:jc w:val="center"/>
        </w:trPr>
        <w:tc>
          <w:tcPr>
            <w:tcW w:w="1734" w:type="dxa"/>
            <w:tcMar>
              <w:top w:w="16" w:type="dxa"/>
              <w:left w:w="16" w:type="dxa"/>
              <w:right w:w="16" w:type="dxa"/>
            </w:tcMar>
            <w:vAlign w:val="center"/>
          </w:tcPr>
          <w:p w14:paraId="151DC519">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建设性质</w:t>
            </w:r>
          </w:p>
        </w:tc>
        <w:tc>
          <w:tcPr>
            <w:tcW w:w="1870" w:type="dxa"/>
            <w:vAlign w:val="center"/>
          </w:tcPr>
          <w:p w14:paraId="12D9FEA3">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新建</w:t>
            </w:r>
          </w:p>
          <w:p w14:paraId="3F476341">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FE"/>
            </w:r>
            <w:r>
              <w:rPr>
                <w:rFonts w:hint="default" w:ascii="Times New Roman" w:hAnsi="Times New Roman" w:cs="Times New Roman"/>
                <w:color w:val="auto"/>
              </w:rPr>
              <w:t>改建</w:t>
            </w:r>
          </w:p>
          <w:p w14:paraId="283EEF99">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扩建</w:t>
            </w:r>
          </w:p>
          <w:p w14:paraId="155B3810">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技术改造</w:t>
            </w:r>
          </w:p>
        </w:tc>
        <w:tc>
          <w:tcPr>
            <w:tcW w:w="1770" w:type="dxa"/>
            <w:vAlign w:val="center"/>
          </w:tcPr>
          <w:p w14:paraId="2DE38CF7">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建设项目</w:t>
            </w:r>
          </w:p>
          <w:p w14:paraId="44501F87">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申报情形</w:t>
            </w:r>
          </w:p>
        </w:tc>
        <w:tc>
          <w:tcPr>
            <w:tcW w:w="3465" w:type="dxa"/>
            <w:vAlign w:val="center"/>
          </w:tcPr>
          <w:p w14:paraId="5D9FBAF4">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FE"/>
            </w:r>
            <w:r>
              <w:rPr>
                <w:rFonts w:hint="default" w:ascii="Times New Roman" w:hAnsi="Times New Roman" w:cs="Times New Roman"/>
                <w:color w:val="auto"/>
              </w:rPr>
              <w:t xml:space="preserve"> 首次申报项目</w:t>
            </w:r>
          </w:p>
          <w:p w14:paraId="11BE24F4">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不予批准后再次申报项目</w:t>
            </w:r>
          </w:p>
          <w:p w14:paraId="628E857C">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超五年重新审核项目</w:t>
            </w:r>
          </w:p>
          <w:p w14:paraId="7AF4DB3F">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重大变动重新报批项目</w:t>
            </w:r>
          </w:p>
        </w:tc>
      </w:tr>
      <w:tr w14:paraId="63A0CB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00" w:hRule="atLeast"/>
          <w:jc w:val="center"/>
        </w:trPr>
        <w:tc>
          <w:tcPr>
            <w:tcW w:w="1734" w:type="dxa"/>
            <w:tcMar>
              <w:top w:w="16" w:type="dxa"/>
              <w:left w:w="16" w:type="dxa"/>
              <w:right w:w="16" w:type="dxa"/>
            </w:tcMar>
            <w:vAlign w:val="center"/>
          </w:tcPr>
          <w:p w14:paraId="64740F5F">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项目审批</w:t>
            </w:r>
          </w:p>
          <w:p w14:paraId="75D50C5B">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（核准/备案）</w:t>
            </w:r>
          </w:p>
          <w:p w14:paraId="109C1F59">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部门（选填）</w:t>
            </w:r>
          </w:p>
        </w:tc>
        <w:tc>
          <w:tcPr>
            <w:tcW w:w="1870" w:type="dxa"/>
            <w:vAlign w:val="center"/>
          </w:tcPr>
          <w:p w14:paraId="0F0FB753">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w:t>
            </w:r>
          </w:p>
        </w:tc>
        <w:tc>
          <w:tcPr>
            <w:tcW w:w="1770" w:type="dxa"/>
            <w:vAlign w:val="center"/>
          </w:tcPr>
          <w:p w14:paraId="5DD8160C">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项目审批</w:t>
            </w:r>
          </w:p>
          <w:p w14:paraId="73BA2777">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（核准/备）</w:t>
            </w:r>
          </w:p>
          <w:p w14:paraId="4E0502FB">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文号（选填）</w:t>
            </w:r>
          </w:p>
        </w:tc>
        <w:tc>
          <w:tcPr>
            <w:tcW w:w="3465" w:type="dxa"/>
            <w:vAlign w:val="center"/>
          </w:tcPr>
          <w:p w14:paraId="7976DDD6">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w:t>
            </w:r>
          </w:p>
        </w:tc>
      </w:tr>
      <w:tr w14:paraId="506CEF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1" w:hRule="atLeast"/>
          <w:jc w:val="center"/>
        </w:trPr>
        <w:tc>
          <w:tcPr>
            <w:tcW w:w="1734" w:type="dxa"/>
            <w:tcMar>
              <w:top w:w="16" w:type="dxa"/>
              <w:left w:w="16" w:type="dxa"/>
              <w:right w:w="16" w:type="dxa"/>
            </w:tcMar>
            <w:vAlign w:val="center"/>
          </w:tcPr>
          <w:p w14:paraId="074CEEA1">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总投资（万元）</w:t>
            </w:r>
          </w:p>
        </w:tc>
        <w:tc>
          <w:tcPr>
            <w:tcW w:w="1870" w:type="dxa"/>
            <w:vAlign w:val="center"/>
          </w:tcPr>
          <w:p w14:paraId="6F2DC44F">
            <w:pPr>
              <w:adjustRightInd w:val="0"/>
              <w:snapToGrid w:val="0"/>
              <w:spacing w:line="240" w:lineRule="auto"/>
              <w:ind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55</w:t>
            </w:r>
          </w:p>
        </w:tc>
        <w:tc>
          <w:tcPr>
            <w:tcW w:w="1770" w:type="dxa"/>
            <w:tcMar>
              <w:top w:w="16" w:type="dxa"/>
              <w:left w:w="16" w:type="dxa"/>
              <w:right w:w="16" w:type="dxa"/>
            </w:tcMar>
            <w:vAlign w:val="center"/>
          </w:tcPr>
          <w:p w14:paraId="7ED5AC0C">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环保投资</w:t>
            </w:r>
          </w:p>
          <w:p w14:paraId="67A84422">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（万元）</w:t>
            </w:r>
          </w:p>
        </w:tc>
        <w:tc>
          <w:tcPr>
            <w:tcW w:w="3465" w:type="dxa"/>
            <w:vAlign w:val="center"/>
          </w:tcPr>
          <w:p w14:paraId="05E236F5">
            <w:pPr>
              <w:adjustRightInd w:val="0"/>
              <w:snapToGrid w:val="0"/>
              <w:spacing w:line="240" w:lineRule="auto"/>
              <w:ind w:firstLine="0" w:firstLineChars="0"/>
              <w:jc w:val="center"/>
              <w:rPr>
                <w:rFonts w:hint="eastAsia" w:ascii="Times New Roman" w:hAnsi="Times New Roman" w:eastAsia="宋体" w:cs="Times New Roman"/>
                <w:color w:val="auto"/>
                <w:lang w:eastAsia="zh-CN"/>
              </w:rPr>
            </w:pPr>
            <w:r>
              <w:rPr>
                <w:rFonts w:hint="eastAsia" w:cs="Times New Roman"/>
                <w:color w:val="auto"/>
                <w:lang w:val="en-US" w:eastAsia="zh-CN"/>
              </w:rPr>
              <w:t>6</w:t>
            </w:r>
          </w:p>
        </w:tc>
      </w:tr>
      <w:tr w14:paraId="1813EF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6" w:hRule="atLeast"/>
          <w:jc w:val="center"/>
        </w:trPr>
        <w:tc>
          <w:tcPr>
            <w:tcW w:w="1734" w:type="dxa"/>
            <w:tcMar>
              <w:top w:w="16" w:type="dxa"/>
              <w:left w:w="16" w:type="dxa"/>
              <w:right w:w="16" w:type="dxa"/>
            </w:tcMar>
            <w:vAlign w:val="center"/>
          </w:tcPr>
          <w:p w14:paraId="74EA154F">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环保投资占比（%）</w:t>
            </w:r>
          </w:p>
        </w:tc>
        <w:tc>
          <w:tcPr>
            <w:tcW w:w="1870" w:type="dxa"/>
            <w:vAlign w:val="center"/>
          </w:tcPr>
          <w:p w14:paraId="74A629AB">
            <w:pPr>
              <w:adjustRightInd w:val="0"/>
              <w:snapToGrid w:val="0"/>
              <w:spacing w:line="240" w:lineRule="auto"/>
              <w:ind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10.9</w:t>
            </w:r>
          </w:p>
        </w:tc>
        <w:tc>
          <w:tcPr>
            <w:tcW w:w="1770" w:type="dxa"/>
            <w:tcMar>
              <w:top w:w="16" w:type="dxa"/>
              <w:left w:w="16" w:type="dxa"/>
              <w:right w:w="16" w:type="dxa"/>
            </w:tcMar>
            <w:vAlign w:val="center"/>
          </w:tcPr>
          <w:p w14:paraId="7D59A059">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施工工期</w:t>
            </w:r>
          </w:p>
        </w:tc>
        <w:tc>
          <w:tcPr>
            <w:tcW w:w="3465" w:type="dxa"/>
            <w:vAlign w:val="center"/>
          </w:tcPr>
          <w:p w14:paraId="7452C4BB">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2021年</w:t>
            </w:r>
            <w:r>
              <w:rPr>
                <w:rFonts w:hint="eastAsia" w:cs="Times New Roman"/>
                <w:color w:val="auto"/>
                <w:lang w:val="en-US" w:eastAsia="zh-CN"/>
              </w:rPr>
              <w:t>11</w:t>
            </w:r>
            <w:r>
              <w:rPr>
                <w:rFonts w:hint="default" w:ascii="Times New Roman" w:hAnsi="Times New Roman" w:cs="Times New Roman"/>
                <w:color w:val="auto"/>
              </w:rPr>
              <w:t>月至2022年</w:t>
            </w:r>
            <w:r>
              <w:rPr>
                <w:rFonts w:hint="eastAsia" w:cs="Times New Roman"/>
                <w:color w:val="auto"/>
                <w:lang w:val="en-US" w:eastAsia="zh-CN"/>
              </w:rPr>
              <w:t>2</w:t>
            </w:r>
            <w:r>
              <w:rPr>
                <w:rFonts w:hint="default" w:ascii="Times New Roman" w:hAnsi="Times New Roman" w:cs="Times New Roman"/>
                <w:color w:val="auto"/>
              </w:rPr>
              <w:t>月</w:t>
            </w:r>
          </w:p>
        </w:tc>
      </w:tr>
      <w:tr w14:paraId="0674C1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69" w:hRule="atLeast"/>
          <w:jc w:val="center"/>
        </w:trPr>
        <w:tc>
          <w:tcPr>
            <w:tcW w:w="1734" w:type="dxa"/>
            <w:tcMar>
              <w:top w:w="16" w:type="dxa"/>
              <w:left w:w="16" w:type="dxa"/>
              <w:right w:w="16" w:type="dxa"/>
            </w:tcMar>
            <w:vAlign w:val="center"/>
          </w:tcPr>
          <w:p w14:paraId="403B4546">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是否开工建设</w:t>
            </w:r>
          </w:p>
        </w:tc>
        <w:tc>
          <w:tcPr>
            <w:tcW w:w="1870" w:type="dxa"/>
            <w:vAlign w:val="center"/>
          </w:tcPr>
          <w:p w14:paraId="3CBF65F5">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FE"/>
            </w:r>
            <w:r>
              <w:rPr>
                <w:rFonts w:hint="default" w:ascii="Times New Roman" w:hAnsi="Times New Roman" w:cs="Times New Roman"/>
                <w:color w:val="auto"/>
              </w:rPr>
              <w:t xml:space="preserve"> 否</w:t>
            </w:r>
          </w:p>
          <w:p w14:paraId="3C51448E">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是：</w:t>
            </w:r>
          </w:p>
        </w:tc>
        <w:tc>
          <w:tcPr>
            <w:tcW w:w="1770" w:type="dxa"/>
            <w:tcMar>
              <w:top w:w="16" w:type="dxa"/>
              <w:left w:w="16" w:type="dxa"/>
              <w:right w:w="16" w:type="dxa"/>
            </w:tcMar>
            <w:vAlign w:val="center"/>
          </w:tcPr>
          <w:p w14:paraId="2FC4C5AF">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用地面积</w:t>
            </w:r>
          </w:p>
          <w:p w14:paraId="4C887DB3">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3465" w:type="dxa"/>
            <w:vAlign w:val="center"/>
          </w:tcPr>
          <w:p w14:paraId="6C2AFF87">
            <w:pPr>
              <w:adjustRightInd w:val="0"/>
              <w:snapToGrid w:val="0"/>
              <w:spacing w:line="240" w:lineRule="auto"/>
              <w:ind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612.7</w:t>
            </w:r>
          </w:p>
        </w:tc>
      </w:tr>
      <w:tr w14:paraId="087A52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3" w:hRule="atLeast"/>
          <w:jc w:val="center"/>
        </w:trPr>
        <w:tc>
          <w:tcPr>
            <w:tcW w:w="1734" w:type="dxa"/>
            <w:tcMar>
              <w:top w:w="16" w:type="dxa"/>
              <w:left w:w="16" w:type="dxa"/>
              <w:right w:w="16" w:type="dxa"/>
            </w:tcMar>
            <w:vAlign w:val="center"/>
          </w:tcPr>
          <w:p w14:paraId="6A92882F">
            <w:pPr>
              <w:autoSpaceDE w:val="0"/>
              <w:autoSpaceDN w:val="0"/>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kern w:val="0"/>
              </w:rPr>
              <w:t>专项评价设置情况</w:t>
            </w:r>
          </w:p>
        </w:tc>
        <w:tc>
          <w:tcPr>
            <w:tcW w:w="7105" w:type="dxa"/>
            <w:gridSpan w:val="3"/>
            <w:vAlign w:val="center"/>
          </w:tcPr>
          <w:p w14:paraId="400CB599">
            <w:pPr>
              <w:pStyle w:val="35"/>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无</w:t>
            </w:r>
          </w:p>
        </w:tc>
      </w:tr>
      <w:tr w14:paraId="0FA1F5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1734" w:type="dxa"/>
            <w:tcMar>
              <w:top w:w="16" w:type="dxa"/>
              <w:left w:w="16" w:type="dxa"/>
              <w:right w:w="16" w:type="dxa"/>
            </w:tcMar>
            <w:vAlign w:val="center"/>
          </w:tcPr>
          <w:p w14:paraId="487F6206">
            <w:pPr>
              <w:autoSpaceDE w:val="0"/>
              <w:autoSpaceDN w:val="0"/>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rPr>
              <w:t>规划情况</w:t>
            </w:r>
          </w:p>
        </w:tc>
        <w:tc>
          <w:tcPr>
            <w:tcW w:w="7105" w:type="dxa"/>
            <w:gridSpan w:val="3"/>
            <w:vAlign w:val="center"/>
          </w:tcPr>
          <w:p w14:paraId="0F35B2A6">
            <w:pPr>
              <w:pStyle w:val="35"/>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无</w:t>
            </w:r>
          </w:p>
        </w:tc>
      </w:tr>
      <w:tr w14:paraId="48C829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1" w:hRule="atLeast"/>
          <w:jc w:val="center"/>
        </w:trPr>
        <w:tc>
          <w:tcPr>
            <w:tcW w:w="1734" w:type="dxa"/>
            <w:tcMar>
              <w:top w:w="16" w:type="dxa"/>
              <w:left w:w="16" w:type="dxa"/>
              <w:right w:w="16" w:type="dxa"/>
            </w:tcMar>
            <w:vAlign w:val="center"/>
          </w:tcPr>
          <w:p w14:paraId="28F4F5DC">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规划环境影响</w:t>
            </w:r>
          </w:p>
          <w:p w14:paraId="06599BB8">
            <w:pPr>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rPr>
              <w:t>评价情况</w:t>
            </w:r>
          </w:p>
        </w:tc>
        <w:tc>
          <w:tcPr>
            <w:tcW w:w="7105" w:type="dxa"/>
            <w:gridSpan w:val="3"/>
            <w:vAlign w:val="center"/>
          </w:tcPr>
          <w:p w14:paraId="5CB4D64C">
            <w:pPr>
              <w:pStyle w:val="35"/>
              <w:spacing w:line="240" w:lineRule="auto"/>
              <w:ind w:firstLine="0" w:firstLineChars="0"/>
              <w:jc w:val="center"/>
              <w:rPr>
                <w:rFonts w:hint="default" w:ascii="Times New Roman" w:hAnsi="Times New Roman" w:cs="Times New Roman"/>
                <w:color w:val="auto"/>
                <w:kern w:val="0"/>
                <w:szCs w:val="21"/>
              </w:rPr>
            </w:pPr>
            <w:r>
              <w:rPr>
                <w:rFonts w:hint="default" w:ascii="Times New Roman" w:hAnsi="Times New Roman" w:cs="Times New Roman"/>
                <w:color w:val="auto"/>
              </w:rPr>
              <w:t>无</w:t>
            </w:r>
          </w:p>
        </w:tc>
      </w:tr>
      <w:tr w14:paraId="66B05C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1" w:hRule="atLeast"/>
          <w:jc w:val="center"/>
        </w:trPr>
        <w:tc>
          <w:tcPr>
            <w:tcW w:w="1734" w:type="dxa"/>
            <w:tcMar>
              <w:top w:w="16" w:type="dxa"/>
              <w:left w:w="16" w:type="dxa"/>
              <w:right w:w="16" w:type="dxa"/>
            </w:tcMar>
            <w:vAlign w:val="center"/>
          </w:tcPr>
          <w:p w14:paraId="035EDE42">
            <w:pPr>
              <w:autoSpaceDE w:val="0"/>
              <w:autoSpaceDN w:val="0"/>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kern w:val="0"/>
              </w:rPr>
              <w:t>规划及规划环境</w:t>
            </w:r>
          </w:p>
          <w:p w14:paraId="5DEC63FD">
            <w:pPr>
              <w:autoSpaceDE w:val="0"/>
              <w:autoSpaceDN w:val="0"/>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kern w:val="0"/>
              </w:rPr>
              <w:t>影响评价符合性分析</w:t>
            </w:r>
          </w:p>
        </w:tc>
        <w:tc>
          <w:tcPr>
            <w:tcW w:w="7105" w:type="dxa"/>
            <w:gridSpan w:val="3"/>
            <w:vAlign w:val="center"/>
          </w:tcPr>
          <w:p w14:paraId="4099687B">
            <w:pPr>
              <w:pStyle w:val="35"/>
              <w:spacing w:line="240" w:lineRule="auto"/>
              <w:ind w:firstLine="0" w:firstLineChars="0"/>
              <w:jc w:val="center"/>
              <w:rPr>
                <w:rFonts w:hint="default" w:ascii="Times New Roman" w:hAnsi="Times New Roman" w:cs="Times New Roman"/>
                <w:color w:val="auto"/>
                <w:kern w:val="0"/>
                <w:szCs w:val="21"/>
              </w:rPr>
            </w:pPr>
            <w:r>
              <w:rPr>
                <w:rFonts w:hint="default" w:ascii="Times New Roman" w:hAnsi="Times New Roman" w:cs="Times New Roman"/>
                <w:color w:val="auto"/>
              </w:rPr>
              <w:t>无</w:t>
            </w:r>
          </w:p>
        </w:tc>
      </w:tr>
    </w:tbl>
    <w:p w14:paraId="6BD6B1D2">
      <w:pPr>
        <w:ind w:firstLine="600"/>
        <w:rPr>
          <w:rFonts w:hint="default" w:ascii="Times New Roman" w:hAnsi="Times New Roman" w:eastAsia="黑体" w:cs="Times New Roman"/>
          <w:color w:val="auto"/>
          <w:sz w:val="30"/>
        </w:rPr>
        <w:sectPr>
          <w:footerReference r:id="rId7" w:type="default"/>
          <w:pgSz w:w="11906" w:h="16838"/>
          <w:pgMar w:top="1701" w:right="1531" w:bottom="1701" w:left="1531" w:header="851" w:footer="1077" w:gutter="0"/>
          <w:pgNumType w:start="1"/>
          <w:cols w:space="720" w:num="1"/>
          <w:docGrid w:linePitch="312" w:charSpace="0"/>
        </w:sectPr>
      </w:pPr>
    </w:p>
    <w:tbl>
      <w:tblPr>
        <w:tblStyle w:val="22"/>
        <w:tblW w:w="90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108" w:type="dxa"/>
          <w:bottom w:w="0" w:type="dxa"/>
          <w:right w:w="108" w:type="dxa"/>
        </w:tblCellMar>
      </w:tblPr>
      <w:tblGrid>
        <w:gridCol w:w="737"/>
        <w:gridCol w:w="8334"/>
      </w:tblGrid>
      <w:tr w14:paraId="5C315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0" w:type="dxa"/>
            <w:right w:w="108" w:type="dxa"/>
          </w:tblCellMar>
        </w:tblPrEx>
        <w:trPr>
          <w:trHeight w:val="90" w:hRule="atLeast"/>
        </w:trPr>
        <w:tc>
          <w:tcPr>
            <w:tcW w:w="737" w:type="dxa"/>
            <w:vAlign w:val="center"/>
          </w:tcPr>
          <w:p w14:paraId="7FBB5E31">
            <w:pPr>
              <w:pStyle w:val="4"/>
              <w:numPr>
                <w:ilvl w:val="1"/>
                <w:numId w:val="0"/>
              </w:numPr>
              <w:jc w:val="center"/>
              <w:rPr>
                <w:rFonts w:hint="default" w:ascii="Times New Roman" w:hAnsi="Times New Roman" w:cs="Times New Roman"/>
                <w:color w:val="auto"/>
              </w:rPr>
            </w:pPr>
            <w:bookmarkStart w:id="11" w:name="_Toc6010"/>
            <w:r>
              <w:rPr>
                <w:rFonts w:hint="default" w:ascii="Times New Roman" w:hAnsi="Times New Roman" w:cs="Times New Roman"/>
                <w:b w:val="0"/>
                <w:bCs/>
                <w:color w:val="auto"/>
                <w:sz w:val="24"/>
              </w:rPr>
              <w:t>其他符合性分析</w:t>
            </w:r>
            <w:bookmarkEnd w:id="11"/>
          </w:p>
        </w:tc>
        <w:tc>
          <w:tcPr>
            <w:tcW w:w="8334" w:type="dxa"/>
          </w:tcPr>
          <w:p w14:paraId="0D28B1CF">
            <w:pPr>
              <w:pStyle w:val="4"/>
              <w:rPr>
                <w:rFonts w:hint="default" w:ascii="Times New Roman" w:hAnsi="Times New Roman" w:cs="Times New Roman"/>
                <w:color w:val="auto"/>
              </w:rPr>
            </w:pPr>
            <w:bookmarkStart w:id="12" w:name="_Toc5880"/>
            <w:r>
              <w:rPr>
                <w:rFonts w:hint="default" w:ascii="Times New Roman" w:hAnsi="Times New Roman" w:cs="Times New Roman"/>
                <w:color w:val="auto"/>
              </w:rPr>
              <w:t>产业政策符合性分析</w:t>
            </w:r>
            <w:bookmarkEnd w:id="12"/>
          </w:p>
          <w:p w14:paraId="5622BA05">
            <w:pPr>
              <w:ind w:firstLine="480"/>
              <w:rPr>
                <w:rFonts w:hint="default" w:ascii="Times New Roman" w:hAnsi="Times New Roman" w:cs="Times New Roman"/>
                <w:color w:val="auto"/>
              </w:rPr>
            </w:pPr>
            <w:r>
              <w:rPr>
                <w:rFonts w:hint="default" w:ascii="Times New Roman" w:hAnsi="Times New Roman" w:cs="Times New Roman"/>
                <w:color w:val="auto"/>
              </w:rPr>
              <w:t>本项目属于热力供应项目，根据《产业结构调整指导目录（2019年）》，本项目的建设不属于“鼓励类”、“限制类”、“淘汰类”，属于允许类，项目用地不在《禁止用地项目目录（2012年本）》和《限制用地项目目录（2012年本）》之列。因此本项目建设符合国家相关政策。</w:t>
            </w:r>
          </w:p>
          <w:p w14:paraId="468CA2A0">
            <w:pPr>
              <w:ind w:firstLine="480"/>
              <w:rPr>
                <w:rFonts w:hint="default" w:ascii="Times New Roman" w:hAnsi="Times New Roman" w:cs="Times New Roman"/>
                <w:color w:val="auto"/>
              </w:rPr>
            </w:pPr>
            <w:r>
              <w:rPr>
                <w:rFonts w:hint="default" w:ascii="Times New Roman" w:hAnsi="Times New Roman" w:cs="Times New Roman"/>
                <w:color w:val="auto"/>
              </w:rPr>
              <w:t>本项目生产中所使用的设备均不属于《部分工业行业淘汰落后生产工艺装备和产品指导目录（2010年本）》中项目，依据建设单位提供的资料，本项目原辅材料均不涉及有毒有害原料，因此项目的建设符合国家和地方当前产业政策的要求。</w:t>
            </w:r>
          </w:p>
          <w:p w14:paraId="05F9AC1A">
            <w:pPr>
              <w:pStyle w:val="4"/>
              <w:rPr>
                <w:rFonts w:hint="default" w:ascii="Times New Roman" w:hAnsi="Times New Roman" w:eastAsia="宋体" w:cs="Times New Roman"/>
                <w:color w:val="auto"/>
              </w:rPr>
            </w:pPr>
            <w:bookmarkStart w:id="13" w:name="_Toc12650"/>
            <w:r>
              <w:rPr>
                <w:rFonts w:hint="default" w:ascii="Times New Roman" w:hAnsi="Times New Roman" w:eastAsia="宋体" w:cs="Times New Roman"/>
                <w:color w:val="auto"/>
              </w:rPr>
              <w:t>与城市土地利用规划符合性分析</w:t>
            </w:r>
          </w:p>
          <w:p w14:paraId="14D0D0B5">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szCs w:val="22"/>
                <w:highlight w:val="none"/>
              </w:rPr>
            </w:pPr>
            <w:r>
              <w:rPr>
                <w:rFonts w:hint="default" w:ascii="Times New Roman" w:hAnsi="Times New Roman" w:cs="Times New Roman"/>
                <w:lang w:eastAsia="zh-CN"/>
              </w:rPr>
              <w:t>根据建设单位提供的</w:t>
            </w:r>
            <w:r>
              <w:rPr>
                <w:rFonts w:hint="eastAsia" w:ascii="Times New Roman" w:hAnsi="Times New Roman" w:cs="Times New Roman"/>
                <w:lang w:val="en-US" w:eastAsia="zh-CN"/>
              </w:rPr>
              <w:t>土地证明</w:t>
            </w:r>
            <w:r>
              <w:rPr>
                <w:rFonts w:hint="default" w:ascii="Times New Roman" w:hAnsi="Times New Roman" w:cs="Times New Roman"/>
                <w:lang w:eastAsia="zh-CN"/>
              </w:rPr>
              <w:t>(</w:t>
            </w:r>
            <w:r>
              <w:rPr>
                <w:rFonts w:hint="eastAsia" w:ascii="Times New Roman" w:hAnsi="Times New Roman" w:cs="Times New Roman"/>
                <w:lang w:val="en-US" w:eastAsia="zh-CN"/>
              </w:rPr>
              <w:t>候国用（2008）第190320号</w:t>
            </w:r>
            <w:r>
              <w:rPr>
                <w:rFonts w:hint="default" w:ascii="Times New Roman" w:hAnsi="Times New Roman" w:cs="Times New Roman"/>
                <w:lang w:eastAsia="zh-CN"/>
              </w:rPr>
              <w:t>)，项目所在地土地用途为工业厂房及配套设施</w:t>
            </w: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房</w:t>
            </w:r>
            <w:r>
              <w:rPr>
                <w:rFonts w:hint="default" w:ascii="Times New Roman" w:hAnsi="Times New Roman" w:cs="Times New Roman"/>
                <w:color w:val="auto"/>
                <w:lang w:eastAsia="zh-CN"/>
              </w:rPr>
              <w:t>权证详见</w:t>
            </w:r>
            <w:r>
              <w:rPr>
                <w:rFonts w:hint="default" w:ascii="Times New Roman" w:hAnsi="Times New Roman" w:cs="Times New Roman"/>
                <w:b/>
                <w:bCs/>
                <w:color w:val="auto"/>
                <w:lang w:eastAsia="zh-CN"/>
              </w:rPr>
              <w:t>附件</w:t>
            </w:r>
            <w:r>
              <w:rPr>
                <w:rFonts w:hint="eastAsia" w:ascii="Times New Roman" w:hAnsi="Times New Roman" w:cs="Times New Roman"/>
                <w:b/>
                <w:bCs/>
                <w:color w:val="auto"/>
                <w:lang w:val="en-US" w:eastAsia="zh-CN"/>
              </w:rPr>
              <w:t>七</w:t>
            </w:r>
            <w:r>
              <w:rPr>
                <w:rFonts w:hint="default" w:ascii="Times New Roman" w:hAnsi="Times New Roman" w:cs="Times New Roman"/>
                <w:color w:val="auto"/>
                <w:lang w:eastAsia="zh-CN"/>
              </w:rPr>
              <w:t>)</w:t>
            </w:r>
            <w:r>
              <w:rPr>
                <w:rFonts w:hint="eastAsia" w:ascii="Times New Roman" w:hAnsi="Times New Roman" w:cs="Times New Roman"/>
                <w:color w:val="auto"/>
                <w:lang w:eastAsia="zh-CN"/>
              </w:rPr>
              <w:t>，</w:t>
            </w:r>
            <w:r>
              <w:rPr>
                <w:rFonts w:hint="eastAsia" w:ascii="Times New Roman" w:hAnsi="Times New Roman" w:eastAsia="宋体" w:cs="Times New Roman"/>
                <w:color w:val="auto"/>
                <w:spacing w:val="0"/>
                <w:sz w:val="24"/>
                <w:szCs w:val="22"/>
                <w:highlight w:val="none"/>
                <w:lang w:eastAsia="zh-CN"/>
              </w:rPr>
              <w:t>本场所</w:t>
            </w:r>
            <w:r>
              <w:rPr>
                <w:rFonts w:hint="eastAsia" w:ascii="Times New Roman" w:hAnsi="Times New Roman" w:eastAsia="宋体" w:cs="Times New Roman"/>
                <w:color w:val="auto"/>
                <w:spacing w:val="0"/>
                <w:sz w:val="24"/>
                <w:szCs w:val="22"/>
                <w:highlight w:val="none"/>
              </w:rPr>
              <w:t>为非</w:t>
            </w:r>
            <w:r>
              <w:rPr>
                <w:rFonts w:hint="default" w:ascii="Times New Roman" w:hAnsi="Times New Roman" w:eastAsia="宋体" w:cs="Times New Roman"/>
                <w:color w:val="auto"/>
                <w:spacing w:val="0"/>
                <w:sz w:val="24"/>
                <w:szCs w:val="22"/>
                <w:highlight w:val="none"/>
              </w:rPr>
              <w:t>住宅</w:t>
            </w:r>
            <w:r>
              <w:rPr>
                <w:rFonts w:hint="eastAsia" w:ascii="Times New Roman" w:hAnsi="Times New Roman" w:eastAsia="宋体" w:cs="Times New Roman"/>
                <w:color w:val="auto"/>
                <w:spacing w:val="0"/>
                <w:sz w:val="24"/>
                <w:szCs w:val="22"/>
                <w:highlight w:val="none"/>
              </w:rPr>
              <w:t>、非违法建筑</w:t>
            </w:r>
            <w:r>
              <w:rPr>
                <w:rFonts w:hint="default" w:ascii="Times New Roman" w:hAnsi="Times New Roman" w:eastAsia="宋体" w:cs="Times New Roman"/>
                <w:color w:val="auto"/>
                <w:spacing w:val="0"/>
                <w:sz w:val="24"/>
                <w:szCs w:val="22"/>
                <w:highlight w:val="none"/>
              </w:rPr>
              <w:t>，</w:t>
            </w:r>
            <w:r>
              <w:rPr>
                <w:rFonts w:hint="eastAsia" w:ascii="Times New Roman" w:hAnsi="Times New Roman" w:eastAsia="宋体" w:cs="Times New Roman"/>
                <w:color w:val="auto"/>
                <w:spacing w:val="0"/>
                <w:sz w:val="24"/>
                <w:szCs w:val="22"/>
                <w:highlight w:val="none"/>
              </w:rPr>
              <w:t>不在拆处迁范围，</w:t>
            </w:r>
            <w:r>
              <w:rPr>
                <w:rFonts w:hint="default" w:ascii="Times New Roman" w:hAnsi="Times New Roman" w:eastAsia="宋体" w:cs="Times New Roman"/>
                <w:color w:val="auto"/>
                <w:spacing w:val="0"/>
                <w:sz w:val="24"/>
                <w:szCs w:val="22"/>
                <w:highlight w:val="none"/>
              </w:rPr>
              <w:t>符合安全生产</w:t>
            </w:r>
            <w:r>
              <w:rPr>
                <w:rFonts w:hint="eastAsia" w:ascii="Times New Roman" w:hAnsi="Times New Roman" w:eastAsia="宋体" w:cs="Times New Roman"/>
                <w:color w:val="auto"/>
                <w:spacing w:val="0"/>
                <w:sz w:val="24"/>
                <w:szCs w:val="22"/>
                <w:highlight w:val="none"/>
              </w:rPr>
              <w:t>经营</w:t>
            </w:r>
            <w:r>
              <w:rPr>
                <w:rFonts w:hint="default" w:ascii="Times New Roman" w:hAnsi="Times New Roman" w:eastAsia="宋体" w:cs="Times New Roman"/>
                <w:color w:val="auto"/>
                <w:spacing w:val="0"/>
                <w:sz w:val="24"/>
                <w:szCs w:val="22"/>
                <w:highlight w:val="none"/>
              </w:rPr>
              <w:t>条件</w:t>
            </w:r>
            <w:r>
              <w:rPr>
                <w:rFonts w:hint="eastAsia" w:eastAsia="宋体" w:cs="Times New Roman"/>
                <w:color w:val="auto"/>
                <w:spacing w:val="0"/>
                <w:sz w:val="24"/>
                <w:szCs w:val="22"/>
                <w:highlight w:val="none"/>
                <w:lang w:eastAsia="zh-CN"/>
              </w:rPr>
              <w:t>，</w:t>
            </w:r>
            <w:r>
              <w:rPr>
                <w:rFonts w:hint="default" w:ascii="Times New Roman" w:hAnsi="Times New Roman" w:cs="Times New Roman"/>
                <w:color w:val="auto"/>
              </w:rPr>
              <w:t>本项目属于热力供应项目</w:t>
            </w:r>
            <w:r>
              <w:rPr>
                <w:rFonts w:hint="default" w:ascii="Times New Roman" w:hAnsi="Times New Roman" w:eastAsia="宋体" w:cs="Times New Roman"/>
                <w:color w:val="auto"/>
                <w:spacing w:val="0"/>
                <w:sz w:val="24"/>
                <w:szCs w:val="22"/>
                <w:highlight w:val="none"/>
              </w:rPr>
              <w:t>，</w:t>
            </w:r>
            <w:r>
              <w:rPr>
                <w:rFonts w:hint="default" w:ascii="Times New Roman" w:hAnsi="Times New Roman" w:eastAsia="宋体" w:cs="Times New Roman"/>
                <w:color w:val="auto"/>
                <w:spacing w:val="0"/>
                <w:sz w:val="24"/>
                <w:szCs w:val="22"/>
                <w:highlight w:val="none"/>
                <w:lang w:eastAsia="zh-CN"/>
              </w:rPr>
              <w:t>属于工业企业，</w:t>
            </w:r>
            <w:r>
              <w:rPr>
                <w:rFonts w:hint="default" w:ascii="Times New Roman" w:hAnsi="Times New Roman" w:eastAsia="宋体" w:cs="Times New Roman"/>
                <w:color w:val="auto"/>
                <w:spacing w:val="0"/>
                <w:sz w:val="24"/>
                <w:szCs w:val="22"/>
                <w:highlight w:val="none"/>
              </w:rPr>
              <w:t>因此，项目选址符合土地利用规划的要求，故项目选址合理。</w:t>
            </w:r>
          </w:p>
          <w:p w14:paraId="4BC30EFA">
            <w:pPr>
              <w:pStyle w:val="4"/>
              <w:rPr>
                <w:rFonts w:hint="default" w:ascii="Times New Roman" w:hAnsi="Times New Roman" w:cs="Times New Roman"/>
                <w:color w:val="auto"/>
              </w:rPr>
            </w:pPr>
            <w:r>
              <w:rPr>
                <w:rFonts w:hint="default" w:ascii="Times New Roman" w:hAnsi="Times New Roman" w:cs="Times New Roman"/>
                <w:color w:val="auto"/>
              </w:rPr>
              <w:t>选址合理性分析</w:t>
            </w:r>
            <w:bookmarkEnd w:id="13"/>
          </w:p>
          <w:p w14:paraId="1827DB97">
            <w:pPr>
              <w:ind w:firstLine="480"/>
              <w:rPr>
                <w:rFonts w:hint="default" w:ascii="Times New Roman" w:hAnsi="Times New Roman" w:cs="Times New Roman"/>
                <w:color w:val="auto"/>
              </w:rPr>
            </w:pPr>
            <w:r>
              <w:rPr>
                <w:rFonts w:hint="default" w:ascii="Times New Roman" w:hAnsi="Times New Roman" w:cs="Times New Roman"/>
                <w:color w:val="auto"/>
              </w:rPr>
              <w:t>本次锅炉改建项目不新增用地，位于</w:t>
            </w:r>
            <w:r>
              <w:rPr>
                <w:rFonts w:hint="eastAsia" w:cs="Times New Roman"/>
                <w:color w:val="auto"/>
                <w:lang w:eastAsia="zh-CN"/>
              </w:rPr>
              <w:t>福建省福州市闽侯县铁岭工业区长龙西路1号福建福老酒业有限公司</w:t>
            </w:r>
            <w:r>
              <w:rPr>
                <w:rFonts w:hint="default" w:ascii="Times New Roman" w:hAnsi="Times New Roman" w:cs="Times New Roman"/>
                <w:color w:val="auto"/>
              </w:rPr>
              <w:t>已有锅炉房内，土地性质为工业用地，项目建设符合《闽侯县总体规划修编（2012-2030）》，在闽侯县总体规划中的具体位置见附图。</w:t>
            </w:r>
          </w:p>
          <w:p w14:paraId="447D21AE">
            <w:pPr>
              <w:pStyle w:val="4"/>
              <w:tabs>
                <w:tab w:val="clear" w:pos="0"/>
              </w:tabs>
              <w:rPr>
                <w:rFonts w:hint="default" w:ascii="Times New Roman" w:hAnsi="Times New Roman" w:cs="Times New Roman"/>
                <w:color w:val="auto"/>
              </w:rPr>
            </w:pPr>
            <w:r>
              <w:rPr>
                <w:rFonts w:hint="default" w:ascii="Times New Roman" w:hAnsi="Times New Roman" w:cs="Times New Roman"/>
                <w:color w:val="auto"/>
              </w:rPr>
              <w:t>与周边相容性分析</w:t>
            </w:r>
          </w:p>
          <w:p w14:paraId="43540226">
            <w:pPr>
              <w:ind w:firstLine="480"/>
              <w:rPr>
                <w:rFonts w:hint="default" w:ascii="Times New Roman" w:hAnsi="Times New Roman" w:cs="Times New Roman"/>
                <w:color w:val="auto"/>
              </w:rPr>
            </w:pPr>
            <w:r>
              <w:rPr>
                <w:rFonts w:hint="default" w:ascii="Times New Roman" w:hAnsi="Times New Roman" w:cs="Times New Roman"/>
                <w:color w:val="auto"/>
              </w:rPr>
              <w:t>根据现场踏勘，项目周边基本为工业厂房。项目地理位置优越，交通便捷。项目周围无生活饮用水水源保护区、无重大文物古迹、无国家重点保护的珍惜动物和濒危植物。本项目为锅炉改建项目，</w:t>
            </w:r>
            <w:r>
              <w:rPr>
                <w:rFonts w:hint="default" w:ascii="Times New Roman" w:hAnsi="Times New Roman" w:cs="Times New Roman"/>
                <w:color w:val="auto"/>
                <w:lang w:val="en-US" w:eastAsia="zh-CN"/>
              </w:rPr>
              <w:t>项目无生产废水产生</w:t>
            </w:r>
            <w:r>
              <w:rPr>
                <w:rFonts w:hint="default" w:ascii="Times New Roman" w:hAnsi="Times New Roman" w:cs="Times New Roman"/>
                <w:color w:val="auto"/>
              </w:rPr>
              <w:t>；废气经收集处理后达标排放。项目在生产过程产生的污染物较小，经处理后可实现达标排放，对环境影响较小，项目与周围环境是相容且相互适应的。建设单位在确实落实本评价提出的各项污染治理措施的前提下，可实现污染物达标排放，且各污染物排放源强较低，运营期产生的“三废”及噪声对周边环境影响不明显，因此，项目建设与周边环境基本相容。</w:t>
            </w:r>
          </w:p>
          <w:p w14:paraId="34404A31">
            <w:pPr>
              <w:pStyle w:val="4"/>
              <w:rPr>
                <w:rFonts w:hint="default" w:ascii="Times New Roman" w:hAnsi="Times New Roman" w:cs="Times New Roman"/>
                <w:color w:val="auto"/>
              </w:rPr>
            </w:pPr>
            <w:bookmarkStart w:id="14" w:name="_Toc22268"/>
            <w:r>
              <w:rPr>
                <w:rFonts w:hint="default" w:ascii="Times New Roman" w:hAnsi="Times New Roman" w:cs="Times New Roman"/>
                <w:color w:val="auto"/>
              </w:rPr>
              <w:t>“三线一单”控制要求符合性分析</w:t>
            </w:r>
            <w:bookmarkEnd w:id="14"/>
          </w:p>
          <w:p w14:paraId="4AB7A0D9">
            <w:pPr>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pacing w:val="0"/>
                <w:sz w:val="24"/>
                <w:szCs w:val="24"/>
                <w:highlight w:val="none"/>
                <w:u w:val="none"/>
                <w:lang w:val="en-US" w:eastAsia="zh-CN"/>
              </w:rPr>
              <w:t>(1)</w:t>
            </w:r>
            <w:r>
              <w:rPr>
                <w:rFonts w:hint="default" w:ascii="Times New Roman" w:hAnsi="Times New Roman" w:cs="Times New Roman"/>
                <w:color w:val="auto"/>
                <w:sz w:val="24"/>
                <w:lang w:eastAsia="zh-CN"/>
              </w:rPr>
              <w:t>与</w:t>
            </w:r>
            <w:r>
              <w:rPr>
                <w:rFonts w:hint="default" w:ascii="Times New Roman" w:hAnsi="Times New Roman" w:cs="Times New Roman"/>
                <w:color w:val="auto"/>
                <w:sz w:val="24"/>
              </w:rPr>
              <w:t>“三线一单”控制要求的符合性分析</w:t>
            </w:r>
          </w:p>
          <w:p w14:paraId="003D67C9">
            <w:pPr>
              <w:spacing w:line="360" w:lineRule="auto"/>
              <w:ind w:firstLine="480" w:firstLineChars="200"/>
              <w:rPr>
                <w:rFonts w:hint="default" w:ascii="Times New Roman" w:hAnsi="Times New Roman" w:eastAsia="宋体" w:cs="Times New Roman"/>
                <w:color w:val="auto"/>
                <w:spacing w:val="0"/>
                <w:sz w:val="24"/>
                <w:szCs w:val="24"/>
                <w:highlight w:val="none"/>
                <w:u w:val="none"/>
                <w:lang w:val="en-US" w:eastAsia="zh-CN"/>
              </w:rPr>
            </w:pPr>
            <w:r>
              <w:rPr>
                <w:rFonts w:hint="default" w:ascii="Times New Roman" w:hAnsi="Times New Roman" w:eastAsia="宋体" w:cs="Times New Roman"/>
                <w:color w:val="auto"/>
                <w:spacing w:val="0"/>
                <w:sz w:val="24"/>
                <w:szCs w:val="24"/>
                <w:highlight w:val="none"/>
                <w:u w:val="none"/>
                <w:lang w:eastAsia="zh-CN"/>
              </w:rPr>
              <w:t>项目</w:t>
            </w:r>
            <w:r>
              <w:rPr>
                <w:rFonts w:hint="default" w:ascii="Times New Roman" w:hAnsi="Times New Roman" w:eastAsia="宋体" w:cs="Times New Roman"/>
                <w:color w:val="auto"/>
                <w:spacing w:val="0"/>
                <w:sz w:val="24"/>
                <w:szCs w:val="24"/>
                <w:highlight w:val="none"/>
                <w:u w:val="none"/>
                <w:lang w:val="en-US" w:eastAsia="zh-CN"/>
              </w:rPr>
              <w:t>“三线一单”控制要求的符合性分析详见表</w:t>
            </w:r>
            <w:r>
              <w:rPr>
                <w:rFonts w:hint="eastAsia" w:ascii="Times New Roman" w:hAnsi="Times New Roman" w:eastAsia="宋体" w:cs="Times New Roman"/>
                <w:color w:val="auto"/>
                <w:spacing w:val="0"/>
                <w:sz w:val="24"/>
                <w:szCs w:val="24"/>
                <w:highlight w:val="none"/>
                <w:u w:val="none"/>
                <w:lang w:val="en-US" w:eastAsia="zh-CN"/>
              </w:rPr>
              <w:t>1</w:t>
            </w:r>
            <w:r>
              <w:rPr>
                <w:rFonts w:hint="default" w:ascii="Times New Roman" w:hAnsi="Times New Roman" w:eastAsia="宋体" w:cs="Times New Roman"/>
                <w:color w:val="auto"/>
                <w:spacing w:val="0"/>
                <w:sz w:val="24"/>
                <w:szCs w:val="24"/>
                <w:highlight w:val="none"/>
                <w:u w:val="none"/>
                <w:lang w:val="en-US" w:eastAsia="zh-CN"/>
              </w:rPr>
              <w:t>。</w:t>
            </w:r>
          </w:p>
          <w:p w14:paraId="47290616">
            <w:pPr>
              <w:spacing w:before="120" w:beforeLines="50"/>
              <w:ind w:firstLine="0"/>
              <w:jc w:val="center"/>
              <w:rPr>
                <w:rFonts w:hint="eastAsia" w:ascii="黑体" w:hAnsi="黑体" w:eastAsia="黑体" w:cs="黑体"/>
                <w:color w:val="auto"/>
                <w:sz w:val="21"/>
                <w:szCs w:val="21"/>
                <w:highlight w:val="none"/>
                <w:u w:val="none"/>
              </w:rPr>
            </w:pPr>
            <w:r>
              <w:rPr>
                <w:rFonts w:hint="eastAsia" w:ascii="黑体" w:hAnsi="黑体" w:eastAsia="黑体" w:cs="黑体"/>
                <w:color w:val="auto"/>
                <w:sz w:val="21"/>
                <w:szCs w:val="21"/>
                <w:highlight w:val="none"/>
                <w:u w:val="none"/>
              </w:rPr>
              <w:t>表</w:t>
            </w:r>
            <w:r>
              <w:rPr>
                <w:rFonts w:hint="eastAsia" w:ascii="黑体" w:hAnsi="黑体" w:eastAsia="黑体" w:cs="黑体"/>
                <w:color w:val="auto"/>
                <w:sz w:val="21"/>
                <w:szCs w:val="21"/>
                <w:highlight w:val="none"/>
                <w:u w:val="none"/>
                <w:lang w:val="en-US" w:eastAsia="zh-CN"/>
              </w:rPr>
              <w:t>1</w:t>
            </w:r>
            <w:r>
              <w:rPr>
                <w:rFonts w:hint="eastAsia" w:ascii="黑体" w:hAnsi="黑体" w:eastAsia="黑体" w:cs="黑体"/>
                <w:color w:val="auto"/>
                <w:sz w:val="21"/>
                <w:szCs w:val="21"/>
                <w:highlight w:val="none"/>
                <w:u w:val="none"/>
              </w:rPr>
              <w:t xml:space="preserve">  项目与“三线一单”相符性分析一览表</w:t>
            </w:r>
          </w:p>
          <w:tbl>
            <w:tblPr>
              <w:tblStyle w:val="2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907"/>
              <w:gridCol w:w="5364"/>
              <w:gridCol w:w="763"/>
            </w:tblGrid>
            <w:tr w14:paraId="5FED91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8" w:type="pct"/>
                  <w:noWrap w:val="0"/>
                  <w:vAlign w:val="center"/>
                </w:tcPr>
                <w:p w14:paraId="4A3A5AF0">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“通知”文号</w:t>
                  </w:r>
                </w:p>
              </w:tc>
              <w:tc>
                <w:tcPr>
                  <w:tcW w:w="558" w:type="pct"/>
                  <w:noWrap w:val="0"/>
                  <w:vAlign w:val="center"/>
                </w:tcPr>
                <w:p w14:paraId="7B59DA2C">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类别</w:t>
                  </w:r>
                </w:p>
              </w:tc>
              <w:tc>
                <w:tcPr>
                  <w:tcW w:w="3303" w:type="pct"/>
                  <w:noWrap w:val="0"/>
                  <w:vAlign w:val="center"/>
                </w:tcPr>
                <w:p w14:paraId="4932248D">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项目与“三线一单”相符性分析</w:t>
                  </w:r>
                </w:p>
              </w:tc>
              <w:tc>
                <w:tcPr>
                  <w:tcW w:w="469" w:type="pct"/>
                  <w:noWrap w:val="0"/>
                  <w:vAlign w:val="center"/>
                </w:tcPr>
                <w:p w14:paraId="520A563B">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符合性</w:t>
                  </w:r>
                </w:p>
              </w:tc>
            </w:tr>
            <w:tr w14:paraId="0730D4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8" w:type="pct"/>
                  <w:vMerge w:val="restart"/>
                  <w:noWrap w:val="0"/>
                  <w:vAlign w:val="center"/>
                </w:tcPr>
                <w:p w14:paraId="236E660B">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《“十三五”环境影响评价改革实施方案》</w:t>
                  </w:r>
                </w:p>
                <w:p w14:paraId="0F5F50B2">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(环环评[2016]95号)</w:t>
                  </w:r>
                </w:p>
              </w:tc>
              <w:tc>
                <w:tcPr>
                  <w:tcW w:w="558" w:type="pct"/>
                  <w:noWrap w:val="0"/>
                  <w:vAlign w:val="center"/>
                </w:tcPr>
                <w:p w14:paraId="52077E66">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生态保护红线</w:t>
                  </w:r>
                </w:p>
              </w:tc>
              <w:tc>
                <w:tcPr>
                  <w:tcW w:w="3303" w:type="pct"/>
                  <w:noWrap w:val="0"/>
                  <w:vAlign w:val="center"/>
                </w:tcPr>
                <w:p w14:paraId="7F06B102">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rPr>
                    <w:t>项目位于福建省福州市闽侯县铁岭工业区长龙西路1号，不位于自然保护区、风景名胜区、饮用水源保护地和其他需要特别保护等法律法规禁止开发建设的区域。因此，项目建设符合生态红线控制要求。</w:t>
                  </w:r>
                </w:p>
              </w:tc>
              <w:tc>
                <w:tcPr>
                  <w:tcW w:w="469" w:type="pct"/>
                  <w:noWrap w:val="0"/>
                  <w:vAlign w:val="center"/>
                </w:tcPr>
                <w:p w14:paraId="2E979DEE">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符合</w:t>
                  </w:r>
                </w:p>
              </w:tc>
            </w:tr>
            <w:tr w14:paraId="5237A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5" w:hRule="atLeast"/>
                <w:jc w:val="center"/>
              </w:trPr>
              <w:tc>
                <w:tcPr>
                  <w:tcW w:w="668" w:type="pct"/>
                  <w:vMerge w:val="continue"/>
                  <w:noWrap w:val="0"/>
                  <w:vAlign w:val="center"/>
                </w:tcPr>
                <w:p w14:paraId="5DF41FA4">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p>
              </w:tc>
              <w:tc>
                <w:tcPr>
                  <w:tcW w:w="558" w:type="pct"/>
                  <w:noWrap w:val="0"/>
                  <w:vAlign w:val="center"/>
                </w:tcPr>
                <w:p w14:paraId="781DC6D3">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环境质量底线</w:t>
                  </w:r>
                </w:p>
              </w:tc>
              <w:tc>
                <w:tcPr>
                  <w:tcW w:w="3303" w:type="pct"/>
                  <w:noWrap w:val="0"/>
                  <w:vAlign w:val="center"/>
                </w:tcPr>
                <w:p w14:paraId="16214C52">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lang w:eastAsia="zh-CN"/>
                    </w:rPr>
                    <w:t>项目所在区域的环境质量底线为：大气环境质量目标为《环境空气质量标准》(GB3095-2012)及其修改单中二级标准；地表水环境目标为《地表水环境质量标准》(GB3838-2002)</w:t>
                  </w:r>
                  <w:r>
                    <w:rPr>
                      <w:rFonts w:hint="default" w:ascii="Times New Roman" w:hAnsi="Times New Roman" w:cs="Times New Roman"/>
                      <w:color w:val="auto"/>
                    </w:rPr>
                    <w:t>Ⅲ</w:t>
                  </w:r>
                  <w:r>
                    <w:rPr>
                      <w:rFonts w:hint="default" w:ascii="Times New Roman" w:hAnsi="Times New Roman" w:eastAsia="宋体" w:cs="Times New Roman"/>
                      <w:color w:val="auto"/>
                      <w:lang w:eastAsia="zh-CN"/>
                    </w:rPr>
                    <w:t>类标准；声环境质量目标为《声环境质量标准》(GB3096-2008)3类区标准。根据项目所在地环境质量现状调查和污染排放影响预测可知，本项目运营后对区域内环境影响较小，环境质量可以保持现有水平，不会对区域环境质量底线造成冲击。</w:t>
                  </w:r>
                </w:p>
              </w:tc>
              <w:tc>
                <w:tcPr>
                  <w:tcW w:w="469" w:type="pct"/>
                  <w:noWrap w:val="0"/>
                  <w:vAlign w:val="center"/>
                </w:tcPr>
                <w:p w14:paraId="752D9E6D">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符合</w:t>
                  </w:r>
                </w:p>
              </w:tc>
            </w:tr>
            <w:tr w14:paraId="4791E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8" w:type="pct"/>
                  <w:vMerge w:val="continue"/>
                  <w:noWrap w:val="0"/>
                  <w:vAlign w:val="center"/>
                </w:tcPr>
                <w:p w14:paraId="182D12F2">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p>
              </w:tc>
              <w:tc>
                <w:tcPr>
                  <w:tcW w:w="558" w:type="pct"/>
                  <w:noWrap w:val="0"/>
                  <w:vAlign w:val="center"/>
                </w:tcPr>
                <w:p w14:paraId="19EDD373">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资源利用上线</w:t>
                  </w:r>
                </w:p>
              </w:tc>
              <w:tc>
                <w:tcPr>
                  <w:tcW w:w="3303" w:type="pct"/>
                  <w:noWrap w:val="0"/>
                  <w:vAlign w:val="center"/>
                </w:tcPr>
                <w:p w14:paraId="5C847FEE">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本项目生产建设过程中所利用的资源主要为水</w:t>
                  </w:r>
                  <w:r>
                    <w:rPr>
                      <w:rFonts w:hint="eastAsia" w:ascii="Times New Roman" w:hAnsi="Times New Roman" w:cs="Times New Roman"/>
                      <w:color w:val="auto"/>
                      <w:highlight w:val="none"/>
                      <w:u w:val="none"/>
                      <w:lang w:eastAsia="zh-CN"/>
                    </w:rPr>
                    <w:t>、</w:t>
                  </w:r>
                  <w:r>
                    <w:rPr>
                      <w:rFonts w:hint="default" w:ascii="Times New Roman" w:hAnsi="Times New Roman" w:eastAsia="宋体" w:cs="Times New Roman"/>
                      <w:color w:val="auto"/>
                      <w:highlight w:val="none"/>
                      <w:u w:val="none"/>
                      <w:lang w:eastAsia="zh-CN"/>
                    </w:rPr>
                    <w:t>电</w:t>
                  </w:r>
                  <w:r>
                    <w:rPr>
                      <w:rFonts w:hint="eastAsia" w:ascii="Times New Roman" w:hAnsi="Times New Roman" w:cs="Times New Roman"/>
                      <w:color w:val="auto"/>
                      <w:highlight w:val="none"/>
                      <w:u w:val="none"/>
                      <w:lang w:eastAsia="zh-CN"/>
                    </w:rPr>
                    <w:t>及天然气</w:t>
                  </w:r>
                  <w:r>
                    <w:rPr>
                      <w:rFonts w:hint="default" w:ascii="Times New Roman" w:hAnsi="Times New Roman" w:eastAsia="宋体" w:cs="Times New Roman"/>
                      <w:color w:val="auto"/>
                      <w:highlight w:val="none"/>
                      <w:u w:val="none"/>
                      <w:lang w:eastAsia="zh-CN"/>
                    </w:rPr>
                    <w:t>，均为清洁能源。项目建成运行后采取内部管理、设备选择、原辅材料选用管理和污染治理等多方面合理可行的防治措施，以“节能、降耗、减污”为目标，有效地控制污染。项目的水、电等资源利用不会突破区域的资源利用上线。</w:t>
                  </w:r>
                </w:p>
              </w:tc>
              <w:tc>
                <w:tcPr>
                  <w:tcW w:w="469" w:type="pct"/>
                  <w:noWrap w:val="0"/>
                  <w:vAlign w:val="center"/>
                </w:tcPr>
                <w:p w14:paraId="371AFB01">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符合</w:t>
                  </w:r>
                </w:p>
              </w:tc>
            </w:tr>
            <w:tr w14:paraId="1222C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8" w:type="pct"/>
                  <w:vMerge w:val="continue"/>
                  <w:noWrap w:val="0"/>
                  <w:vAlign w:val="center"/>
                </w:tcPr>
                <w:p w14:paraId="08077514">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p>
              </w:tc>
              <w:tc>
                <w:tcPr>
                  <w:tcW w:w="558" w:type="pct"/>
                  <w:noWrap w:val="0"/>
                  <w:vAlign w:val="center"/>
                </w:tcPr>
                <w:p w14:paraId="786E9A75">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环境准入负面清单</w:t>
                  </w:r>
                </w:p>
              </w:tc>
              <w:tc>
                <w:tcPr>
                  <w:tcW w:w="3303" w:type="pct"/>
                  <w:noWrap w:val="0"/>
                  <w:vAlign w:val="center"/>
                </w:tcPr>
                <w:p w14:paraId="2E19AB1B">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项目符合国家产业政策，符合《福建省人民政府关于实施“三线一单”生态环境分区管控的通知</w:t>
                  </w:r>
                  <w:r>
                    <w:rPr>
                      <w:rFonts w:hint="default" w:ascii="Times New Roman" w:hAnsi="Times New Roman" w:eastAsia="宋体" w:cs="Times New Roman"/>
                      <w:color w:val="auto"/>
                      <w:highlight w:val="none"/>
                      <w:u w:val="none"/>
                      <w:lang w:val="en-US" w:eastAsia="zh-CN"/>
                    </w:rPr>
                    <w:t>(</w:t>
                  </w:r>
                  <w:r>
                    <w:rPr>
                      <w:rFonts w:hint="default" w:ascii="Times New Roman" w:hAnsi="Times New Roman" w:eastAsia="宋体" w:cs="Times New Roman"/>
                      <w:color w:val="auto"/>
                      <w:highlight w:val="none"/>
                      <w:u w:val="none"/>
                      <w:lang w:eastAsia="zh-CN"/>
                    </w:rPr>
                    <w:t>闽政〔2020〕12号</w:t>
                  </w:r>
                  <w:r>
                    <w:rPr>
                      <w:rFonts w:hint="default" w:ascii="Times New Roman" w:hAnsi="Times New Roman" w:eastAsia="宋体" w:cs="Times New Roman"/>
                      <w:color w:val="auto"/>
                      <w:highlight w:val="none"/>
                      <w:u w:val="none"/>
                      <w:lang w:val="en-US" w:eastAsia="zh-CN"/>
                    </w:rPr>
                    <w:t>)》</w:t>
                  </w:r>
                  <w:r>
                    <w:rPr>
                      <w:rFonts w:hint="default" w:ascii="Times New Roman" w:hAnsi="Times New Roman" w:eastAsia="宋体" w:cs="Times New Roman"/>
                      <w:color w:val="auto"/>
                      <w:highlight w:val="none"/>
                      <w:u w:val="none"/>
                      <w:lang w:eastAsia="zh-CN"/>
                    </w:rPr>
                    <w:t>全省生态环境总体准入要求</w:t>
                  </w:r>
                  <w:r>
                    <w:rPr>
                      <w:rFonts w:hint="default" w:ascii="Times New Roman" w:hAnsi="Times New Roman" w:cs="Times New Roman"/>
                      <w:color w:val="auto"/>
                      <w:highlight w:val="none"/>
                      <w:u w:val="none"/>
                      <w:lang w:eastAsia="zh-CN"/>
                    </w:rPr>
                    <w:t>；</w:t>
                  </w:r>
                  <w:r>
                    <w:rPr>
                      <w:rFonts w:hint="default" w:ascii="Times New Roman" w:hAnsi="Times New Roman" w:eastAsia="宋体" w:cs="Times New Roman"/>
                      <w:color w:val="auto"/>
                      <w:highlight w:val="none"/>
                      <w:u w:val="none"/>
                      <w:lang w:eastAsia="zh-CN"/>
                    </w:rPr>
                    <w:t>不属于《市场准入负面清单》(20</w:t>
                  </w:r>
                  <w:r>
                    <w:rPr>
                      <w:rFonts w:hint="default" w:ascii="Times New Roman" w:hAnsi="Times New Roman" w:eastAsia="宋体" w:cs="Times New Roman"/>
                      <w:color w:val="auto"/>
                      <w:highlight w:val="none"/>
                      <w:u w:val="none"/>
                      <w:lang w:val="en-US" w:eastAsia="zh-CN"/>
                    </w:rPr>
                    <w:t>20</w:t>
                  </w:r>
                  <w:r>
                    <w:rPr>
                      <w:rFonts w:hint="default" w:ascii="Times New Roman" w:hAnsi="Times New Roman" w:eastAsia="宋体" w:cs="Times New Roman"/>
                      <w:color w:val="auto"/>
                      <w:highlight w:val="none"/>
                      <w:u w:val="none"/>
                      <w:lang w:eastAsia="zh-CN"/>
                    </w:rPr>
                    <w:t>年版)中禁止准入类的项目</w:t>
                  </w:r>
                  <w:r>
                    <w:rPr>
                      <w:rFonts w:hint="default" w:ascii="Times New Roman" w:hAnsi="Times New Roman" w:cs="Times New Roman"/>
                      <w:color w:val="auto"/>
                      <w:highlight w:val="none"/>
                      <w:u w:val="none"/>
                      <w:lang w:eastAsia="zh-CN"/>
                    </w:rPr>
                    <w:t>。</w:t>
                  </w:r>
                </w:p>
              </w:tc>
              <w:tc>
                <w:tcPr>
                  <w:tcW w:w="469" w:type="pct"/>
                  <w:noWrap w:val="0"/>
                  <w:vAlign w:val="center"/>
                </w:tcPr>
                <w:p w14:paraId="3997A00A">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符合</w:t>
                  </w:r>
                </w:p>
              </w:tc>
            </w:tr>
          </w:tbl>
          <w:p w14:paraId="547644BD">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与</w:t>
            </w:r>
            <w:r>
              <w:rPr>
                <w:rFonts w:hint="default" w:ascii="Times New Roman" w:hAnsi="Times New Roman" w:eastAsia="宋体" w:cs="Times New Roman"/>
                <w:color w:val="auto"/>
                <w:sz w:val="24"/>
                <w:lang w:val="en-GB"/>
              </w:rPr>
              <w:t>《福建省人民政府关于实施“三线一单”生态环境分区管控的通知》</w:t>
            </w:r>
            <w:r>
              <w:rPr>
                <w:rFonts w:hint="default" w:ascii="Times New Roman" w:hAnsi="Times New Roman" w:eastAsia="宋体" w:cs="Times New Roman"/>
                <w:color w:val="auto"/>
                <w:sz w:val="24"/>
              </w:rPr>
              <w:t>符合性分析</w:t>
            </w:r>
          </w:p>
          <w:p w14:paraId="01BDEC62">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福建省人民政府关于实施“三线一单”生态环境分区管控的通知》(闽政[2020]12号)相关要求分析，项目所在位置属于福建省陆域区域。因此，项目对照全省生态环境总体准入要求中“全省陆域”部分，具体见表</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w:t>
            </w:r>
          </w:p>
          <w:p w14:paraId="6BAFC9B3">
            <w:pPr>
              <w:spacing w:before="120" w:beforeLines="50"/>
              <w:ind w:firstLine="0"/>
              <w:jc w:val="center"/>
              <w:rPr>
                <w:rFonts w:hint="default" w:ascii="黑体" w:hAnsi="黑体" w:eastAsia="黑体" w:cs="黑体"/>
                <w:color w:val="auto"/>
                <w:sz w:val="21"/>
                <w:szCs w:val="21"/>
                <w:highlight w:val="none"/>
                <w:u w:val="none"/>
              </w:rPr>
            </w:pPr>
            <w:r>
              <w:rPr>
                <w:rFonts w:hint="default" w:ascii="黑体" w:hAnsi="黑体" w:eastAsia="黑体" w:cs="黑体"/>
                <w:color w:val="auto"/>
                <w:sz w:val="21"/>
                <w:szCs w:val="21"/>
                <w:highlight w:val="none"/>
                <w:u w:val="none"/>
                <w:lang w:eastAsia="zh-CN"/>
              </w:rPr>
              <w:t>表</w:t>
            </w:r>
            <w:r>
              <w:rPr>
                <w:rFonts w:hint="eastAsia" w:ascii="黑体" w:hAnsi="黑体" w:eastAsia="黑体" w:cs="黑体"/>
                <w:color w:val="auto"/>
                <w:sz w:val="21"/>
                <w:szCs w:val="21"/>
                <w:highlight w:val="none"/>
                <w:u w:val="none"/>
                <w:lang w:val="en-US" w:eastAsia="zh-CN"/>
              </w:rPr>
              <w:t>2</w:t>
            </w:r>
            <w:r>
              <w:rPr>
                <w:rFonts w:hint="default" w:ascii="黑体" w:hAnsi="黑体" w:eastAsia="黑体" w:cs="黑体"/>
                <w:color w:val="auto"/>
                <w:sz w:val="21"/>
                <w:szCs w:val="21"/>
                <w:highlight w:val="none"/>
                <w:u w:val="none"/>
                <w:lang w:val="en-US" w:eastAsia="zh-CN"/>
              </w:rPr>
              <w:t xml:space="preserve"> </w:t>
            </w:r>
            <w:r>
              <w:rPr>
                <w:rFonts w:hint="default" w:ascii="黑体" w:hAnsi="黑体" w:eastAsia="黑体" w:cs="黑体"/>
                <w:color w:val="auto"/>
                <w:sz w:val="21"/>
                <w:szCs w:val="21"/>
                <w:highlight w:val="none"/>
                <w:u w:val="none"/>
              </w:rPr>
              <w:t>与全省生态环境总体准入要求的符合性分析</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632"/>
              <w:gridCol w:w="531"/>
              <w:gridCol w:w="3874"/>
              <w:gridCol w:w="2229"/>
              <w:gridCol w:w="850"/>
            </w:tblGrid>
            <w:tr w14:paraId="087DFC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390" w:type="pct"/>
                  <w:noWrap w:val="0"/>
                  <w:vAlign w:val="center"/>
                </w:tcPr>
                <w:p w14:paraId="705D86B3">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适用范围</w:t>
                  </w:r>
                </w:p>
              </w:tc>
              <w:tc>
                <w:tcPr>
                  <w:tcW w:w="2713" w:type="pct"/>
                  <w:gridSpan w:val="2"/>
                  <w:noWrap w:val="0"/>
                  <w:vAlign w:val="center"/>
                </w:tcPr>
                <w:p w14:paraId="6B112219">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准入要求</w:t>
                  </w:r>
                </w:p>
              </w:tc>
              <w:tc>
                <w:tcPr>
                  <w:tcW w:w="1372" w:type="pct"/>
                  <w:noWrap w:val="0"/>
                  <w:vAlign w:val="center"/>
                </w:tcPr>
                <w:p w14:paraId="6D39A13D">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本项目情况</w:t>
                  </w:r>
                </w:p>
              </w:tc>
              <w:tc>
                <w:tcPr>
                  <w:tcW w:w="523" w:type="pct"/>
                  <w:noWrap w:val="0"/>
                  <w:vAlign w:val="center"/>
                </w:tcPr>
                <w:p w14:paraId="61E58B7C">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符合性</w:t>
                  </w:r>
                </w:p>
              </w:tc>
            </w:tr>
            <w:tr w14:paraId="72B156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390" w:type="pct"/>
                  <w:vMerge w:val="restart"/>
                  <w:noWrap w:val="0"/>
                  <w:vAlign w:val="center"/>
                </w:tcPr>
                <w:p w14:paraId="254C81B3">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全省陆域</w:t>
                  </w:r>
                </w:p>
              </w:tc>
              <w:tc>
                <w:tcPr>
                  <w:tcW w:w="328" w:type="pct"/>
                  <w:noWrap w:val="0"/>
                  <w:vAlign w:val="center"/>
                </w:tcPr>
                <w:p w14:paraId="59519EA1">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空间布局约束</w:t>
                  </w:r>
                </w:p>
              </w:tc>
              <w:tc>
                <w:tcPr>
                  <w:tcW w:w="2385" w:type="pct"/>
                  <w:noWrap w:val="0"/>
                  <w:vAlign w:val="center"/>
                </w:tcPr>
                <w:p w14:paraId="42E33A03">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1、石化、汽车、船舶、冶金、水泥、制浆造纸、印染等重点产业，要符合全省规划布局要求。</w:t>
                  </w:r>
                </w:p>
                <w:p w14:paraId="0869429A">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2、严控钢铁、水泥、平板玻璃等产能过剩行业新增产能，新增产能应实施产能等量或减量置换。</w:t>
                  </w:r>
                </w:p>
                <w:p w14:paraId="5DEAC831">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3、除列入国家规划的大型煤电和符合相关要求的等容量替代项目，以及以供热为主的热电联产项目外，原则上不再建设新的煤电项目。</w:t>
                  </w:r>
                </w:p>
                <w:p w14:paraId="563F8710">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4、氟化工产业应集中布局在《关于促进我省氟化工产业绿色高效发展的若干意见》中确定的园区，在上述园区之外不再新建氟化工项目，园区之外现有氟化工项目不再扩大规模。</w:t>
                  </w:r>
                </w:p>
                <w:p w14:paraId="1A76E3A9">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5、禁止在水环境质量不能稳定达标的区域内，建设新增相应不达标污染物指标排放量的工业项目。</w:t>
                  </w:r>
                </w:p>
              </w:tc>
              <w:tc>
                <w:tcPr>
                  <w:tcW w:w="1372" w:type="pct"/>
                  <w:noWrap w:val="0"/>
                  <w:vAlign w:val="center"/>
                </w:tcPr>
                <w:p w14:paraId="287FE889">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cs="Times New Roman"/>
                      <w:color w:val="auto"/>
                    </w:rPr>
                    <w:t>本项目属于热力供应项目</w:t>
                  </w:r>
                  <w:r>
                    <w:rPr>
                      <w:rFonts w:hint="default" w:ascii="Times New Roman" w:hAnsi="Times New Roman" w:eastAsia="宋体" w:cs="Times New Roman"/>
                      <w:color w:val="auto"/>
                      <w:highlight w:val="none"/>
                      <w:u w:val="none"/>
                      <w:lang w:eastAsia="zh-CN"/>
                    </w:rPr>
                    <w:t>，项目建设与空间布局约束要求不相冲突</w:t>
                  </w:r>
                </w:p>
              </w:tc>
              <w:tc>
                <w:tcPr>
                  <w:tcW w:w="523" w:type="pct"/>
                  <w:noWrap w:val="0"/>
                  <w:vAlign w:val="center"/>
                </w:tcPr>
                <w:p w14:paraId="4A895516">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符合</w:t>
                  </w:r>
                </w:p>
              </w:tc>
            </w:tr>
            <w:tr w14:paraId="7AE62D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390" w:type="pct"/>
                  <w:vMerge w:val="continue"/>
                  <w:noWrap w:val="0"/>
                  <w:vAlign w:val="center"/>
                </w:tcPr>
                <w:p w14:paraId="74B86778">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p>
              </w:tc>
              <w:tc>
                <w:tcPr>
                  <w:tcW w:w="328" w:type="pct"/>
                  <w:noWrap w:val="0"/>
                  <w:vAlign w:val="center"/>
                </w:tcPr>
                <w:p w14:paraId="1F37FD81">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污染物排放管控</w:t>
                  </w:r>
                </w:p>
              </w:tc>
              <w:tc>
                <w:tcPr>
                  <w:tcW w:w="2385" w:type="pct"/>
                  <w:noWrap w:val="0"/>
                  <w:vAlign w:val="center"/>
                </w:tcPr>
                <w:p w14:paraId="3CFDF2E9">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1、建设项目新增的主要污染物排放量应按要求实行等量或倍量替代。涉及总磷排放的建设项目应按照要求实行总磷排放量倍量或等量削减替代。涉及重金属重点行业建设项目新增的重点重金属污染物应按要求实行“减量置换”或等量替换"。涉新增VOC</w:t>
                  </w:r>
                  <w:r>
                    <w:rPr>
                      <w:rFonts w:hint="default" w:ascii="Times New Roman" w:hAnsi="Times New Roman" w:eastAsia="宋体" w:cs="Times New Roman"/>
                      <w:color w:val="auto"/>
                      <w:highlight w:val="none"/>
                      <w:u w:val="none"/>
                      <w:vertAlign w:val="subscript"/>
                      <w:lang w:eastAsia="zh-CN"/>
                    </w:rPr>
                    <w:t>S</w:t>
                  </w:r>
                  <w:r>
                    <w:rPr>
                      <w:rFonts w:hint="default" w:ascii="Times New Roman" w:hAnsi="Times New Roman" w:eastAsia="宋体" w:cs="Times New Roman"/>
                      <w:color w:val="auto"/>
                      <w:highlight w:val="none"/>
                      <w:u w:val="none"/>
                      <w:lang w:eastAsia="zh-CN"/>
                    </w:rPr>
                    <w:t>排放项目，VOC</w:t>
                  </w:r>
                  <w:r>
                    <w:rPr>
                      <w:rFonts w:hint="default" w:ascii="Times New Roman" w:hAnsi="Times New Roman" w:eastAsia="宋体" w:cs="Times New Roman"/>
                      <w:color w:val="auto"/>
                      <w:highlight w:val="none"/>
                      <w:u w:val="none"/>
                      <w:vertAlign w:val="subscript"/>
                      <w:lang w:eastAsia="zh-CN"/>
                    </w:rPr>
                    <w:t>S</w:t>
                  </w:r>
                  <w:r>
                    <w:rPr>
                      <w:rFonts w:hint="default" w:ascii="Times New Roman" w:hAnsi="Times New Roman" w:eastAsia="宋体" w:cs="Times New Roman"/>
                      <w:color w:val="auto"/>
                      <w:highlight w:val="none"/>
                      <w:u w:val="none"/>
                      <w:lang w:eastAsia="zh-CN"/>
                    </w:rPr>
                    <w:t>排放实行区域内等量替代。福州、厦门、漳州、泉州、莆田、宁德等6个重点控制区可实施倍量替代。</w:t>
                  </w:r>
                </w:p>
                <w:p w14:paraId="4D0AAD4B">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2、新建水泥、有色金属项目应执行大气污染物特别排放限值，钢铁项目应执行超低排放指标要求，火电项目应达到超低排放限值。</w:t>
                  </w:r>
                </w:p>
                <w:p w14:paraId="38A47C99">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3、尾水排入近岸海域汇水区域、“六江两溪”流域以及湖泊、水库等封闭、半封闭水域的城镇污水处理设施执行不低于一级 A 排放标准。</w:t>
                  </w:r>
                </w:p>
              </w:tc>
              <w:tc>
                <w:tcPr>
                  <w:tcW w:w="1372" w:type="pct"/>
                  <w:noWrap w:val="0"/>
                  <w:vAlign w:val="center"/>
                </w:tcPr>
                <w:p w14:paraId="67A8EC3A">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1、项目位于福建省福州市闽侯县铁岭工业区长龙西路1号，属于其规定的污染物管控区域。</w:t>
                  </w:r>
                </w:p>
                <w:p w14:paraId="69842CA1">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2、本项目属于热力供应项目，不属于水泥、有色金属、钢铁、火电项目。</w:t>
                  </w:r>
                </w:p>
                <w:p w14:paraId="7AF6C834">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eastAsia="zh-CN"/>
                    </w:rPr>
                    <w:t>3、</w:t>
                  </w:r>
                  <w:r>
                    <w:rPr>
                      <w:rFonts w:hint="eastAsia" w:ascii="Times New Roman" w:hAnsi="Times New Roman" w:cs="Times New Roman"/>
                      <w:color w:val="auto"/>
                      <w:highlight w:val="none"/>
                      <w:u w:val="none"/>
                      <w:lang w:eastAsia="zh-CN"/>
                    </w:rPr>
                    <w:t>本项目无新增废水产生。</w:t>
                  </w:r>
                </w:p>
              </w:tc>
              <w:tc>
                <w:tcPr>
                  <w:tcW w:w="523" w:type="pct"/>
                  <w:noWrap w:val="0"/>
                  <w:vAlign w:val="center"/>
                </w:tcPr>
                <w:p w14:paraId="4585D8C7">
                  <w:pPr>
                    <w:pStyle w:val="4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eastAsia="zh-CN"/>
                    </w:rPr>
                    <w:t>符合</w:t>
                  </w:r>
                </w:p>
              </w:tc>
            </w:tr>
          </w:tbl>
          <w:p w14:paraId="2DAF1EB5">
            <w:pPr>
              <w:autoSpaceDE w:val="0"/>
              <w:autoSpaceDN w:val="0"/>
              <w:adjustRightInd w:val="0"/>
              <w:snapToGrid w:val="0"/>
              <w:spacing w:before="120" w:beforeLines="50" w:line="360" w:lineRule="auto"/>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根据上述分析，本项目与《福建省人民政府关于实施“三线一单”生态环境分区管控的通知》(闽政[2020]12号)中的相关规定是符合的。</w:t>
            </w:r>
          </w:p>
          <w:p w14:paraId="0CC63330">
            <w:pPr>
              <w:rPr>
                <w:rFonts w:hint="default" w:ascii="Times New Roman" w:hAnsi="Times New Roman" w:cs="Times New Roman"/>
                <w:color w:val="auto"/>
              </w:rPr>
            </w:pPr>
          </w:p>
        </w:tc>
      </w:tr>
    </w:tbl>
    <w:p w14:paraId="4765195C">
      <w:pPr>
        <w:ind w:firstLine="480"/>
        <w:rPr>
          <w:rFonts w:hint="default" w:ascii="Times New Roman" w:hAnsi="Times New Roman" w:cs="Times New Roman"/>
          <w:color w:val="auto"/>
        </w:rPr>
        <w:sectPr>
          <w:pgSz w:w="11906" w:h="16838"/>
          <w:pgMar w:top="1701" w:right="1531" w:bottom="1701" w:left="1531" w:header="851" w:footer="1077" w:gutter="0"/>
          <w:cols w:space="720" w:num="1"/>
          <w:docGrid w:linePitch="312" w:charSpace="0"/>
        </w:sectPr>
      </w:pPr>
    </w:p>
    <w:p w14:paraId="6684928B">
      <w:pPr>
        <w:pStyle w:val="3"/>
        <w:ind w:firstLineChars="0"/>
        <w:rPr>
          <w:rFonts w:hint="default" w:ascii="Times New Roman" w:hAnsi="Times New Roman" w:cs="Times New Roman"/>
          <w:color w:val="auto"/>
        </w:rPr>
      </w:pPr>
      <w:bookmarkStart w:id="15" w:name="_Toc13932"/>
      <w:bookmarkStart w:id="16" w:name="_Toc4322"/>
      <w:bookmarkStart w:id="17" w:name="_Toc10038"/>
      <w:r>
        <w:rPr>
          <w:rFonts w:hint="default" w:ascii="Times New Roman" w:hAnsi="Times New Roman" w:cs="Times New Roman"/>
          <w:color w:val="auto"/>
        </w:rPr>
        <w:t>建设项目工程分析</w:t>
      </w:r>
      <w:bookmarkEnd w:id="15"/>
      <w:bookmarkEnd w:id="16"/>
    </w:p>
    <w:tbl>
      <w:tblPr>
        <w:tblStyle w:val="21"/>
        <w:tblW w:w="93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57" w:type="dxa"/>
          <w:left w:w="108" w:type="dxa"/>
          <w:bottom w:w="57" w:type="dxa"/>
          <w:right w:w="108" w:type="dxa"/>
        </w:tblCellMar>
      </w:tblPr>
      <w:tblGrid>
        <w:gridCol w:w="841"/>
        <w:gridCol w:w="8547"/>
      </w:tblGrid>
      <w:tr w14:paraId="657D02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7" w:hRule="atLeast"/>
          <w:jc w:val="center"/>
        </w:trPr>
        <w:tc>
          <w:tcPr>
            <w:tcW w:w="841" w:type="dxa"/>
            <w:vAlign w:val="center"/>
          </w:tcPr>
          <w:p w14:paraId="786C373B">
            <w:pPr>
              <w:pStyle w:val="4"/>
              <w:numPr>
                <w:ilvl w:val="1"/>
                <w:numId w:val="0"/>
              </w:numPr>
              <w:rPr>
                <w:rFonts w:hint="default" w:ascii="Times New Roman" w:hAnsi="Times New Roman" w:cs="Times New Roman"/>
                <w:b w:val="0"/>
                <w:bCs/>
                <w:color w:val="auto"/>
                <w:sz w:val="24"/>
              </w:rPr>
            </w:pPr>
            <w:bookmarkStart w:id="18" w:name="_Toc11170"/>
            <w:r>
              <w:rPr>
                <w:rFonts w:hint="default" w:ascii="Times New Roman" w:hAnsi="Times New Roman" w:cs="Times New Roman"/>
                <w:b w:val="0"/>
                <w:bCs/>
                <w:color w:val="auto"/>
                <w:sz w:val="24"/>
              </w:rPr>
              <w:t>建设内容</w:t>
            </w:r>
            <w:bookmarkEnd w:id="18"/>
          </w:p>
        </w:tc>
        <w:tc>
          <w:tcPr>
            <w:tcW w:w="8547" w:type="dxa"/>
          </w:tcPr>
          <w:p w14:paraId="0E5AC3AD">
            <w:pPr>
              <w:pStyle w:val="4"/>
              <w:rPr>
                <w:rFonts w:hint="default" w:ascii="Times New Roman" w:hAnsi="Times New Roman" w:cs="Times New Roman"/>
                <w:color w:val="auto"/>
              </w:rPr>
            </w:pPr>
            <w:r>
              <w:rPr>
                <w:rFonts w:hint="default" w:ascii="Times New Roman" w:hAnsi="Times New Roman" w:cs="Times New Roman"/>
                <w:color w:val="auto"/>
              </w:rPr>
              <w:t>项目概况</w:t>
            </w:r>
          </w:p>
          <w:p w14:paraId="27A7D033">
            <w:pPr>
              <w:tabs>
                <w:tab w:val="left" w:pos="0"/>
              </w:tabs>
              <w:ind w:firstLine="0" w:firstLineChars="0"/>
              <w:jc w:val="left"/>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2.1.1项目由来</w:t>
            </w:r>
          </w:p>
          <w:p w14:paraId="41E9198D">
            <w:pPr>
              <w:ind w:firstLine="480"/>
              <w:rPr>
                <w:rFonts w:hint="default" w:ascii="Times New Roman" w:hAnsi="Times New Roman" w:cs="Times New Roman"/>
                <w:color w:val="auto"/>
              </w:rPr>
            </w:pPr>
            <w:r>
              <w:rPr>
                <w:rFonts w:hint="eastAsia" w:cs="Times New Roman"/>
                <w:color w:val="auto"/>
                <w:lang w:eastAsia="zh-CN"/>
              </w:rPr>
              <w:t>福建福老酒业有限公司</w:t>
            </w:r>
            <w:r>
              <w:rPr>
                <w:rFonts w:hint="default" w:ascii="Times New Roman" w:hAnsi="Times New Roman" w:cs="Times New Roman"/>
                <w:color w:val="auto"/>
              </w:rPr>
              <w:t>成立于</w:t>
            </w:r>
            <w:r>
              <w:rPr>
                <w:rFonts w:hint="eastAsia" w:cs="Times New Roman"/>
                <w:color w:val="auto"/>
                <w:lang w:val="en-US" w:eastAsia="zh-CN"/>
              </w:rPr>
              <w:t>2008</w:t>
            </w:r>
            <w:r>
              <w:rPr>
                <w:rFonts w:hint="default" w:ascii="Times New Roman" w:hAnsi="Times New Roman" w:cs="Times New Roman"/>
                <w:color w:val="auto"/>
              </w:rPr>
              <w:t>年，主要进行</w:t>
            </w:r>
            <w:r>
              <w:rPr>
                <w:rFonts w:hint="eastAsia" w:cs="Times New Roman"/>
                <w:color w:val="auto"/>
                <w:lang w:eastAsia="zh-CN"/>
              </w:rPr>
              <w:t>黄酒生产销售</w:t>
            </w:r>
            <w:r>
              <w:rPr>
                <w:rFonts w:hint="default" w:ascii="Times New Roman" w:hAnsi="Times New Roman" w:cs="Times New Roman"/>
                <w:color w:val="auto"/>
              </w:rPr>
              <w:t>，于2010年选址于闽侯县铁岭工业集中区二期地块从事</w:t>
            </w:r>
            <w:r>
              <w:rPr>
                <w:rFonts w:hint="eastAsia" w:cs="Times New Roman"/>
                <w:color w:val="auto"/>
                <w:lang w:eastAsia="zh-CN"/>
              </w:rPr>
              <w:t>黄酒</w:t>
            </w:r>
            <w:r>
              <w:rPr>
                <w:rFonts w:hint="default" w:ascii="Times New Roman" w:hAnsi="Times New Roman" w:cs="Times New Roman"/>
                <w:color w:val="auto"/>
              </w:rPr>
              <w:t>的生产销售。厂区占地面积</w:t>
            </w:r>
            <w:r>
              <w:rPr>
                <w:rFonts w:hint="eastAsia" w:cs="Times New Roman"/>
                <w:color w:val="auto"/>
                <w:lang w:val="en-US" w:eastAsia="zh-CN"/>
              </w:rPr>
              <w:t>34907</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default" w:ascii="Times New Roman" w:hAnsi="Times New Roman" w:cs="Times New Roman"/>
                <w:color w:val="auto"/>
              </w:rPr>
              <w:t>，总投资</w:t>
            </w:r>
            <w:r>
              <w:rPr>
                <w:rFonts w:hint="eastAsia" w:cs="Times New Roman"/>
                <w:color w:val="auto"/>
                <w:lang w:val="en-US" w:eastAsia="zh-CN"/>
              </w:rPr>
              <w:t>6888</w:t>
            </w:r>
            <w:r>
              <w:rPr>
                <w:rFonts w:hint="default" w:ascii="Times New Roman" w:hAnsi="Times New Roman" w:cs="Times New Roman"/>
                <w:color w:val="auto"/>
              </w:rPr>
              <w:t>万元，项目建设内容主要为：</w:t>
            </w:r>
            <w:r>
              <w:rPr>
                <w:rFonts w:hint="eastAsia" w:cs="Times New Roman"/>
                <w:color w:val="auto"/>
                <w:lang w:eastAsia="zh-CN"/>
              </w:rPr>
              <w:t>生产车间（醇化、酿造、包装车间）、辅助生产车间（供水站、废水处理站、仓库、锅炉房）及办公生活区等</w:t>
            </w:r>
            <w:r>
              <w:rPr>
                <w:rFonts w:hint="default" w:ascii="Times New Roman" w:hAnsi="Times New Roman" w:cs="Times New Roman"/>
                <w:color w:val="auto"/>
              </w:rPr>
              <w:t>。</w:t>
            </w:r>
          </w:p>
          <w:p w14:paraId="7D461A17">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eastAsia" w:cs="Times New Roman"/>
                <w:color w:val="auto"/>
                <w:lang w:eastAsia="zh-CN"/>
              </w:rPr>
              <w:t>福建福老酒业有限公司</w:t>
            </w:r>
            <w:r>
              <w:rPr>
                <w:rFonts w:hint="default" w:ascii="Times New Roman" w:hAnsi="Times New Roman" w:cs="Times New Roman"/>
                <w:color w:val="auto"/>
              </w:rPr>
              <w:t>此前于</w:t>
            </w:r>
            <w:r>
              <w:rPr>
                <w:rFonts w:hint="eastAsia" w:cs="Times New Roman"/>
                <w:color w:val="auto"/>
                <w:lang w:val="en-US" w:eastAsia="zh-CN"/>
              </w:rPr>
              <w:t>2008</w:t>
            </w:r>
            <w:r>
              <w:rPr>
                <w:rFonts w:hint="default" w:ascii="Times New Roman" w:hAnsi="Times New Roman" w:cs="Times New Roman"/>
                <w:color w:val="auto"/>
              </w:rPr>
              <w:t>年</w:t>
            </w:r>
            <w:r>
              <w:rPr>
                <w:rFonts w:hint="eastAsia" w:cs="Times New Roman"/>
                <w:color w:val="auto"/>
                <w:lang w:val="en-US" w:eastAsia="zh-CN"/>
              </w:rPr>
              <w:t>8</w:t>
            </w:r>
            <w:r>
              <w:rPr>
                <w:rFonts w:hint="default" w:ascii="Times New Roman" w:hAnsi="Times New Roman" w:cs="Times New Roman"/>
                <w:color w:val="auto"/>
              </w:rPr>
              <w:t>月编制了《</w:t>
            </w:r>
            <w:r>
              <w:rPr>
                <w:rFonts w:hint="eastAsia" w:cs="Times New Roman"/>
                <w:color w:val="auto"/>
                <w:lang w:eastAsia="zh-CN"/>
              </w:rPr>
              <w:t>福建福老酒业有限公司</w:t>
            </w:r>
            <w:r>
              <w:rPr>
                <w:rFonts w:hint="default" w:ascii="Times New Roman" w:hAnsi="Times New Roman" w:cs="Times New Roman"/>
                <w:color w:val="auto"/>
              </w:rPr>
              <w:t>年产1万</w:t>
            </w:r>
            <w:r>
              <w:rPr>
                <w:rFonts w:hint="eastAsia" w:cs="Times New Roman"/>
                <w:color w:val="auto"/>
                <w:lang w:eastAsia="zh-CN"/>
              </w:rPr>
              <w:t>吨黄酒</w:t>
            </w:r>
            <w:r>
              <w:rPr>
                <w:rFonts w:hint="default" w:ascii="Times New Roman" w:hAnsi="Times New Roman" w:cs="Times New Roman"/>
                <w:color w:val="auto"/>
              </w:rPr>
              <w:t>项目环境影响报告书》，并于20</w:t>
            </w:r>
            <w:r>
              <w:rPr>
                <w:rFonts w:hint="eastAsia" w:cs="Times New Roman"/>
                <w:color w:val="auto"/>
                <w:lang w:val="en-US" w:eastAsia="zh-CN"/>
              </w:rPr>
              <w:t>08</w:t>
            </w:r>
            <w:r>
              <w:rPr>
                <w:rFonts w:hint="default" w:ascii="Times New Roman" w:hAnsi="Times New Roman" w:cs="Times New Roman"/>
                <w:color w:val="auto"/>
              </w:rPr>
              <w:t>年</w:t>
            </w:r>
            <w:r>
              <w:rPr>
                <w:rFonts w:hint="eastAsia" w:cs="Times New Roman"/>
                <w:color w:val="auto"/>
                <w:lang w:val="en-US" w:eastAsia="zh-CN"/>
              </w:rPr>
              <w:t>12</w:t>
            </w:r>
            <w:r>
              <w:rPr>
                <w:rFonts w:hint="default" w:ascii="Times New Roman" w:hAnsi="Times New Roman" w:cs="Times New Roman"/>
                <w:color w:val="auto"/>
              </w:rPr>
              <w:t>月</w:t>
            </w:r>
            <w:r>
              <w:rPr>
                <w:rFonts w:hint="eastAsia" w:cs="Times New Roman"/>
                <w:color w:val="auto"/>
                <w:lang w:val="en-US" w:eastAsia="zh-CN"/>
              </w:rPr>
              <w:t>15</w:t>
            </w:r>
            <w:r>
              <w:rPr>
                <w:rFonts w:hint="default" w:ascii="Times New Roman" w:hAnsi="Times New Roman" w:cs="Times New Roman"/>
                <w:color w:val="auto"/>
              </w:rPr>
              <w:t>日获得</w:t>
            </w:r>
            <w:r>
              <w:rPr>
                <w:rFonts w:hint="eastAsia" w:cs="Times New Roman"/>
                <w:color w:val="auto"/>
                <w:lang w:eastAsia="zh-CN"/>
              </w:rPr>
              <w:t>福州市闽侯生态环境局</w:t>
            </w:r>
            <w:r>
              <w:rPr>
                <w:rFonts w:hint="default" w:ascii="Times New Roman" w:hAnsi="Times New Roman" w:cs="Times New Roman"/>
                <w:color w:val="auto"/>
              </w:rPr>
              <w:t>批复（侯环保[20</w:t>
            </w:r>
            <w:r>
              <w:rPr>
                <w:rFonts w:hint="eastAsia" w:ascii="Times New Roman" w:hAnsi="Times New Roman" w:cs="Times New Roman"/>
                <w:color w:val="auto"/>
                <w:lang w:val="en-US" w:eastAsia="zh-CN"/>
              </w:rPr>
              <w:t>08</w:t>
            </w:r>
            <w:r>
              <w:rPr>
                <w:rFonts w:hint="default" w:ascii="Times New Roman" w:hAnsi="Times New Roman" w:cs="Times New Roman"/>
                <w:color w:val="auto"/>
              </w:rPr>
              <w:t>]</w:t>
            </w:r>
            <w:r>
              <w:rPr>
                <w:rFonts w:hint="eastAsia" w:ascii="Times New Roman" w:hAnsi="Times New Roman" w:cs="Times New Roman"/>
                <w:color w:val="auto"/>
                <w:lang w:val="en-US" w:eastAsia="zh-CN"/>
              </w:rPr>
              <w:t>106</w:t>
            </w:r>
            <w:r>
              <w:rPr>
                <w:rFonts w:hint="default" w:ascii="Times New Roman" w:hAnsi="Times New Roman" w:cs="Times New Roman"/>
                <w:color w:val="auto"/>
              </w:rPr>
              <w:t>号）； 20</w:t>
            </w:r>
            <w:r>
              <w:rPr>
                <w:rFonts w:hint="eastAsia" w:cs="Times New Roman"/>
                <w:color w:val="auto"/>
                <w:lang w:val="en-US" w:eastAsia="zh-CN"/>
              </w:rPr>
              <w:t>16</w:t>
            </w:r>
            <w:r>
              <w:rPr>
                <w:rFonts w:hint="default" w:ascii="Times New Roman" w:hAnsi="Times New Roman" w:cs="Times New Roman"/>
                <w:color w:val="auto"/>
              </w:rPr>
              <w:t>年</w:t>
            </w:r>
            <w:r>
              <w:rPr>
                <w:rFonts w:hint="eastAsia" w:cs="Times New Roman"/>
                <w:color w:val="auto"/>
                <w:lang w:val="en-US" w:eastAsia="zh-CN"/>
              </w:rPr>
              <w:t>12</w:t>
            </w:r>
            <w:r>
              <w:rPr>
                <w:rFonts w:hint="default" w:ascii="Times New Roman" w:hAnsi="Times New Roman" w:cs="Times New Roman"/>
                <w:color w:val="auto"/>
              </w:rPr>
              <w:t>月</w:t>
            </w:r>
            <w:r>
              <w:rPr>
                <w:rFonts w:hint="eastAsia" w:cs="Times New Roman"/>
                <w:color w:val="auto"/>
                <w:lang w:eastAsia="zh-CN"/>
              </w:rPr>
              <w:t>福州市闽侯生态环境局</w:t>
            </w:r>
            <w:r>
              <w:rPr>
                <w:rFonts w:hint="default" w:ascii="Times New Roman" w:hAnsi="Times New Roman" w:cs="Times New Roman"/>
                <w:color w:val="auto"/>
              </w:rPr>
              <w:t>对</w:t>
            </w:r>
            <w:r>
              <w:rPr>
                <w:rFonts w:hint="eastAsia" w:cs="Times New Roman"/>
                <w:color w:val="auto"/>
                <w:lang w:eastAsia="zh-CN"/>
              </w:rPr>
              <w:t>福建福老酒业有限公司年产1万吨黄酒项目</w:t>
            </w:r>
            <w:r>
              <w:rPr>
                <w:rFonts w:hint="default" w:ascii="Times New Roman" w:hAnsi="Times New Roman" w:cs="Times New Roman"/>
                <w:color w:val="auto"/>
              </w:rPr>
              <w:t>进行竣工环境环保验收，并获得环境保护局验收批复意见（侯环验[2016]</w:t>
            </w:r>
            <w:r>
              <w:rPr>
                <w:rFonts w:hint="eastAsia" w:cs="Times New Roman"/>
                <w:color w:val="auto"/>
                <w:lang w:val="en-US" w:eastAsia="zh-CN"/>
              </w:rPr>
              <w:t>126</w:t>
            </w:r>
            <w:r>
              <w:rPr>
                <w:rFonts w:hint="default" w:ascii="Times New Roman" w:hAnsi="Times New Roman" w:cs="Times New Roman"/>
                <w:color w:val="auto"/>
              </w:rPr>
              <w:t>号）。</w:t>
            </w:r>
          </w:p>
          <w:p w14:paraId="2A416661">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根据“福州市生态环境保护委员会办公室关于印发《2021年福州市提升空气质量行动计划》的通知“（榕环委[2021]23号和“闽侯县人民政府办公室关于印发2021年闽侯县提升空气质量行动计划的通知”（侯政办[2021]77号），为加强锅炉、工业炉窑综合治理，淘汰燃煤燃生物质燃油小锅炉。全面淘汰非专用</w:t>
            </w:r>
            <w:r>
              <w:rPr>
                <w:rFonts w:hint="eastAsia" w:cs="Times New Roman"/>
                <w:color w:val="auto"/>
                <w:lang w:eastAsia="zh-CN"/>
              </w:rPr>
              <w:t>15吨燃煤锅炉</w:t>
            </w:r>
            <w:r>
              <w:rPr>
                <w:rFonts w:hint="default" w:ascii="Times New Roman" w:hAnsi="Times New Roman" w:cs="Times New Roman"/>
                <w:color w:val="auto"/>
              </w:rPr>
              <w:t>与2蒸吨（含）及以下燃煤、燃生物质﹑燃油小锅炉。</w:t>
            </w:r>
            <w:r>
              <w:rPr>
                <w:rFonts w:hint="eastAsia" w:cs="Times New Roman"/>
                <w:color w:val="auto"/>
                <w:lang w:eastAsia="zh-CN"/>
              </w:rPr>
              <w:t>福建福老酒业有限公司</w:t>
            </w:r>
            <w:r>
              <w:rPr>
                <w:rFonts w:hint="default" w:ascii="Times New Roman" w:hAnsi="Times New Roman" w:cs="Times New Roman"/>
                <w:color w:val="auto"/>
              </w:rPr>
              <w:t>为响应相应的环保政策，拟拆除</w:t>
            </w:r>
            <w:r>
              <w:rPr>
                <w:rFonts w:hint="eastAsia" w:cs="Times New Roman"/>
                <w:color w:val="auto"/>
                <w:lang w:val="en-US" w:eastAsia="zh-CN"/>
              </w:rPr>
              <w:t>现</w:t>
            </w:r>
            <w:r>
              <w:rPr>
                <w:rFonts w:hint="default" w:ascii="Times New Roman" w:hAnsi="Times New Roman" w:cs="Times New Roman"/>
                <w:color w:val="auto"/>
              </w:rPr>
              <w:t>有1台</w:t>
            </w:r>
            <w:r>
              <w:rPr>
                <w:rFonts w:hint="eastAsia" w:cs="Times New Roman"/>
                <w:color w:val="auto"/>
                <w:lang w:val="en-US" w:eastAsia="zh-CN"/>
              </w:rPr>
              <w:t>15吨</w:t>
            </w:r>
            <w:r>
              <w:rPr>
                <w:rFonts w:hint="default" w:ascii="Times New Roman" w:hAnsi="Times New Roman" w:cs="Times New Roman"/>
                <w:color w:val="auto"/>
              </w:rPr>
              <w:t>的</w:t>
            </w:r>
            <w:r>
              <w:rPr>
                <w:rFonts w:hint="eastAsia" w:cs="Times New Roman"/>
                <w:color w:val="auto"/>
                <w:lang w:eastAsia="zh-CN"/>
              </w:rPr>
              <w:t>燃煤</w:t>
            </w:r>
            <w:r>
              <w:rPr>
                <w:rFonts w:hint="default" w:ascii="Times New Roman" w:hAnsi="Times New Roman" w:cs="Times New Roman"/>
                <w:color w:val="auto"/>
              </w:rPr>
              <w:t>锅炉，建设</w:t>
            </w:r>
            <w:r>
              <w:rPr>
                <w:rFonts w:hint="eastAsia" w:cs="Times New Roman"/>
                <w:color w:val="auto"/>
                <w:lang w:val="en-US" w:eastAsia="zh-CN"/>
              </w:rPr>
              <w:t>2</w:t>
            </w:r>
            <w:r>
              <w:rPr>
                <w:rFonts w:hint="default" w:ascii="Times New Roman" w:hAnsi="Times New Roman" w:cs="Times New Roman"/>
                <w:color w:val="auto"/>
              </w:rPr>
              <w:t>台2t燃气锅炉。</w:t>
            </w:r>
          </w:p>
          <w:p w14:paraId="0500474E">
            <w:pPr>
              <w:pStyle w:val="2"/>
              <w:spacing w:line="360" w:lineRule="auto"/>
              <w:ind w:firstLine="480" w:firstLineChars="200"/>
              <w:rPr>
                <w:rFonts w:hint="default"/>
              </w:rPr>
            </w:pPr>
            <w:r>
              <w:rPr>
                <w:rFonts w:hint="eastAsia" w:ascii="Times New Roman" w:hAnsi="Arial" w:eastAsia="宋体" w:cs="Times New Roman"/>
                <w:kern w:val="2"/>
                <w:sz w:val="24"/>
                <w:szCs w:val="22"/>
                <w:vertAlign w:val="baseline"/>
                <w:lang w:val="en-US" w:eastAsia="zh-CN" w:bidi="ar-SA"/>
              </w:rPr>
              <w:t>现有项目已于2019年12月6日取得</w:t>
            </w:r>
            <w:r>
              <w:rPr>
                <w:rFonts w:hint="eastAsia" w:ascii="Times New Roman" w:hAnsi="Times New Roman" w:eastAsia="宋体" w:cs="Times New Roman"/>
                <w:lang w:val="en-US" w:eastAsia="zh-CN"/>
              </w:rPr>
              <w:t>固定污染源排污重点管理（</w:t>
            </w:r>
            <w:r>
              <w:rPr>
                <w:rFonts w:hint="default" w:ascii="Times New Roman" w:hAnsi="Times New Roman" w:cs="Times New Roman"/>
                <w:color w:val="auto"/>
                <w:lang w:val="en-US" w:eastAsia="zh-CN"/>
              </w:rPr>
              <w:t>见</w:t>
            </w:r>
            <w:r>
              <w:rPr>
                <w:rFonts w:hint="default" w:ascii="Times New Roman" w:hAnsi="Times New Roman" w:cs="Times New Roman"/>
                <w:b/>
                <w:bCs/>
                <w:color w:val="auto"/>
                <w:lang w:val="en-US" w:eastAsia="zh-CN"/>
              </w:rPr>
              <w:t>附件五</w:t>
            </w:r>
            <w:r>
              <w:rPr>
                <w:rFonts w:hint="default" w:ascii="Times New Roman" w:hAnsi="Times New Roman" w:cs="Times New Roman"/>
                <w:color w:val="auto"/>
                <w:lang w:val="en-US" w:eastAsia="zh-CN"/>
              </w:rPr>
              <w:t>)</w:t>
            </w:r>
            <w:r>
              <w:rPr>
                <w:rFonts w:hint="default" w:ascii="Times New Roman" w:hAnsi="Times New Roman" w:cs="Times New Roman"/>
                <w:color w:val="auto"/>
                <w:lang w:eastAsia="zh-CN"/>
              </w:rPr>
              <w:t>。</w:t>
            </w:r>
          </w:p>
          <w:p w14:paraId="21F66D7F">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根据《中华人民共和国环境保护法》、《中华人民共和国环境影响评价法》、《建设项目环境保护管理条例》，本项目需进行环境影响评价工作，再对照《建设项目环境影响评价分类管理名录》</w:t>
            </w:r>
            <w:r>
              <w:rPr>
                <w:rFonts w:hint="default" w:ascii="Times New Roman" w:hAnsi="Times New Roman" w:cs="Times New Roman"/>
              </w:rPr>
              <w:t>(20</w:t>
            </w:r>
            <w:r>
              <w:rPr>
                <w:rFonts w:hint="default" w:ascii="Times New Roman" w:hAnsi="Times New Roman" w:cs="Times New Roman"/>
                <w:lang w:val="en-US" w:eastAsia="zh-CN"/>
              </w:rPr>
              <w:t>21年</w:t>
            </w:r>
            <w:r>
              <w:rPr>
                <w:rFonts w:hint="default" w:ascii="Times New Roman" w:hAnsi="Times New Roman" w:cs="Times New Roman"/>
                <w:lang w:eastAsia="zh-CN"/>
              </w:rPr>
              <w:t>版</w:t>
            </w:r>
            <w:r>
              <w:rPr>
                <w:rFonts w:hint="default" w:ascii="Times New Roman" w:hAnsi="Times New Roman" w:cs="Times New Roman"/>
              </w:rPr>
              <w:t>)</w:t>
            </w:r>
            <w:r>
              <w:rPr>
                <w:rFonts w:hint="default" w:ascii="Times New Roman" w:hAnsi="Times New Roman" w:cs="Times New Roman"/>
                <w:color w:val="auto"/>
              </w:rPr>
              <w:t>，本项目属于“四十一、电力、热力生产和供应业、91热力生产和供应工程（包括建设单位自建自用的供热工程）-燃煤、燃油锅炉总容量65吨/小时（45.5兆瓦）及以下的；天然气锅炉总容量1吨/小时（0.7兆瓦）以上的；使用其他高污染燃料的（高污染燃料指国环规大气〔2017〕2号《高污染燃料目录》中规定的燃料”，应该编制环境影响报告表。为此，</w:t>
            </w:r>
            <w:r>
              <w:rPr>
                <w:rFonts w:hint="eastAsia" w:cs="Times New Roman"/>
                <w:color w:val="auto"/>
                <w:lang w:eastAsia="zh-CN"/>
              </w:rPr>
              <w:t>福建福老酒业有限公司</w:t>
            </w:r>
            <w:r>
              <w:rPr>
                <w:rFonts w:hint="default" w:ascii="Times New Roman" w:hAnsi="Times New Roman" w:cs="Times New Roman"/>
                <w:color w:val="auto"/>
              </w:rPr>
              <w:t>委托我公司承担该项目环境影响报告表的编制工作</w:t>
            </w:r>
            <w:r>
              <w:rPr>
                <w:rFonts w:hint="default" w:ascii="Times New Roman" w:hAnsi="Times New Roman" w:cs="Times New Roman"/>
              </w:rPr>
              <w:t>(委托书详见</w:t>
            </w:r>
            <w:r>
              <w:rPr>
                <w:rFonts w:hint="default" w:ascii="Times New Roman" w:hAnsi="Times New Roman" w:cs="Times New Roman"/>
                <w:b/>
                <w:bCs/>
              </w:rPr>
              <w:t>附件一</w:t>
            </w:r>
            <w:r>
              <w:rPr>
                <w:rFonts w:hint="default" w:ascii="Times New Roman" w:hAnsi="Times New Roman" w:cs="Times New Roman"/>
              </w:rPr>
              <w:t>)</w:t>
            </w:r>
            <w:r>
              <w:rPr>
                <w:rFonts w:hint="default" w:ascii="Times New Roman" w:hAnsi="Times New Roman" w:cs="Times New Roman"/>
                <w:color w:val="auto"/>
              </w:rPr>
              <w:t>。我公司技术人员经过现场勘察和工程分析，依据《环境影响评价技术导则》的要求，编制了《</w:t>
            </w:r>
            <w:r>
              <w:rPr>
                <w:rFonts w:hint="eastAsia" w:cs="Times New Roman"/>
                <w:color w:val="auto"/>
                <w:lang w:eastAsia="zh-CN"/>
              </w:rPr>
              <w:t>福建福老酒业有限公司锅炉改建项目</w:t>
            </w:r>
            <w:r>
              <w:rPr>
                <w:rFonts w:hint="default" w:ascii="Times New Roman" w:hAnsi="Times New Roman" w:cs="Times New Roman"/>
                <w:color w:val="auto"/>
              </w:rPr>
              <w:t>环境影响报告表》，对项目产生的污染和对环境的影响进行分析，从环境保护角度评估项目建设的可行性。</w:t>
            </w:r>
          </w:p>
          <w:p w14:paraId="2200E7D1">
            <w:pPr>
              <w:pStyle w:val="50"/>
              <w:keepNext w:val="0"/>
              <w:keepLines w:val="0"/>
              <w:pageBreakBefore w:val="0"/>
              <w:widowControl w:val="0"/>
              <w:kinsoku/>
              <w:wordWrap/>
              <w:overflowPunct/>
              <w:topLinePunct w:val="0"/>
              <w:autoSpaceDE w:val="0"/>
              <w:autoSpaceDN w:val="0"/>
              <w:bidi w:val="0"/>
              <w:adjustRightInd w:val="0"/>
              <w:snapToGrid w:val="0"/>
              <w:spacing w:after="0"/>
              <w:textAlignment w:val="baseline"/>
              <w:rPr>
                <w:rFonts w:hint="default" w:ascii="Times New Roman" w:hAnsi="Times New Roman" w:cs="Times New Roman"/>
              </w:rPr>
            </w:pPr>
            <w:r>
              <w:rPr>
                <w:rFonts w:hint="default" w:ascii="Times New Roman" w:hAnsi="Times New Roman" w:cs="Times New Roman"/>
              </w:rPr>
              <w:t>表2</w:t>
            </w:r>
            <w:r>
              <w:rPr>
                <w:rFonts w:hint="default" w:ascii="Times New Roman" w:hAnsi="Times New Roman" w:cs="Times New Roman"/>
                <w:lang w:val="en-US" w:eastAsia="zh-CN"/>
              </w:rPr>
              <w:t>.1</w:t>
            </w:r>
            <w:r>
              <w:rPr>
                <w:rFonts w:hint="default" w:ascii="Times New Roman" w:hAnsi="Times New Roman" w:cs="Times New Roman"/>
              </w:rPr>
              <w:t>-</w:t>
            </w:r>
            <w:r>
              <w:rPr>
                <w:rFonts w:hint="default" w:ascii="Times New Roman" w:hAnsi="Times New Roman" w:cs="Times New Roman"/>
                <w:lang w:val="en-US" w:eastAsia="zh-CN"/>
              </w:rPr>
              <w:t>1</w:t>
            </w:r>
            <w:r>
              <w:rPr>
                <w:rFonts w:hint="default" w:ascii="Times New Roman" w:hAnsi="Times New Roman" w:cs="Times New Roman"/>
              </w:rPr>
              <w:t xml:space="preserve">  建设</w:t>
            </w:r>
            <w:r>
              <w:rPr>
                <w:rFonts w:hint="default" w:ascii="Times New Roman" w:hAnsi="Times New Roman" w:cs="Times New Roman"/>
                <w:lang w:eastAsia="zh-CN"/>
              </w:rPr>
              <w:t>项目</w:t>
            </w:r>
            <w:r>
              <w:rPr>
                <w:rFonts w:hint="default" w:ascii="Times New Roman" w:hAnsi="Times New Roman" w:cs="Times New Roman"/>
              </w:rPr>
              <w:t>环境影响评价分类管理名录(摘录)</w:t>
            </w:r>
          </w:p>
          <w:tbl>
            <w:tblPr>
              <w:tblStyle w:val="21"/>
              <w:tblW w:w="8098" w:type="dxa"/>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3"/>
              <w:gridCol w:w="1925"/>
              <w:gridCol w:w="1328"/>
              <w:gridCol w:w="3484"/>
              <w:gridCol w:w="918"/>
            </w:tblGrid>
            <w:tr w14:paraId="6E87B33D">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2368" w:type="dxa"/>
                  <w:gridSpan w:val="2"/>
                  <w:tcBorders>
                    <w:tl2br w:val="single" w:color="auto" w:sz="4" w:space="0"/>
                  </w:tcBorders>
                  <w:noWrap w:val="0"/>
                  <w:vAlign w:val="center"/>
                </w:tcPr>
                <w:p w14:paraId="1C1B64E5">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eastAsia" w:cs="宋体"/>
                      <w:color w:val="000000"/>
                      <w:kern w:val="0"/>
                      <w:sz w:val="21"/>
                    </w:rPr>
                  </w:pPr>
                  <w:r>
                    <w:rPr>
                      <w:rFonts w:hint="eastAsia" w:cs="宋体"/>
                      <w:color w:val="000000"/>
                      <w:kern w:val="0"/>
                      <w:sz w:val="21"/>
                    </w:rPr>
                    <w:t xml:space="preserve">            环评类别</w:t>
                  </w:r>
                </w:p>
                <w:p w14:paraId="38C4C2B0">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eastAsia" w:cs="宋体"/>
                      <w:color w:val="000000"/>
                      <w:kern w:val="0"/>
                      <w:sz w:val="21"/>
                    </w:rPr>
                  </w:pPr>
                  <w:r>
                    <w:rPr>
                      <w:rFonts w:hint="eastAsia" w:cs="宋体"/>
                      <w:color w:val="000000"/>
                      <w:kern w:val="0"/>
                      <w:sz w:val="21"/>
                    </w:rPr>
                    <w:t>项目类别</w:t>
                  </w:r>
                </w:p>
              </w:tc>
              <w:tc>
                <w:tcPr>
                  <w:tcW w:w="1328" w:type="dxa"/>
                  <w:noWrap w:val="0"/>
                  <w:vAlign w:val="center"/>
                </w:tcPr>
                <w:p w14:paraId="4AFA443B">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eastAsia" w:cs="宋体"/>
                      <w:color w:val="000000"/>
                      <w:kern w:val="0"/>
                      <w:sz w:val="21"/>
                    </w:rPr>
                  </w:pPr>
                  <w:r>
                    <w:rPr>
                      <w:rFonts w:hint="eastAsia" w:cs="宋体"/>
                      <w:color w:val="000000"/>
                      <w:kern w:val="0"/>
                      <w:sz w:val="21"/>
                    </w:rPr>
                    <w:t>报告书</w:t>
                  </w:r>
                </w:p>
              </w:tc>
              <w:tc>
                <w:tcPr>
                  <w:tcW w:w="3484" w:type="dxa"/>
                  <w:noWrap w:val="0"/>
                  <w:vAlign w:val="center"/>
                </w:tcPr>
                <w:p w14:paraId="03F09AA3">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eastAsia" w:cs="宋体"/>
                      <w:color w:val="000000"/>
                      <w:kern w:val="0"/>
                      <w:sz w:val="21"/>
                    </w:rPr>
                  </w:pPr>
                  <w:r>
                    <w:rPr>
                      <w:rFonts w:hint="eastAsia" w:cs="宋体"/>
                      <w:color w:val="000000"/>
                      <w:kern w:val="0"/>
                      <w:sz w:val="21"/>
                    </w:rPr>
                    <w:t>报告表</w:t>
                  </w:r>
                </w:p>
              </w:tc>
              <w:tc>
                <w:tcPr>
                  <w:tcW w:w="918" w:type="dxa"/>
                  <w:noWrap w:val="0"/>
                  <w:vAlign w:val="center"/>
                </w:tcPr>
                <w:p w14:paraId="0226988D">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eastAsia" w:cs="宋体"/>
                      <w:color w:val="000000"/>
                      <w:kern w:val="0"/>
                      <w:sz w:val="21"/>
                    </w:rPr>
                  </w:pPr>
                  <w:r>
                    <w:rPr>
                      <w:rFonts w:hint="eastAsia" w:cs="宋体"/>
                      <w:color w:val="000000"/>
                      <w:kern w:val="0"/>
                      <w:sz w:val="21"/>
                    </w:rPr>
                    <w:t>登记表</w:t>
                  </w:r>
                </w:p>
              </w:tc>
            </w:tr>
            <w:tr w14:paraId="6660AC9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98" w:type="dxa"/>
                  <w:gridSpan w:val="5"/>
                  <w:noWrap w:val="0"/>
                  <w:vAlign w:val="center"/>
                </w:tcPr>
                <w:p w14:paraId="216D056E">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default" w:cs="宋体"/>
                      <w:b w:val="0"/>
                      <w:bCs w:val="0"/>
                      <w:color w:val="000000"/>
                      <w:kern w:val="0"/>
                      <w:sz w:val="21"/>
                      <w:lang w:val="en-US" w:eastAsia="zh-CN"/>
                    </w:rPr>
                  </w:pPr>
                  <w:r>
                    <w:rPr>
                      <w:rFonts w:hint="default" w:ascii="Times New Roman" w:hAnsi="Times New Roman" w:cs="Times New Roman"/>
                      <w:color w:val="auto"/>
                    </w:rPr>
                    <w:t>四十一、电力、热力生产和供应业</w:t>
                  </w:r>
                </w:p>
              </w:tc>
            </w:tr>
            <w:tr w14:paraId="70566332">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dxa"/>
                  <w:noWrap w:val="0"/>
                  <w:vAlign w:val="center"/>
                </w:tcPr>
                <w:p w14:paraId="40D6DE00">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default" w:ascii="Times New Roman" w:hAnsi="Times New Roman" w:eastAsia="宋体" w:cs="宋体"/>
                      <w:b w:val="0"/>
                      <w:bCs w:val="0"/>
                      <w:color w:val="000000"/>
                      <w:kern w:val="0"/>
                      <w:sz w:val="21"/>
                      <w:lang w:val="en-US" w:eastAsia="zh-CN"/>
                    </w:rPr>
                  </w:pPr>
                  <w:r>
                    <w:rPr>
                      <w:rFonts w:hint="eastAsia" w:ascii="Times New Roman" w:hAnsi="Times New Roman" w:eastAsia="宋体" w:cs="宋体"/>
                      <w:b w:val="0"/>
                      <w:bCs w:val="0"/>
                      <w:color w:val="000000"/>
                      <w:kern w:val="0"/>
                      <w:sz w:val="21"/>
                      <w:lang w:val="en-US" w:eastAsia="zh-CN"/>
                    </w:rPr>
                    <w:t>91</w:t>
                  </w:r>
                </w:p>
              </w:tc>
              <w:tc>
                <w:tcPr>
                  <w:tcW w:w="1925" w:type="dxa"/>
                  <w:noWrap w:val="0"/>
                  <w:vAlign w:val="center"/>
                </w:tcPr>
                <w:p w14:paraId="149F5AF0">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default" w:ascii="Times New Roman" w:hAnsi="Times New Roman" w:eastAsia="宋体" w:cs="宋体"/>
                      <w:b w:val="0"/>
                      <w:bCs w:val="0"/>
                      <w:color w:val="000000"/>
                      <w:kern w:val="0"/>
                      <w:sz w:val="21"/>
                      <w:lang w:val="en-US" w:eastAsia="zh-CN"/>
                    </w:rPr>
                  </w:pPr>
                  <w:r>
                    <w:rPr>
                      <w:rFonts w:hint="default" w:ascii="Times New Roman" w:hAnsi="Times New Roman" w:eastAsia="宋体" w:cs="宋体"/>
                      <w:b w:val="0"/>
                      <w:bCs w:val="0"/>
                      <w:color w:val="000000"/>
                      <w:kern w:val="0"/>
                      <w:sz w:val="21"/>
                      <w:lang w:val="en-US" w:eastAsia="zh-CN"/>
                    </w:rPr>
                    <w:t>热力生产和供应工程（包括建设单位自建自用的供热工程）</w:t>
                  </w:r>
                </w:p>
              </w:tc>
              <w:tc>
                <w:tcPr>
                  <w:tcW w:w="1328" w:type="dxa"/>
                  <w:noWrap w:val="0"/>
                  <w:vAlign w:val="center"/>
                </w:tcPr>
                <w:p w14:paraId="06C34A88">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default" w:ascii="Times New Roman" w:hAnsi="Times New Roman" w:eastAsia="宋体" w:cs="宋体"/>
                      <w:b w:val="0"/>
                      <w:bCs w:val="0"/>
                      <w:color w:val="000000"/>
                      <w:kern w:val="0"/>
                      <w:sz w:val="21"/>
                      <w:lang w:val="en-US" w:eastAsia="zh-CN"/>
                    </w:rPr>
                  </w:pPr>
                  <w:r>
                    <w:rPr>
                      <w:rFonts w:hint="eastAsia" w:ascii="Times New Roman" w:hAnsi="Times New Roman" w:eastAsia="宋体" w:cs="宋体"/>
                      <w:b w:val="0"/>
                      <w:bCs w:val="0"/>
                      <w:color w:val="000000"/>
                      <w:kern w:val="0"/>
                      <w:sz w:val="21"/>
                      <w:lang w:val="en-US" w:eastAsia="zh-CN"/>
                    </w:rPr>
                    <w:t>燃煤、燃油锅炉总容量65吨/小时（45.5兆瓦）及以上的</w:t>
                  </w:r>
                </w:p>
              </w:tc>
              <w:tc>
                <w:tcPr>
                  <w:tcW w:w="3484" w:type="dxa"/>
                  <w:noWrap w:val="0"/>
                  <w:vAlign w:val="center"/>
                </w:tcPr>
                <w:p w14:paraId="5C5AC140">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default" w:ascii="Times New Roman" w:hAnsi="Times New Roman" w:eastAsia="宋体" w:cs="宋体"/>
                      <w:b w:val="0"/>
                      <w:bCs w:val="0"/>
                      <w:color w:val="000000"/>
                      <w:kern w:val="0"/>
                      <w:sz w:val="21"/>
                      <w:lang w:val="en-US" w:eastAsia="zh-CN"/>
                    </w:rPr>
                  </w:pPr>
                  <w:r>
                    <w:rPr>
                      <w:rFonts w:hint="eastAsia" w:ascii="Times New Roman" w:hAnsi="Times New Roman" w:eastAsia="宋体" w:cs="宋体"/>
                      <w:b w:val="0"/>
                      <w:bCs w:val="0"/>
                      <w:color w:val="000000"/>
                      <w:kern w:val="0"/>
                      <w:sz w:val="21"/>
                      <w:lang w:val="en-US" w:eastAsia="zh-CN"/>
                    </w:rPr>
                    <w:t>燃煤、燃油锅炉总容量65吨/小时（45.5兆瓦）及以下的；天然气锅炉总容量1吨/小时（0.7兆瓦）以上的；使用其他高污染燃料的（高污染燃料指国环规大气〔2017〕2号《高污染燃料目录》中规定的燃料）</w:t>
                  </w:r>
                </w:p>
              </w:tc>
              <w:tc>
                <w:tcPr>
                  <w:tcW w:w="918" w:type="dxa"/>
                  <w:noWrap w:val="0"/>
                  <w:vAlign w:val="center"/>
                </w:tcPr>
                <w:p w14:paraId="7EBAD850">
                  <w:pPr>
                    <w:pStyle w:val="52"/>
                    <w:tabs>
                      <w:tab w:val="left" w:pos="1980"/>
                      <w:tab w:val="left" w:pos="3825"/>
                      <w:tab w:val="left" w:pos="4680"/>
                      <w:tab w:val="clear" w:pos="0"/>
                    </w:tabs>
                    <w:autoSpaceDE/>
                    <w:autoSpaceDN/>
                    <w:adjustRightInd/>
                    <w:snapToGrid/>
                    <w:spacing w:line="240" w:lineRule="auto"/>
                    <w:ind w:firstLine="0" w:firstLineChars="0"/>
                    <w:jc w:val="both"/>
                    <w:textAlignment w:val="auto"/>
                    <w:rPr>
                      <w:rFonts w:hint="eastAsia" w:ascii="Times New Roman" w:hAnsi="Times New Roman" w:eastAsia="宋体" w:cs="宋体"/>
                      <w:b w:val="0"/>
                      <w:bCs w:val="0"/>
                      <w:color w:val="000000"/>
                      <w:kern w:val="0"/>
                      <w:sz w:val="21"/>
                      <w:lang w:val="en-US" w:eastAsia="zh-CN"/>
                    </w:rPr>
                  </w:pPr>
                  <w:r>
                    <w:rPr>
                      <w:rFonts w:hint="eastAsia" w:ascii="Times New Roman" w:hAnsi="Times New Roman" w:eastAsia="宋体" w:cs="宋体"/>
                      <w:b w:val="0"/>
                      <w:bCs w:val="0"/>
                      <w:color w:val="000000"/>
                      <w:kern w:val="0"/>
                      <w:sz w:val="21"/>
                      <w:lang w:val="en-US" w:eastAsia="zh-CN"/>
                    </w:rPr>
                    <w:t>/</w:t>
                  </w:r>
                </w:p>
              </w:tc>
            </w:tr>
          </w:tbl>
          <w:p w14:paraId="600068AA">
            <w:pPr>
              <w:pBdr>
                <w:top w:val="none" w:color="auto" w:sz="0" w:space="1"/>
                <w:left w:val="none" w:color="auto" w:sz="0" w:space="4"/>
                <w:bottom w:val="none" w:color="auto" w:sz="0" w:space="1"/>
                <w:right w:val="none" w:color="auto" w:sz="0" w:space="4"/>
              </w:pBdr>
              <w:tabs>
                <w:tab w:val="left" w:pos="0"/>
              </w:tabs>
              <w:ind w:firstLine="0" w:firstLineChars="0"/>
              <w:jc w:val="left"/>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2.1.2</w:t>
            </w:r>
            <w:r>
              <w:rPr>
                <w:rFonts w:hint="eastAsia" w:cs="Times New Roman"/>
                <w:b/>
                <w:color w:val="auto"/>
                <w:sz w:val="30"/>
                <w:szCs w:val="30"/>
                <w:lang w:eastAsia="zh-CN"/>
              </w:rPr>
              <w:t>改建</w:t>
            </w:r>
            <w:r>
              <w:rPr>
                <w:rFonts w:hint="default" w:ascii="Times New Roman" w:hAnsi="Times New Roman" w:cs="Times New Roman"/>
                <w:b/>
                <w:color w:val="auto"/>
                <w:sz w:val="30"/>
                <w:szCs w:val="30"/>
              </w:rPr>
              <w:t>项目主体工程及项目组成</w:t>
            </w:r>
          </w:p>
          <w:p w14:paraId="2C2E7D62">
            <w:pPr>
              <w:ind w:firstLine="48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1</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lang w:eastAsia="zh-CN"/>
              </w:rPr>
              <w:t>项目名称：</w:t>
            </w:r>
            <w:r>
              <w:rPr>
                <w:rFonts w:hint="eastAsia" w:ascii="Times New Roman" w:hAnsi="Times New Roman" w:eastAsia="宋体" w:cs="Times New Roman"/>
                <w:color w:val="auto"/>
                <w:lang w:eastAsia="zh-CN"/>
              </w:rPr>
              <w:t>福建福老酒业有限公司锅炉改建项目</w:t>
            </w:r>
          </w:p>
          <w:p w14:paraId="228D01D8">
            <w:pPr>
              <w:ind w:firstLine="48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2</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lang w:eastAsia="zh-CN"/>
              </w:rPr>
              <w:t>建设单位：</w:t>
            </w:r>
            <w:r>
              <w:rPr>
                <w:rFonts w:hint="eastAsia" w:ascii="Times New Roman" w:hAnsi="Times New Roman" w:eastAsia="宋体" w:cs="Times New Roman"/>
                <w:color w:val="auto"/>
                <w:lang w:eastAsia="zh-CN"/>
              </w:rPr>
              <w:t>福建福老酒业有限公司</w:t>
            </w:r>
          </w:p>
          <w:p w14:paraId="2ED8872E">
            <w:pPr>
              <w:ind w:firstLine="48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3</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lang w:eastAsia="zh-CN"/>
              </w:rPr>
              <w:t>建设地点：</w:t>
            </w:r>
            <w:r>
              <w:rPr>
                <w:rFonts w:hint="eastAsia" w:ascii="Times New Roman" w:hAnsi="Times New Roman" w:eastAsia="宋体" w:cs="Times New Roman"/>
                <w:color w:val="auto"/>
                <w:lang w:eastAsia="zh-CN"/>
              </w:rPr>
              <w:t>福建省福州市闽侯县铁岭工业区长龙西路1号</w:t>
            </w:r>
          </w:p>
          <w:p w14:paraId="58F53F71">
            <w:pPr>
              <w:ind w:firstLine="48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4</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建</w:t>
            </w:r>
            <w:r>
              <w:rPr>
                <w:rFonts w:hint="default" w:ascii="Times New Roman" w:hAnsi="Times New Roman" w:eastAsia="宋体" w:cs="Times New Roman"/>
                <w:color w:val="auto"/>
                <w:lang w:eastAsia="zh-CN"/>
              </w:rPr>
              <w:t>设性质：改建</w:t>
            </w:r>
          </w:p>
          <w:p w14:paraId="036ED70A">
            <w:pPr>
              <w:ind w:firstLine="480"/>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5</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项目总投资：</w:t>
            </w:r>
            <w:r>
              <w:rPr>
                <w:rFonts w:hint="eastAsia" w:ascii="Times New Roman" w:hAnsi="Times New Roman" w:eastAsia="宋体" w:cs="Times New Roman"/>
                <w:color w:val="auto"/>
                <w:lang w:val="en-US" w:eastAsia="zh-CN"/>
              </w:rPr>
              <w:t>55</w:t>
            </w:r>
            <w:r>
              <w:rPr>
                <w:rFonts w:hint="default" w:ascii="Times New Roman" w:hAnsi="Times New Roman" w:eastAsia="宋体" w:cs="Times New Roman"/>
                <w:color w:val="auto"/>
              </w:rPr>
              <w:t>万元</w:t>
            </w:r>
          </w:p>
          <w:p w14:paraId="00E9EB9D">
            <w:pPr>
              <w:ind w:firstLine="48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6</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建设规模：</w:t>
            </w:r>
            <w:r>
              <w:rPr>
                <w:rFonts w:hint="eastAsia" w:ascii="Times New Roman" w:hAnsi="Times New Roman" w:eastAsia="宋体" w:cs="Times New Roman"/>
                <w:color w:val="auto"/>
                <w:lang w:eastAsia="zh-CN"/>
              </w:rPr>
              <w:t>拆除现有1台</w:t>
            </w:r>
            <w:r>
              <w:rPr>
                <w:rFonts w:hint="eastAsia" w:ascii="Times New Roman" w:hAnsi="Times New Roman" w:eastAsia="宋体" w:cs="Times New Roman"/>
                <w:color w:val="auto"/>
                <w:lang w:val="en-US" w:eastAsia="zh-CN"/>
              </w:rPr>
              <w:t>15吨</w:t>
            </w:r>
            <w:r>
              <w:rPr>
                <w:rFonts w:hint="eastAsia" w:ascii="Times New Roman" w:hAnsi="Times New Roman" w:eastAsia="宋体" w:cs="Times New Roman"/>
                <w:color w:val="auto"/>
                <w:lang w:eastAsia="zh-CN"/>
              </w:rPr>
              <w:t>燃煤锅炉，拟建2台2t蒸汽锅炉</w:t>
            </w:r>
          </w:p>
          <w:p w14:paraId="34C0405D">
            <w:pPr>
              <w:ind w:firstLine="48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7</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职工人数：</w:t>
            </w:r>
            <w:r>
              <w:rPr>
                <w:rFonts w:hint="eastAsia" w:ascii="Times New Roman" w:hAnsi="Times New Roman" w:eastAsia="宋体" w:cs="Times New Roman"/>
                <w:color w:val="auto"/>
              </w:rPr>
              <w:t>改建工程</w:t>
            </w:r>
            <w:r>
              <w:rPr>
                <w:rFonts w:hint="eastAsia" w:ascii="Times New Roman" w:hAnsi="Times New Roman" w:eastAsia="宋体" w:cs="Times New Roman"/>
                <w:color w:val="auto"/>
                <w:lang w:eastAsia="zh-CN"/>
              </w:rPr>
              <w:t>总</w:t>
            </w:r>
            <w:r>
              <w:rPr>
                <w:rFonts w:hint="eastAsia" w:ascii="Times New Roman" w:hAnsi="Times New Roman" w:eastAsia="宋体" w:cs="Times New Roman"/>
                <w:color w:val="auto"/>
              </w:rPr>
              <w:t>职工</w:t>
            </w:r>
            <w:r>
              <w:rPr>
                <w:rFonts w:hint="eastAsia" w:ascii="Times New Roman" w:hAnsi="Times New Roman" w:eastAsia="宋体" w:cs="Times New Roman"/>
                <w:color w:val="auto"/>
                <w:lang w:eastAsia="zh-CN"/>
              </w:rPr>
              <w:t>人数不变</w:t>
            </w:r>
          </w:p>
          <w:p w14:paraId="2AD99209">
            <w:pPr>
              <w:ind w:firstLine="480"/>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8</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工作制度：年工作日</w:t>
            </w:r>
            <w:r>
              <w:rPr>
                <w:rFonts w:hint="eastAsia" w:ascii="Times New Roman" w:hAnsi="Times New Roman" w:eastAsia="宋体" w:cs="Times New Roman"/>
                <w:color w:val="auto"/>
                <w:lang w:val="en-US" w:eastAsia="zh-CN"/>
              </w:rPr>
              <w:t>200</w:t>
            </w:r>
            <w:r>
              <w:rPr>
                <w:rFonts w:hint="default" w:ascii="Times New Roman" w:hAnsi="Times New Roman" w:eastAsia="宋体" w:cs="Times New Roman"/>
                <w:color w:val="auto"/>
              </w:rPr>
              <w:t>天，实行白班制，每天工作时间</w:t>
            </w:r>
            <w:r>
              <w:rPr>
                <w:rFonts w:hint="eastAsia" w:ascii="Times New Roman" w:hAnsi="Times New Roman" w:eastAsia="宋体" w:cs="Times New Roman"/>
                <w:color w:val="auto"/>
                <w:lang w:val="en-US" w:eastAsia="zh-CN"/>
              </w:rPr>
              <w:t>6</w:t>
            </w:r>
            <w:r>
              <w:rPr>
                <w:rFonts w:hint="default" w:ascii="Times New Roman" w:hAnsi="Times New Roman" w:eastAsia="宋体" w:cs="Times New Roman"/>
                <w:color w:val="auto"/>
              </w:rPr>
              <w:t>小时，夜间不生产</w:t>
            </w:r>
          </w:p>
          <w:p w14:paraId="3AD24163">
            <w:pPr>
              <w:ind w:firstLine="480"/>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改建</w:t>
            </w:r>
            <w:r>
              <w:rPr>
                <w:rFonts w:hint="default" w:ascii="Times New Roman" w:hAnsi="Times New Roman" w:eastAsia="宋体" w:cs="Times New Roman"/>
                <w:color w:val="auto"/>
              </w:rPr>
              <w:t>项目组成一览表见表2.1-</w:t>
            </w: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rPr>
              <w:t>。</w:t>
            </w:r>
          </w:p>
          <w:p w14:paraId="0C01DB48">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p>
          <w:p w14:paraId="5DD1571B">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p>
          <w:p w14:paraId="0DE10A85">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表2.1-</w:t>
            </w:r>
            <w:r>
              <w:rPr>
                <w:rFonts w:hint="eastAsia" w:cs="Times New Roman"/>
                <w:b/>
                <w:color w:val="auto"/>
                <w:lang w:val="en-US" w:eastAsia="zh-CN"/>
              </w:rPr>
              <w:t>2</w:t>
            </w:r>
            <w:r>
              <w:rPr>
                <w:rFonts w:hint="default" w:ascii="Times New Roman" w:hAnsi="Times New Roman" w:cs="Times New Roman"/>
                <w:b/>
                <w:color w:val="auto"/>
              </w:rPr>
              <w:t xml:space="preserve">  </w:t>
            </w:r>
            <w:r>
              <w:rPr>
                <w:rFonts w:hint="eastAsia" w:cs="Times New Roman"/>
                <w:b/>
                <w:color w:val="auto"/>
                <w:lang w:eastAsia="zh-CN"/>
              </w:rPr>
              <w:t>改建</w:t>
            </w:r>
            <w:r>
              <w:rPr>
                <w:rFonts w:hint="default" w:ascii="Times New Roman" w:hAnsi="Times New Roman" w:cs="Times New Roman"/>
                <w:b/>
                <w:color w:val="auto"/>
              </w:rPr>
              <w:t>项目组成一览表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1559"/>
              <w:gridCol w:w="4111"/>
              <w:gridCol w:w="1488"/>
            </w:tblGrid>
            <w:tr w14:paraId="30292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Align w:val="center"/>
                </w:tcPr>
                <w:p w14:paraId="73D47C1F">
                  <w:pPr>
                    <w:pStyle w:val="32"/>
                    <w:rPr>
                      <w:rFonts w:hint="default" w:ascii="Times New Roman" w:hAnsi="Times New Roman" w:cs="Times New Roman"/>
                      <w:color w:val="auto"/>
                    </w:rPr>
                  </w:pPr>
                  <w:r>
                    <w:rPr>
                      <w:rFonts w:hint="default" w:ascii="Times New Roman" w:hAnsi="Times New Roman" w:cs="Times New Roman"/>
                      <w:color w:val="auto"/>
                    </w:rPr>
                    <w:t>工程类别</w:t>
                  </w:r>
                </w:p>
              </w:tc>
              <w:tc>
                <w:tcPr>
                  <w:tcW w:w="1559" w:type="dxa"/>
                  <w:vAlign w:val="center"/>
                </w:tcPr>
                <w:p w14:paraId="0DC67B72">
                  <w:pPr>
                    <w:pStyle w:val="32"/>
                    <w:rPr>
                      <w:rFonts w:hint="default" w:ascii="Times New Roman" w:hAnsi="Times New Roman" w:cs="Times New Roman"/>
                      <w:color w:val="auto"/>
                    </w:rPr>
                  </w:pPr>
                  <w:r>
                    <w:rPr>
                      <w:rFonts w:hint="default" w:ascii="Times New Roman" w:hAnsi="Times New Roman" w:cs="Times New Roman"/>
                      <w:color w:val="auto"/>
                    </w:rPr>
                    <w:t>工程名称</w:t>
                  </w:r>
                </w:p>
              </w:tc>
              <w:tc>
                <w:tcPr>
                  <w:tcW w:w="4111" w:type="dxa"/>
                  <w:vAlign w:val="center"/>
                </w:tcPr>
                <w:p w14:paraId="2A976C14">
                  <w:pPr>
                    <w:pStyle w:val="32"/>
                    <w:rPr>
                      <w:rFonts w:hint="default" w:ascii="Times New Roman" w:hAnsi="Times New Roman" w:cs="Times New Roman"/>
                      <w:color w:val="auto"/>
                    </w:rPr>
                  </w:pPr>
                  <w:r>
                    <w:rPr>
                      <w:rFonts w:hint="default" w:ascii="Times New Roman" w:hAnsi="Times New Roman" w:cs="Times New Roman"/>
                      <w:color w:val="auto"/>
                    </w:rPr>
                    <w:t>建设内容</w:t>
                  </w:r>
                </w:p>
              </w:tc>
              <w:tc>
                <w:tcPr>
                  <w:tcW w:w="1488" w:type="dxa"/>
                  <w:vAlign w:val="center"/>
                </w:tcPr>
                <w:p w14:paraId="27BA4FF1">
                  <w:pPr>
                    <w:pStyle w:val="32"/>
                    <w:rPr>
                      <w:rFonts w:hint="default" w:ascii="Times New Roman" w:hAnsi="Times New Roman" w:cs="Times New Roman"/>
                      <w:color w:val="auto"/>
                    </w:rPr>
                  </w:pPr>
                  <w:r>
                    <w:rPr>
                      <w:rFonts w:hint="default" w:ascii="Times New Roman" w:hAnsi="Times New Roman" w:cs="Times New Roman"/>
                      <w:color w:val="auto"/>
                    </w:rPr>
                    <w:t>备注</w:t>
                  </w:r>
                </w:p>
              </w:tc>
            </w:tr>
            <w:tr w14:paraId="0C128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Align w:val="center"/>
                </w:tcPr>
                <w:p w14:paraId="4DD45167">
                  <w:pPr>
                    <w:pStyle w:val="32"/>
                    <w:rPr>
                      <w:rFonts w:hint="default" w:ascii="Times New Roman" w:hAnsi="Times New Roman" w:cs="Times New Roman"/>
                      <w:color w:val="auto"/>
                    </w:rPr>
                  </w:pPr>
                  <w:r>
                    <w:rPr>
                      <w:rFonts w:hint="default" w:ascii="Times New Roman" w:hAnsi="Times New Roman" w:cs="Times New Roman"/>
                      <w:color w:val="auto"/>
                    </w:rPr>
                    <w:t>主体工程</w:t>
                  </w:r>
                </w:p>
              </w:tc>
              <w:tc>
                <w:tcPr>
                  <w:tcW w:w="1559" w:type="dxa"/>
                  <w:vAlign w:val="center"/>
                </w:tcPr>
                <w:p w14:paraId="135C4FFE">
                  <w:pPr>
                    <w:pStyle w:val="32"/>
                    <w:rPr>
                      <w:rFonts w:hint="default" w:ascii="Times New Roman" w:hAnsi="Times New Roman" w:cs="Times New Roman"/>
                      <w:color w:val="auto"/>
                    </w:rPr>
                  </w:pPr>
                  <w:r>
                    <w:rPr>
                      <w:rFonts w:hint="default" w:ascii="Times New Roman" w:hAnsi="Times New Roman" w:cs="Times New Roman"/>
                      <w:color w:val="auto"/>
                    </w:rPr>
                    <w:t>锅炉房</w:t>
                  </w:r>
                </w:p>
              </w:tc>
              <w:tc>
                <w:tcPr>
                  <w:tcW w:w="4111" w:type="dxa"/>
                  <w:vAlign w:val="center"/>
                </w:tcPr>
                <w:p w14:paraId="44F6A65E">
                  <w:pPr>
                    <w:pStyle w:val="32"/>
                    <w:rPr>
                      <w:rFonts w:hint="default" w:ascii="Times New Roman" w:hAnsi="Times New Roman" w:cs="Times New Roman"/>
                      <w:color w:val="auto"/>
                    </w:rPr>
                  </w:pPr>
                  <w:r>
                    <w:rPr>
                      <w:rFonts w:hint="default" w:ascii="Times New Roman" w:hAnsi="Times New Roman" w:cs="Times New Roman"/>
                      <w:color w:val="auto"/>
                    </w:rPr>
                    <w:t>锅炉房依托</w:t>
                  </w:r>
                  <w:r>
                    <w:rPr>
                      <w:rFonts w:hint="eastAsia" w:cs="Times New Roman"/>
                      <w:color w:val="auto"/>
                      <w:lang w:val="en-US" w:eastAsia="zh-CN"/>
                    </w:rPr>
                    <w:t>现</w:t>
                  </w:r>
                  <w:r>
                    <w:rPr>
                      <w:rFonts w:hint="default" w:ascii="Times New Roman" w:hAnsi="Times New Roman" w:cs="Times New Roman"/>
                      <w:color w:val="auto"/>
                    </w:rPr>
                    <w:t>有锅炉房占地进行重新建设，不新增用地，拆除</w:t>
                  </w:r>
                  <w:r>
                    <w:rPr>
                      <w:rFonts w:hint="eastAsia" w:cs="Times New Roman"/>
                      <w:color w:val="auto"/>
                      <w:lang w:val="en-US" w:eastAsia="zh-CN"/>
                    </w:rPr>
                    <w:t>现</w:t>
                  </w:r>
                  <w:r>
                    <w:rPr>
                      <w:rFonts w:hint="default" w:ascii="Times New Roman" w:hAnsi="Times New Roman" w:cs="Times New Roman"/>
                      <w:color w:val="auto"/>
                    </w:rPr>
                    <w:t>有1台</w:t>
                  </w:r>
                  <w:r>
                    <w:rPr>
                      <w:rFonts w:hint="eastAsia" w:cs="Times New Roman"/>
                      <w:color w:val="auto"/>
                      <w:lang w:val="en-US" w:eastAsia="zh-CN"/>
                    </w:rPr>
                    <w:t>15吨</w:t>
                  </w:r>
                  <w:r>
                    <w:rPr>
                      <w:rFonts w:hint="eastAsia" w:cs="Times New Roman"/>
                      <w:color w:val="auto"/>
                      <w:lang w:eastAsia="zh-CN"/>
                    </w:rPr>
                    <w:t>燃煤</w:t>
                  </w:r>
                  <w:r>
                    <w:rPr>
                      <w:rFonts w:hint="default" w:ascii="Times New Roman" w:hAnsi="Times New Roman" w:cs="Times New Roman"/>
                      <w:color w:val="auto"/>
                    </w:rPr>
                    <w:t>锅炉，拟建</w:t>
                  </w:r>
                  <w:r>
                    <w:rPr>
                      <w:rFonts w:hint="eastAsia" w:cs="Times New Roman"/>
                      <w:color w:val="auto"/>
                      <w:lang w:val="en-US" w:eastAsia="zh-CN"/>
                    </w:rPr>
                    <w:t>2</w:t>
                  </w:r>
                  <w:r>
                    <w:rPr>
                      <w:rFonts w:hint="default" w:ascii="Times New Roman" w:hAnsi="Times New Roman" w:cs="Times New Roman"/>
                      <w:color w:val="auto"/>
                    </w:rPr>
                    <w:t>台2t蒸汽锅炉</w:t>
                  </w:r>
                </w:p>
              </w:tc>
              <w:tc>
                <w:tcPr>
                  <w:tcW w:w="1488" w:type="dxa"/>
                  <w:vAlign w:val="center"/>
                </w:tcPr>
                <w:p w14:paraId="625BA457">
                  <w:pPr>
                    <w:pStyle w:val="32"/>
                    <w:rPr>
                      <w:rFonts w:hint="default" w:ascii="Times New Roman" w:hAnsi="Times New Roman" w:cs="Times New Roman"/>
                      <w:color w:val="auto"/>
                    </w:rPr>
                  </w:pPr>
                </w:p>
              </w:tc>
            </w:tr>
            <w:tr w14:paraId="73976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restart"/>
                  <w:vAlign w:val="center"/>
                </w:tcPr>
                <w:p w14:paraId="0FDA8DB9">
                  <w:pPr>
                    <w:pStyle w:val="32"/>
                    <w:rPr>
                      <w:rFonts w:hint="default" w:ascii="Times New Roman" w:hAnsi="Times New Roman" w:cs="Times New Roman"/>
                      <w:color w:val="auto"/>
                    </w:rPr>
                  </w:pPr>
                  <w:r>
                    <w:rPr>
                      <w:rFonts w:hint="default" w:ascii="Times New Roman" w:hAnsi="Times New Roman" w:cs="Times New Roman"/>
                      <w:color w:val="auto"/>
                    </w:rPr>
                    <w:t>公用工程</w:t>
                  </w:r>
                </w:p>
              </w:tc>
              <w:tc>
                <w:tcPr>
                  <w:tcW w:w="1559" w:type="dxa"/>
                  <w:vAlign w:val="center"/>
                </w:tcPr>
                <w:p w14:paraId="190AB704">
                  <w:pPr>
                    <w:pStyle w:val="32"/>
                    <w:rPr>
                      <w:rFonts w:hint="default" w:ascii="Times New Roman" w:hAnsi="Times New Roman" w:cs="Times New Roman"/>
                      <w:color w:val="auto"/>
                    </w:rPr>
                  </w:pPr>
                  <w:r>
                    <w:rPr>
                      <w:rFonts w:hint="default" w:ascii="Times New Roman" w:hAnsi="Times New Roman" w:cs="Times New Roman"/>
                      <w:color w:val="auto"/>
                    </w:rPr>
                    <w:t>给水</w:t>
                  </w:r>
                </w:p>
              </w:tc>
              <w:tc>
                <w:tcPr>
                  <w:tcW w:w="4111" w:type="dxa"/>
                  <w:vAlign w:val="center"/>
                </w:tcPr>
                <w:p w14:paraId="403272AA">
                  <w:pPr>
                    <w:pStyle w:val="32"/>
                    <w:rPr>
                      <w:rFonts w:hint="default" w:ascii="Times New Roman" w:hAnsi="Times New Roman" w:cs="Times New Roman"/>
                      <w:color w:val="auto"/>
                    </w:rPr>
                  </w:pPr>
                  <w:r>
                    <w:rPr>
                      <w:rFonts w:hint="default" w:ascii="Times New Roman" w:hAnsi="Times New Roman" w:cs="Times New Roman"/>
                      <w:color w:val="auto"/>
                    </w:rPr>
                    <w:t>依托现有市政供水系统</w:t>
                  </w:r>
                </w:p>
              </w:tc>
              <w:tc>
                <w:tcPr>
                  <w:tcW w:w="1488" w:type="dxa"/>
                  <w:vAlign w:val="center"/>
                </w:tcPr>
                <w:p w14:paraId="5856C1DF">
                  <w:pPr>
                    <w:pStyle w:val="32"/>
                    <w:rPr>
                      <w:rFonts w:hint="default" w:ascii="Times New Roman" w:hAnsi="Times New Roman" w:cs="Times New Roman"/>
                      <w:color w:val="auto"/>
                    </w:rPr>
                  </w:pPr>
                  <w:r>
                    <w:rPr>
                      <w:rFonts w:hint="default" w:ascii="Times New Roman" w:hAnsi="Times New Roman" w:cs="Times New Roman"/>
                      <w:color w:val="auto"/>
                    </w:rPr>
                    <w:t>依托</w:t>
                  </w:r>
                </w:p>
              </w:tc>
            </w:tr>
            <w:tr w14:paraId="511FE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continue"/>
                  <w:vAlign w:val="center"/>
                </w:tcPr>
                <w:p w14:paraId="42B2D063">
                  <w:pPr>
                    <w:pStyle w:val="32"/>
                    <w:rPr>
                      <w:rFonts w:hint="default" w:ascii="Times New Roman" w:hAnsi="Times New Roman" w:cs="Times New Roman"/>
                      <w:color w:val="auto"/>
                    </w:rPr>
                  </w:pPr>
                </w:p>
              </w:tc>
              <w:tc>
                <w:tcPr>
                  <w:tcW w:w="1559" w:type="dxa"/>
                  <w:vAlign w:val="center"/>
                </w:tcPr>
                <w:p w14:paraId="62F2E3A6">
                  <w:pPr>
                    <w:pStyle w:val="32"/>
                    <w:rPr>
                      <w:rFonts w:hint="default" w:ascii="Times New Roman" w:hAnsi="Times New Roman" w:cs="Times New Roman"/>
                      <w:color w:val="auto"/>
                    </w:rPr>
                  </w:pPr>
                  <w:r>
                    <w:rPr>
                      <w:rFonts w:hint="default" w:ascii="Times New Roman" w:hAnsi="Times New Roman" w:cs="Times New Roman"/>
                      <w:color w:val="auto"/>
                    </w:rPr>
                    <w:t>供电</w:t>
                  </w:r>
                </w:p>
              </w:tc>
              <w:tc>
                <w:tcPr>
                  <w:tcW w:w="4111" w:type="dxa"/>
                  <w:vAlign w:val="center"/>
                </w:tcPr>
                <w:p w14:paraId="034E34E7">
                  <w:pPr>
                    <w:pStyle w:val="32"/>
                    <w:rPr>
                      <w:rFonts w:hint="default" w:ascii="Times New Roman" w:hAnsi="Times New Roman" w:cs="Times New Roman"/>
                      <w:color w:val="auto"/>
                    </w:rPr>
                  </w:pPr>
                  <w:r>
                    <w:rPr>
                      <w:rFonts w:hint="default" w:ascii="Times New Roman" w:hAnsi="Times New Roman" w:cs="Times New Roman"/>
                      <w:color w:val="auto"/>
                    </w:rPr>
                    <w:t>由供电网统一供电</w:t>
                  </w:r>
                </w:p>
              </w:tc>
              <w:tc>
                <w:tcPr>
                  <w:tcW w:w="1488" w:type="dxa"/>
                  <w:vAlign w:val="center"/>
                </w:tcPr>
                <w:p w14:paraId="25FD25BC">
                  <w:pPr>
                    <w:pStyle w:val="32"/>
                    <w:rPr>
                      <w:rFonts w:hint="default" w:ascii="Times New Roman" w:hAnsi="Times New Roman" w:cs="Times New Roman"/>
                      <w:color w:val="auto"/>
                    </w:rPr>
                  </w:pPr>
                  <w:r>
                    <w:rPr>
                      <w:rFonts w:hint="default" w:ascii="Times New Roman" w:hAnsi="Times New Roman" w:cs="Times New Roman"/>
                      <w:color w:val="auto"/>
                    </w:rPr>
                    <w:t>依托</w:t>
                  </w:r>
                </w:p>
              </w:tc>
            </w:tr>
            <w:tr w14:paraId="4E1DB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continue"/>
                  <w:vAlign w:val="center"/>
                </w:tcPr>
                <w:p w14:paraId="49FC908F">
                  <w:pPr>
                    <w:pStyle w:val="32"/>
                    <w:rPr>
                      <w:rFonts w:hint="default" w:ascii="Times New Roman" w:hAnsi="Times New Roman" w:cs="Times New Roman"/>
                      <w:color w:val="auto"/>
                    </w:rPr>
                  </w:pPr>
                </w:p>
              </w:tc>
              <w:tc>
                <w:tcPr>
                  <w:tcW w:w="1559" w:type="dxa"/>
                  <w:vAlign w:val="center"/>
                </w:tcPr>
                <w:p w14:paraId="20CC34EA">
                  <w:pPr>
                    <w:pStyle w:val="32"/>
                    <w:rPr>
                      <w:rFonts w:hint="default" w:ascii="Times New Roman" w:hAnsi="Times New Roman" w:cs="Times New Roman"/>
                      <w:color w:val="auto"/>
                    </w:rPr>
                  </w:pPr>
                  <w:r>
                    <w:rPr>
                      <w:rFonts w:hint="default" w:ascii="Times New Roman" w:hAnsi="Times New Roman" w:cs="Times New Roman"/>
                      <w:color w:val="auto"/>
                    </w:rPr>
                    <w:t>供气</w:t>
                  </w:r>
                </w:p>
              </w:tc>
              <w:tc>
                <w:tcPr>
                  <w:tcW w:w="4111" w:type="dxa"/>
                  <w:vAlign w:val="center"/>
                </w:tcPr>
                <w:p w14:paraId="36FF97BD">
                  <w:pPr>
                    <w:pStyle w:val="32"/>
                    <w:rPr>
                      <w:rFonts w:hint="default" w:ascii="Times New Roman" w:hAnsi="Times New Roman" w:cs="Times New Roman"/>
                      <w:color w:val="auto"/>
                    </w:rPr>
                  </w:pPr>
                  <w:r>
                    <w:rPr>
                      <w:rFonts w:hint="default" w:ascii="Times New Roman" w:hAnsi="Times New Roman" w:cs="Times New Roman"/>
                      <w:color w:val="auto"/>
                    </w:rPr>
                    <w:t>锅炉用天然气由园区供气管网进入厂区，厂区不进行储存</w:t>
                  </w:r>
                </w:p>
              </w:tc>
              <w:tc>
                <w:tcPr>
                  <w:tcW w:w="1488" w:type="dxa"/>
                  <w:vAlign w:val="center"/>
                </w:tcPr>
                <w:p w14:paraId="15EDBC7C">
                  <w:pPr>
                    <w:pStyle w:val="32"/>
                    <w:rPr>
                      <w:rFonts w:hint="default" w:ascii="Times New Roman" w:hAnsi="Times New Roman" w:cs="Times New Roman"/>
                      <w:color w:val="auto"/>
                    </w:rPr>
                  </w:pPr>
                  <w:r>
                    <w:rPr>
                      <w:rFonts w:hint="default" w:ascii="Times New Roman" w:hAnsi="Times New Roman" w:cs="Times New Roman"/>
                      <w:color w:val="auto"/>
                    </w:rPr>
                    <w:t>新建</w:t>
                  </w:r>
                </w:p>
              </w:tc>
            </w:tr>
            <w:tr w14:paraId="43CF4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restart"/>
                  <w:vAlign w:val="center"/>
                </w:tcPr>
                <w:p w14:paraId="3CB8A3FF">
                  <w:pPr>
                    <w:pStyle w:val="32"/>
                    <w:rPr>
                      <w:rFonts w:hint="default" w:ascii="Times New Roman" w:hAnsi="Times New Roman" w:cs="Times New Roman"/>
                      <w:color w:val="auto"/>
                    </w:rPr>
                  </w:pPr>
                  <w:r>
                    <w:rPr>
                      <w:rFonts w:hint="default" w:ascii="Times New Roman" w:hAnsi="Times New Roman" w:cs="Times New Roman"/>
                      <w:color w:val="auto"/>
                    </w:rPr>
                    <w:t>环保工程</w:t>
                  </w:r>
                </w:p>
              </w:tc>
              <w:tc>
                <w:tcPr>
                  <w:tcW w:w="1559" w:type="dxa"/>
                  <w:vAlign w:val="center"/>
                </w:tcPr>
                <w:p w14:paraId="1229987A">
                  <w:pPr>
                    <w:pStyle w:val="32"/>
                    <w:rPr>
                      <w:rFonts w:hint="default" w:ascii="Times New Roman" w:hAnsi="Times New Roman" w:cs="Times New Roman"/>
                      <w:color w:val="auto"/>
                    </w:rPr>
                  </w:pPr>
                  <w:r>
                    <w:rPr>
                      <w:rFonts w:hint="default" w:ascii="Times New Roman" w:hAnsi="Times New Roman" w:cs="Times New Roman"/>
                      <w:color w:val="auto"/>
                    </w:rPr>
                    <w:t>废气防治</w:t>
                  </w:r>
                </w:p>
              </w:tc>
              <w:tc>
                <w:tcPr>
                  <w:tcW w:w="4111" w:type="dxa"/>
                  <w:vAlign w:val="center"/>
                </w:tcPr>
                <w:p w14:paraId="14EBCDC0">
                  <w:pPr>
                    <w:pStyle w:val="32"/>
                    <w:rPr>
                      <w:rFonts w:hint="default" w:ascii="Times New Roman" w:hAnsi="Times New Roman" w:cs="Times New Roman"/>
                      <w:color w:val="auto"/>
                    </w:rPr>
                  </w:pPr>
                  <w:r>
                    <w:rPr>
                      <w:rFonts w:hint="default" w:ascii="Times New Roman" w:hAnsi="Times New Roman" w:cs="Times New Roman"/>
                      <w:color w:val="auto"/>
                    </w:rPr>
                    <w:t>1根高8m烟囱</w:t>
                  </w:r>
                </w:p>
              </w:tc>
              <w:tc>
                <w:tcPr>
                  <w:tcW w:w="1488" w:type="dxa"/>
                  <w:vAlign w:val="center"/>
                </w:tcPr>
                <w:p w14:paraId="4668E713">
                  <w:pPr>
                    <w:pStyle w:val="32"/>
                    <w:rPr>
                      <w:rFonts w:hint="default" w:ascii="Times New Roman" w:hAnsi="Times New Roman" w:cs="Times New Roman"/>
                      <w:color w:val="auto"/>
                    </w:rPr>
                  </w:pPr>
                  <w:r>
                    <w:rPr>
                      <w:rFonts w:hint="default" w:ascii="Times New Roman" w:hAnsi="Times New Roman" w:cs="Times New Roman"/>
                      <w:color w:val="auto"/>
                    </w:rPr>
                    <w:t>新建</w:t>
                  </w:r>
                </w:p>
              </w:tc>
            </w:tr>
            <w:tr w14:paraId="4129C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continue"/>
                  <w:vAlign w:val="center"/>
                </w:tcPr>
                <w:p w14:paraId="241284DE">
                  <w:pPr>
                    <w:pStyle w:val="32"/>
                    <w:rPr>
                      <w:rFonts w:hint="default" w:ascii="Times New Roman" w:hAnsi="Times New Roman" w:cs="Times New Roman"/>
                      <w:color w:val="auto"/>
                    </w:rPr>
                  </w:pPr>
                </w:p>
              </w:tc>
              <w:tc>
                <w:tcPr>
                  <w:tcW w:w="1559" w:type="dxa"/>
                  <w:vAlign w:val="center"/>
                </w:tcPr>
                <w:p w14:paraId="5EDE66D7">
                  <w:pPr>
                    <w:pStyle w:val="32"/>
                    <w:rPr>
                      <w:rFonts w:hint="default" w:ascii="Times New Roman" w:hAnsi="Times New Roman" w:cs="Times New Roman"/>
                      <w:color w:val="auto"/>
                    </w:rPr>
                  </w:pPr>
                  <w:r>
                    <w:rPr>
                      <w:rFonts w:hint="default" w:ascii="Times New Roman" w:hAnsi="Times New Roman" w:cs="Times New Roman"/>
                      <w:color w:val="auto"/>
                    </w:rPr>
                    <w:t>噪声防治</w:t>
                  </w:r>
                </w:p>
              </w:tc>
              <w:tc>
                <w:tcPr>
                  <w:tcW w:w="4111" w:type="dxa"/>
                  <w:vAlign w:val="center"/>
                </w:tcPr>
                <w:p w14:paraId="78BE11B9">
                  <w:pPr>
                    <w:pStyle w:val="32"/>
                    <w:rPr>
                      <w:rFonts w:hint="default" w:ascii="Times New Roman" w:hAnsi="Times New Roman" w:cs="Times New Roman"/>
                      <w:color w:val="auto"/>
                    </w:rPr>
                  </w:pPr>
                  <w:r>
                    <w:rPr>
                      <w:rFonts w:hint="default" w:ascii="Times New Roman" w:hAnsi="Times New Roman" w:cs="Times New Roman"/>
                      <w:color w:val="auto"/>
                    </w:rPr>
                    <w:t>减震降噪措施</w:t>
                  </w:r>
                </w:p>
              </w:tc>
              <w:tc>
                <w:tcPr>
                  <w:tcW w:w="1488" w:type="dxa"/>
                  <w:vAlign w:val="center"/>
                </w:tcPr>
                <w:p w14:paraId="64E4B4FF">
                  <w:pPr>
                    <w:pStyle w:val="32"/>
                    <w:rPr>
                      <w:rFonts w:hint="default" w:ascii="Times New Roman" w:hAnsi="Times New Roman" w:cs="Times New Roman"/>
                      <w:color w:val="auto"/>
                    </w:rPr>
                  </w:pPr>
                  <w:r>
                    <w:rPr>
                      <w:rFonts w:hint="default" w:ascii="Times New Roman" w:hAnsi="Times New Roman" w:cs="Times New Roman"/>
                      <w:color w:val="auto"/>
                    </w:rPr>
                    <w:t>新建</w:t>
                  </w:r>
                </w:p>
              </w:tc>
            </w:tr>
            <w:tr w14:paraId="07B0F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continue"/>
                  <w:vAlign w:val="center"/>
                </w:tcPr>
                <w:p w14:paraId="3DB2E2D0">
                  <w:pPr>
                    <w:pStyle w:val="32"/>
                    <w:rPr>
                      <w:rFonts w:hint="default" w:ascii="Times New Roman" w:hAnsi="Times New Roman" w:cs="Times New Roman"/>
                      <w:color w:val="auto"/>
                    </w:rPr>
                  </w:pPr>
                </w:p>
              </w:tc>
              <w:tc>
                <w:tcPr>
                  <w:tcW w:w="1559" w:type="dxa"/>
                  <w:vAlign w:val="center"/>
                </w:tcPr>
                <w:p w14:paraId="0FE7D71A">
                  <w:pPr>
                    <w:pStyle w:val="32"/>
                    <w:rPr>
                      <w:rFonts w:hint="default" w:ascii="Times New Roman" w:hAnsi="Times New Roman" w:cs="Times New Roman"/>
                      <w:color w:val="auto"/>
                    </w:rPr>
                  </w:pPr>
                  <w:r>
                    <w:rPr>
                      <w:rFonts w:hint="default" w:ascii="Times New Roman" w:hAnsi="Times New Roman" w:cs="Times New Roman"/>
                      <w:color w:val="auto"/>
                    </w:rPr>
                    <w:t>风险防治</w:t>
                  </w:r>
                </w:p>
              </w:tc>
              <w:tc>
                <w:tcPr>
                  <w:tcW w:w="4111" w:type="dxa"/>
                  <w:vAlign w:val="center"/>
                </w:tcPr>
                <w:p w14:paraId="094A0BE4">
                  <w:pPr>
                    <w:pStyle w:val="32"/>
                    <w:rPr>
                      <w:rFonts w:hint="default" w:ascii="Times New Roman" w:hAnsi="Times New Roman" w:cs="Times New Roman"/>
                      <w:color w:val="auto"/>
                    </w:rPr>
                  </w:pPr>
                  <w:r>
                    <w:rPr>
                      <w:rFonts w:hint="default" w:ascii="Times New Roman" w:hAnsi="Times New Roman" w:cs="Times New Roman"/>
                      <w:color w:val="auto"/>
                    </w:rPr>
                    <w:t>安装可燃气体检测报警器、配置灭火器材、设置电子截断阀</w:t>
                  </w:r>
                </w:p>
              </w:tc>
              <w:tc>
                <w:tcPr>
                  <w:tcW w:w="1488" w:type="dxa"/>
                  <w:vAlign w:val="center"/>
                </w:tcPr>
                <w:p w14:paraId="7645F0A9">
                  <w:pPr>
                    <w:pStyle w:val="32"/>
                    <w:rPr>
                      <w:rFonts w:hint="default" w:ascii="Times New Roman" w:hAnsi="Times New Roman" w:cs="Times New Roman"/>
                      <w:color w:val="auto"/>
                    </w:rPr>
                  </w:pPr>
                  <w:r>
                    <w:rPr>
                      <w:rFonts w:hint="default" w:ascii="Times New Roman" w:hAnsi="Times New Roman" w:cs="Times New Roman"/>
                      <w:color w:val="auto"/>
                    </w:rPr>
                    <w:t>新建</w:t>
                  </w:r>
                </w:p>
              </w:tc>
            </w:tr>
          </w:tbl>
          <w:p w14:paraId="2AB4E7F9">
            <w:pPr>
              <w:pStyle w:val="4"/>
              <w:pBdr>
                <w:top w:val="none" w:color="auto" w:sz="0" w:space="1"/>
                <w:left w:val="none" w:color="auto" w:sz="0" w:space="4"/>
                <w:bottom w:val="none" w:color="auto" w:sz="0" w:space="1"/>
                <w:right w:val="none" w:color="auto" w:sz="0" w:space="4"/>
              </w:pBdr>
              <w:rPr>
                <w:rFonts w:hint="default" w:ascii="Times New Roman" w:hAnsi="Times New Roman" w:cs="Times New Roman"/>
                <w:color w:val="auto"/>
              </w:rPr>
            </w:pPr>
            <w:r>
              <w:rPr>
                <w:rFonts w:hint="default" w:ascii="Times New Roman" w:hAnsi="Times New Roman" w:cs="Times New Roman"/>
                <w:color w:val="auto"/>
              </w:rPr>
              <w:t>主要原辅材料及生产设备</w:t>
            </w:r>
          </w:p>
          <w:p w14:paraId="0A75C427">
            <w:pPr>
              <w:ind w:firstLine="480"/>
              <w:rPr>
                <w:rFonts w:hint="default" w:ascii="Times New Roman" w:hAnsi="Times New Roman" w:cs="Times New Roman"/>
                <w:color w:val="auto"/>
              </w:rPr>
            </w:pPr>
            <w:r>
              <w:rPr>
                <w:rFonts w:hint="default" w:ascii="Times New Roman" w:hAnsi="Times New Roman" w:cs="Times New Roman"/>
                <w:color w:val="auto"/>
              </w:rPr>
              <w:t>本项目主要生产设备清单见表2.2-1。</w:t>
            </w:r>
          </w:p>
          <w:p w14:paraId="62C49735">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表2.2-1  主要设备一览表</w:t>
            </w:r>
          </w:p>
          <w:tbl>
            <w:tblPr>
              <w:tblStyle w:val="22"/>
              <w:tblW w:w="83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7"/>
              <w:gridCol w:w="851"/>
              <w:gridCol w:w="2126"/>
              <w:gridCol w:w="1671"/>
              <w:gridCol w:w="1397"/>
              <w:gridCol w:w="1397"/>
            </w:tblGrid>
            <w:tr w14:paraId="5E050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Align w:val="center"/>
                </w:tcPr>
                <w:p w14:paraId="2F77CDB6">
                  <w:pPr>
                    <w:pStyle w:val="32"/>
                    <w:rPr>
                      <w:rFonts w:hint="default" w:ascii="Times New Roman" w:hAnsi="Times New Roman" w:cs="Times New Roman"/>
                      <w:color w:val="auto"/>
                    </w:rPr>
                  </w:pPr>
                  <w:r>
                    <w:rPr>
                      <w:rFonts w:hint="default" w:ascii="Times New Roman" w:hAnsi="Times New Roman" w:cs="Times New Roman"/>
                      <w:color w:val="auto"/>
                    </w:rPr>
                    <w:t>项目</w:t>
                  </w:r>
                </w:p>
              </w:tc>
              <w:tc>
                <w:tcPr>
                  <w:tcW w:w="851" w:type="dxa"/>
                  <w:vAlign w:val="center"/>
                </w:tcPr>
                <w:p w14:paraId="612D6A5C">
                  <w:pPr>
                    <w:pStyle w:val="32"/>
                    <w:rPr>
                      <w:rFonts w:hint="default" w:ascii="Times New Roman" w:hAnsi="Times New Roman" w:cs="Times New Roman"/>
                      <w:color w:val="auto"/>
                    </w:rPr>
                  </w:pPr>
                  <w:r>
                    <w:rPr>
                      <w:rFonts w:hint="default" w:ascii="Times New Roman" w:hAnsi="Times New Roman" w:cs="Times New Roman"/>
                      <w:color w:val="auto"/>
                    </w:rPr>
                    <w:t>序号</w:t>
                  </w:r>
                </w:p>
              </w:tc>
              <w:tc>
                <w:tcPr>
                  <w:tcW w:w="2126" w:type="dxa"/>
                  <w:vAlign w:val="center"/>
                </w:tcPr>
                <w:p w14:paraId="774D87A5">
                  <w:pPr>
                    <w:pStyle w:val="32"/>
                    <w:rPr>
                      <w:rFonts w:hint="default" w:ascii="Times New Roman" w:hAnsi="Times New Roman" w:cs="Times New Roman"/>
                      <w:color w:val="auto"/>
                    </w:rPr>
                  </w:pPr>
                  <w:r>
                    <w:rPr>
                      <w:rFonts w:hint="default" w:ascii="Times New Roman" w:hAnsi="Times New Roman" w:cs="Times New Roman"/>
                      <w:color w:val="auto"/>
                    </w:rPr>
                    <w:t>设备名称</w:t>
                  </w:r>
                </w:p>
              </w:tc>
              <w:tc>
                <w:tcPr>
                  <w:tcW w:w="1671" w:type="dxa"/>
                  <w:vAlign w:val="center"/>
                </w:tcPr>
                <w:p w14:paraId="2B83F4C4">
                  <w:pPr>
                    <w:pStyle w:val="32"/>
                    <w:rPr>
                      <w:rFonts w:hint="default" w:ascii="Times New Roman" w:hAnsi="Times New Roman" w:cs="Times New Roman"/>
                      <w:color w:val="auto"/>
                    </w:rPr>
                  </w:pPr>
                  <w:r>
                    <w:rPr>
                      <w:rFonts w:hint="default" w:ascii="Times New Roman" w:hAnsi="Times New Roman" w:cs="Times New Roman"/>
                      <w:color w:val="auto"/>
                    </w:rPr>
                    <w:t>型号</w:t>
                  </w:r>
                </w:p>
              </w:tc>
              <w:tc>
                <w:tcPr>
                  <w:tcW w:w="1397" w:type="dxa"/>
                  <w:vAlign w:val="center"/>
                </w:tcPr>
                <w:p w14:paraId="472D0A65">
                  <w:pPr>
                    <w:pStyle w:val="32"/>
                    <w:rPr>
                      <w:rFonts w:hint="default" w:ascii="Times New Roman" w:hAnsi="Times New Roman" w:cs="Times New Roman"/>
                      <w:color w:val="auto"/>
                    </w:rPr>
                  </w:pPr>
                  <w:r>
                    <w:rPr>
                      <w:rFonts w:hint="default" w:ascii="Times New Roman" w:hAnsi="Times New Roman" w:cs="Times New Roman"/>
                      <w:color w:val="auto"/>
                    </w:rPr>
                    <w:t>数量（台）</w:t>
                  </w:r>
                </w:p>
              </w:tc>
              <w:tc>
                <w:tcPr>
                  <w:tcW w:w="1397" w:type="dxa"/>
                  <w:vAlign w:val="center"/>
                </w:tcPr>
                <w:p w14:paraId="5C2DA3E9">
                  <w:pPr>
                    <w:pStyle w:val="32"/>
                    <w:rPr>
                      <w:rFonts w:hint="default" w:ascii="Times New Roman" w:hAnsi="Times New Roman" w:cs="Times New Roman"/>
                      <w:color w:val="auto"/>
                    </w:rPr>
                  </w:pPr>
                  <w:r>
                    <w:rPr>
                      <w:rFonts w:hint="default" w:ascii="Times New Roman" w:hAnsi="Times New Roman" w:cs="Times New Roman"/>
                      <w:color w:val="auto"/>
                    </w:rPr>
                    <w:t>备注</w:t>
                  </w:r>
                </w:p>
              </w:tc>
            </w:tr>
            <w:tr w14:paraId="21DA3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Merge w:val="restart"/>
                  <w:vAlign w:val="center"/>
                </w:tcPr>
                <w:p w14:paraId="3A510246">
                  <w:pPr>
                    <w:pStyle w:val="32"/>
                    <w:rPr>
                      <w:rFonts w:hint="default" w:ascii="Times New Roman" w:hAnsi="Times New Roman" w:cs="Times New Roman"/>
                      <w:color w:val="auto"/>
                    </w:rPr>
                  </w:pPr>
                  <w:r>
                    <w:rPr>
                      <w:rFonts w:hint="default" w:ascii="Times New Roman" w:hAnsi="Times New Roman" w:cs="Times New Roman"/>
                      <w:color w:val="auto"/>
                    </w:rPr>
                    <w:t>技改前</w:t>
                  </w:r>
                </w:p>
              </w:tc>
              <w:tc>
                <w:tcPr>
                  <w:tcW w:w="851" w:type="dxa"/>
                  <w:vAlign w:val="center"/>
                </w:tcPr>
                <w:p w14:paraId="2FFC35C9">
                  <w:pPr>
                    <w:pStyle w:val="32"/>
                    <w:rPr>
                      <w:rFonts w:hint="default" w:ascii="Times New Roman" w:hAnsi="Times New Roman" w:cs="Times New Roman"/>
                      <w:color w:val="auto"/>
                    </w:rPr>
                  </w:pPr>
                  <w:r>
                    <w:rPr>
                      <w:rFonts w:hint="default" w:ascii="Times New Roman" w:hAnsi="Times New Roman" w:cs="Times New Roman"/>
                      <w:color w:val="auto"/>
                    </w:rPr>
                    <w:t>1</w:t>
                  </w:r>
                </w:p>
              </w:tc>
              <w:tc>
                <w:tcPr>
                  <w:tcW w:w="2126" w:type="dxa"/>
                  <w:vAlign w:val="center"/>
                </w:tcPr>
                <w:p w14:paraId="586D5ADC">
                  <w:pPr>
                    <w:pStyle w:val="32"/>
                    <w:rPr>
                      <w:rFonts w:hint="eastAsia" w:ascii="Times New Roman" w:hAnsi="Times New Roman" w:eastAsia="宋体" w:cs="Times New Roman"/>
                      <w:color w:val="auto"/>
                      <w:lang w:eastAsia="zh-CN"/>
                    </w:rPr>
                  </w:pPr>
                  <w:r>
                    <w:rPr>
                      <w:rFonts w:hint="eastAsia" w:cs="Times New Roman"/>
                      <w:color w:val="auto"/>
                      <w:lang w:eastAsia="zh-CN"/>
                    </w:rPr>
                    <w:t>燃煤锅炉</w:t>
                  </w:r>
                </w:p>
              </w:tc>
              <w:tc>
                <w:tcPr>
                  <w:tcW w:w="1671" w:type="dxa"/>
                  <w:vAlign w:val="center"/>
                </w:tcPr>
                <w:p w14:paraId="548A50D2">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15吨</w:t>
                  </w:r>
                </w:p>
              </w:tc>
              <w:tc>
                <w:tcPr>
                  <w:tcW w:w="1397" w:type="dxa"/>
                  <w:vAlign w:val="center"/>
                </w:tcPr>
                <w:p w14:paraId="498BF6B0">
                  <w:pPr>
                    <w:pStyle w:val="32"/>
                    <w:rPr>
                      <w:rFonts w:hint="default" w:ascii="Times New Roman" w:hAnsi="Times New Roman" w:cs="Times New Roman"/>
                      <w:color w:val="auto"/>
                    </w:rPr>
                  </w:pPr>
                  <w:r>
                    <w:rPr>
                      <w:rFonts w:hint="default" w:ascii="Times New Roman" w:hAnsi="Times New Roman" w:cs="Times New Roman"/>
                      <w:color w:val="auto"/>
                    </w:rPr>
                    <w:t>1</w:t>
                  </w:r>
                </w:p>
              </w:tc>
              <w:tc>
                <w:tcPr>
                  <w:tcW w:w="1397" w:type="dxa"/>
                  <w:vAlign w:val="center"/>
                </w:tcPr>
                <w:p w14:paraId="67754139">
                  <w:pPr>
                    <w:pStyle w:val="32"/>
                    <w:rPr>
                      <w:rFonts w:hint="default" w:ascii="Times New Roman" w:hAnsi="Times New Roman" w:cs="Times New Roman"/>
                      <w:color w:val="auto"/>
                    </w:rPr>
                  </w:pPr>
                  <w:r>
                    <w:rPr>
                      <w:rFonts w:hint="default" w:ascii="Times New Roman" w:hAnsi="Times New Roman" w:cs="Times New Roman"/>
                      <w:color w:val="auto"/>
                    </w:rPr>
                    <w:t>拆除</w:t>
                  </w:r>
                </w:p>
              </w:tc>
            </w:tr>
            <w:tr w14:paraId="48AAB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Merge w:val="continue"/>
                  <w:vAlign w:val="center"/>
                </w:tcPr>
                <w:p w14:paraId="64FE4E22">
                  <w:pPr>
                    <w:pStyle w:val="32"/>
                    <w:rPr>
                      <w:rFonts w:hint="default" w:ascii="Times New Roman" w:hAnsi="Times New Roman" w:cs="Times New Roman"/>
                      <w:color w:val="auto"/>
                    </w:rPr>
                  </w:pPr>
                </w:p>
              </w:tc>
              <w:tc>
                <w:tcPr>
                  <w:tcW w:w="851" w:type="dxa"/>
                  <w:vAlign w:val="center"/>
                </w:tcPr>
                <w:p w14:paraId="2A1EBC2D">
                  <w:pPr>
                    <w:pStyle w:val="32"/>
                    <w:rPr>
                      <w:rFonts w:hint="default" w:ascii="Times New Roman" w:hAnsi="Times New Roman" w:cs="Times New Roman"/>
                      <w:color w:val="auto"/>
                    </w:rPr>
                  </w:pPr>
                  <w:r>
                    <w:rPr>
                      <w:rFonts w:hint="default" w:ascii="Times New Roman" w:hAnsi="Times New Roman" w:cs="Times New Roman"/>
                      <w:color w:val="auto"/>
                    </w:rPr>
                    <w:t>2</w:t>
                  </w:r>
                </w:p>
              </w:tc>
              <w:tc>
                <w:tcPr>
                  <w:tcW w:w="2126" w:type="dxa"/>
                  <w:vAlign w:val="center"/>
                </w:tcPr>
                <w:p w14:paraId="0940F418">
                  <w:pPr>
                    <w:pStyle w:val="32"/>
                    <w:rPr>
                      <w:rFonts w:hint="eastAsia" w:ascii="Times New Roman" w:hAnsi="Times New Roman" w:eastAsia="宋体" w:cs="Times New Roman"/>
                      <w:color w:val="auto"/>
                      <w:lang w:eastAsia="zh-CN"/>
                    </w:rPr>
                  </w:pPr>
                  <w:r>
                    <w:rPr>
                      <w:rFonts w:hint="eastAsia" w:cs="Times New Roman"/>
                      <w:color w:val="auto"/>
                      <w:lang w:eastAsia="zh-CN"/>
                    </w:rPr>
                    <w:t>水膜除尘器</w:t>
                  </w:r>
                </w:p>
              </w:tc>
              <w:tc>
                <w:tcPr>
                  <w:tcW w:w="1671" w:type="dxa"/>
                  <w:vAlign w:val="center"/>
                </w:tcPr>
                <w:p w14:paraId="5AB2395D">
                  <w:pPr>
                    <w:pStyle w:val="32"/>
                    <w:rPr>
                      <w:rFonts w:hint="default" w:ascii="Times New Roman" w:hAnsi="Times New Roman" w:cs="Times New Roman"/>
                      <w:color w:val="auto"/>
                    </w:rPr>
                  </w:pPr>
                  <w:r>
                    <w:rPr>
                      <w:rFonts w:hint="default" w:ascii="Times New Roman" w:hAnsi="Times New Roman" w:cs="Times New Roman"/>
                      <w:color w:val="auto"/>
                    </w:rPr>
                    <w:t>/</w:t>
                  </w:r>
                </w:p>
              </w:tc>
              <w:tc>
                <w:tcPr>
                  <w:tcW w:w="1397" w:type="dxa"/>
                  <w:vAlign w:val="center"/>
                </w:tcPr>
                <w:p w14:paraId="12EA356F">
                  <w:pPr>
                    <w:pStyle w:val="32"/>
                    <w:rPr>
                      <w:rFonts w:hint="default" w:ascii="Times New Roman" w:hAnsi="Times New Roman" w:cs="Times New Roman"/>
                      <w:color w:val="auto"/>
                    </w:rPr>
                  </w:pPr>
                  <w:r>
                    <w:rPr>
                      <w:rFonts w:hint="default" w:ascii="Times New Roman" w:hAnsi="Times New Roman" w:cs="Times New Roman"/>
                      <w:color w:val="auto"/>
                    </w:rPr>
                    <w:t>1</w:t>
                  </w:r>
                </w:p>
              </w:tc>
              <w:tc>
                <w:tcPr>
                  <w:tcW w:w="1397" w:type="dxa"/>
                  <w:vAlign w:val="center"/>
                </w:tcPr>
                <w:p w14:paraId="411F6EB4">
                  <w:pPr>
                    <w:pStyle w:val="32"/>
                    <w:rPr>
                      <w:rFonts w:hint="default" w:ascii="Times New Roman" w:hAnsi="Times New Roman" w:cs="Times New Roman"/>
                      <w:color w:val="auto"/>
                    </w:rPr>
                  </w:pPr>
                  <w:r>
                    <w:rPr>
                      <w:rFonts w:hint="default" w:ascii="Times New Roman" w:hAnsi="Times New Roman" w:cs="Times New Roman"/>
                      <w:color w:val="auto"/>
                    </w:rPr>
                    <w:t>拆除</w:t>
                  </w:r>
                </w:p>
              </w:tc>
            </w:tr>
            <w:tr w14:paraId="231D7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Align w:val="center"/>
                </w:tcPr>
                <w:p w14:paraId="3DD550F0">
                  <w:pPr>
                    <w:pStyle w:val="32"/>
                    <w:rPr>
                      <w:rFonts w:hint="default" w:ascii="Times New Roman" w:hAnsi="Times New Roman" w:cs="Times New Roman"/>
                      <w:color w:val="auto"/>
                    </w:rPr>
                  </w:pPr>
                  <w:r>
                    <w:rPr>
                      <w:rFonts w:hint="default" w:ascii="Times New Roman" w:hAnsi="Times New Roman" w:cs="Times New Roman"/>
                      <w:color w:val="auto"/>
                    </w:rPr>
                    <w:t>技改后</w:t>
                  </w:r>
                </w:p>
              </w:tc>
              <w:tc>
                <w:tcPr>
                  <w:tcW w:w="851" w:type="dxa"/>
                  <w:vAlign w:val="center"/>
                </w:tcPr>
                <w:p w14:paraId="1C6B2B23">
                  <w:pPr>
                    <w:pStyle w:val="32"/>
                    <w:rPr>
                      <w:rFonts w:hint="default" w:ascii="Times New Roman" w:hAnsi="Times New Roman" w:cs="Times New Roman"/>
                      <w:color w:val="auto"/>
                    </w:rPr>
                  </w:pPr>
                  <w:r>
                    <w:rPr>
                      <w:rFonts w:hint="default" w:ascii="Times New Roman" w:hAnsi="Times New Roman" w:cs="Times New Roman"/>
                      <w:color w:val="auto"/>
                    </w:rPr>
                    <w:t>1</w:t>
                  </w:r>
                </w:p>
              </w:tc>
              <w:tc>
                <w:tcPr>
                  <w:tcW w:w="2126" w:type="dxa"/>
                  <w:vAlign w:val="center"/>
                </w:tcPr>
                <w:p w14:paraId="263D5AAF">
                  <w:pPr>
                    <w:pStyle w:val="32"/>
                    <w:rPr>
                      <w:rFonts w:hint="default" w:ascii="Times New Roman" w:hAnsi="Times New Roman" w:cs="Times New Roman"/>
                      <w:color w:val="auto"/>
                    </w:rPr>
                  </w:pPr>
                  <w:r>
                    <w:rPr>
                      <w:rFonts w:hint="default" w:ascii="Times New Roman" w:hAnsi="Times New Roman" w:cs="Times New Roman"/>
                      <w:color w:val="auto"/>
                    </w:rPr>
                    <w:t>2t天然气蒸汽锅炉</w:t>
                  </w:r>
                </w:p>
              </w:tc>
              <w:tc>
                <w:tcPr>
                  <w:tcW w:w="1671" w:type="dxa"/>
                  <w:vAlign w:val="center"/>
                </w:tcPr>
                <w:p w14:paraId="54DE0DE9">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WNS2-1.25-Q</w:t>
                  </w:r>
                </w:p>
              </w:tc>
              <w:tc>
                <w:tcPr>
                  <w:tcW w:w="1397" w:type="dxa"/>
                  <w:vAlign w:val="center"/>
                </w:tcPr>
                <w:p w14:paraId="10E474B5">
                  <w:pPr>
                    <w:pStyle w:val="32"/>
                    <w:rPr>
                      <w:rFonts w:hint="eastAsia" w:ascii="Times New Roman" w:hAnsi="Times New Roman" w:eastAsia="宋体" w:cs="Times New Roman"/>
                      <w:color w:val="auto"/>
                      <w:lang w:eastAsia="zh-CN"/>
                    </w:rPr>
                  </w:pPr>
                  <w:r>
                    <w:rPr>
                      <w:rFonts w:hint="eastAsia" w:cs="Times New Roman"/>
                      <w:color w:val="auto"/>
                      <w:lang w:val="en-US" w:eastAsia="zh-CN"/>
                    </w:rPr>
                    <w:t>2</w:t>
                  </w:r>
                </w:p>
              </w:tc>
              <w:tc>
                <w:tcPr>
                  <w:tcW w:w="1397" w:type="dxa"/>
                  <w:vAlign w:val="center"/>
                </w:tcPr>
                <w:p w14:paraId="2564181E">
                  <w:pPr>
                    <w:pStyle w:val="32"/>
                    <w:rPr>
                      <w:rFonts w:hint="default" w:ascii="Times New Roman" w:hAnsi="Times New Roman" w:cs="Times New Roman"/>
                      <w:color w:val="auto"/>
                    </w:rPr>
                  </w:pPr>
                  <w:r>
                    <w:rPr>
                      <w:rFonts w:hint="default" w:ascii="Times New Roman" w:hAnsi="Times New Roman" w:cs="Times New Roman"/>
                      <w:color w:val="auto"/>
                    </w:rPr>
                    <w:t>新建</w:t>
                  </w:r>
                </w:p>
              </w:tc>
            </w:tr>
          </w:tbl>
          <w:p w14:paraId="72CFF4BF">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表2.2-2  主要原辅材料一览表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8"/>
              <w:gridCol w:w="2081"/>
              <w:gridCol w:w="2081"/>
              <w:gridCol w:w="2081"/>
            </w:tblGrid>
            <w:tr w14:paraId="19CEB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340296EB">
                  <w:pPr>
                    <w:pStyle w:val="32"/>
                    <w:rPr>
                      <w:rFonts w:hint="default" w:ascii="Times New Roman" w:hAnsi="Times New Roman" w:cs="Times New Roman"/>
                      <w:color w:val="auto"/>
                    </w:rPr>
                  </w:pPr>
                  <w:r>
                    <w:rPr>
                      <w:rFonts w:hint="default" w:ascii="Times New Roman" w:hAnsi="Times New Roman" w:cs="Times New Roman"/>
                      <w:color w:val="auto"/>
                    </w:rPr>
                    <w:t>类别</w:t>
                  </w:r>
                </w:p>
              </w:tc>
              <w:tc>
                <w:tcPr>
                  <w:tcW w:w="1250" w:type="pct"/>
                  <w:vAlign w:val="center"/>
                </w:tcPr>
                <w:p w14:paraId="4F0F2F6F">
                  <w:pPr>
                    <w:pStyle w:val="32"/>
                    <w:rPr>
                      <w:rFonts w:hint="default" w:ascii="Times New Roman" w:hAnsi="Times New Roman" w:cs="Times New Roman"/>
                      <w:color w:val="auto"/>
                    </w:rPr>
                  </w:pPr>
                  <w:r>
                    <w:rPr>
                      <w:rFonts w:hint="default" w:ascii="Times New Roman" w:hAnsi="Times New Roman" w:cs="Times New Roman"/>
                      <w:color w:val="auto"/>
                    </w:rPr>
                    <w:t>名称</w:t>
                  </w:r>
                </w:p>
              </w:tc>
              <w:tc>
                <w:tcPr>
                  <w:tcW w:w="1250" w:type="pct"/>
                  <w:vAlign w:val="center"/>
                </w:tcPr>
                <w:p w14:paraId="51B99BD5">
                  <w:pPr>
                    <w:pStyle w:val="32"/>
                    <w:rPr>
                      <w:rFonts w:hint="default" w:ascii="Times New Roman" w:hAnsi="Times New Roman" w:cs="Times New Roman"/>
                      <w:color w:val="auto"/>
                    </w:rPr>
                  </w:pPr>
                  <w:r>
                    <w:rPr>
                      <w:rFonts w:hint="default" w:ascii="Times New Roman" w:hAnsi="Times New Roman" w:cs="Times New Roman"/>
                      <w:color w:val="auto"/>
                    </w:rPr>
                    <w:t>单位</w:t>
                  </w:r>
                </w:p>
              </w:tc>
              <w:tc>
                <w:tcPr>
                  <w:tcW w:w="1250" w:type="pct"/>
                  <w:vAlign w:val="center"/>
                </w:tcPr>
                <w:p w14:paraId="4B63DAED">
                  <w:pPr>
                    <w:pStyle w:val="32"/>
                    <w:rPr>
                      <w:rFonts w:hint="default" w:ascii="Times New Roman" w:hAnsi="Times New Roman" w:cs="Times New Roman"/>
                      <w:color w:val="auto"/>
                    </w:rPr>
                  </w:pPr>
                  <w:r>
                    <w:rPr>
                      <w:rFonts w:hint="default" w:ascii="Times New Roman" w:hAnsi="Times New Roman" w:cs="Times New Roman"/>
                      <w:color w:val="auto"/>
                    </w:rPr>
                    <w:t>用量</w:t>
                  </w:r>
                </w:p>
              </w:tc>
            </w:tr>
            <w:tr w14:paraId="158E7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Merge w:val="restart"/>
                  <w:vAlign w:val="center"/>
                </w:tcPr>
                <w:p w14:paraId="6E28AFD3">
                  <w:pPr>
                    <w:pStyle w:val="32"/>
                    <w:rPr>
                      <w:rFonts w:hint="default" w:ascii="Times New Roman" w:hAnsi="Times New Roman" w:cs="Times New Roman"/>
                      <w:color w:val="auto"/>
                    </w:rPr>
                  </w:pPr>
                  <w:r>
                    <w:rPr>
                      <w:rFonts w:hint="default" w:ascii="Times New Roman" w:hAnsi="Times New Roman" w:cs="Times New Roman"/>
                      <w:color w:val="auto"/>
                    </w:rPr>
                    <w:t>能源消耗</w:t>
                  </w:r>
                </w:p>
              </w:tc>
              <w:tc>
                <w:tcPr>
                  <w:tcW w:w="1250" w:type="pct"/>
                  <w:vAlign w:val="center"/>
                </w:tcPr>
                <w:p w14:paraId="740EF528">
                  <w:pPr>
                    <w:pStyle w:val="32"/>
                    <w:rPr>
                      <w:rFonts w:hint="default" w:ascii="Times New Roman" w:hAnsi="Times New Roman" w:cs="Times New Roman"/>
                      <w:color w:val="auto"/>
                    </w:rPr>
                  </w:pPr>
                  <w:r>
                    <w:rPr>
                      <w:rFonts w:hint="default" w:ascii="Times New Roman" w:hAnsi="Times New Roman" w:cs="Times New Roman"/>
                      <w:color w:val="auto"/>
                    </w:rPr>
                    <w:t>水</w:t>
                  </w:r>
                </w:p>
              </w:tc>
              <w:tc>
                <w:tcPr>
                  <w:tcW w:w="1250" w:type="pct"/>
                  <w:vAlign w:val="center"/>
                </w:tcPr>
                <w:p w14:paraId="6CD6A948">
                  <w:pPr>
                    <w:pStyle w:val="32"/>
                    <w:rPr>
                      <w:rFonts w:hint="default" w:ascii="Times New Roman" w:hAnsi="Times New Roman" w:cs="Times New Roman"/>
                      <w:color w:val="auto"/>
                    </w:rPr>
                  </w:pPr>
                  <w:r>
                    <w:rPr>
                      <w:rFonts w:hint="default" w:ascii="Times New Roman" w:hAnsi="Times New Roman" w:cs="Times New Roman"/>
                      <w:color w:val="auto"/>
                    </w:rPr>
                    <w:t>t/a</w:t>
                  </w:r>
                </w:p>
              </w:tc>
              <w:tc>
                <w:tcPr>
                  <w:tcW w:w="1250" w:type="pct"/>
                  <w:vAlign w:val="center"/>
                </w:tcPr>
                <w:p w14:paraId="235484EB">
                  <w:pPr>
                    <w:pStyle w:val="32"/>
                    <w:rPr>
                      <w:rFonts w:hint="default" w:ascii="Times New Roman" w:hAnsi="Times New Roman" w:cs="Times New Roman"/>
                      <w:color w:val="auto"/>
                    </w:rPr>
                  </w:pPr>
                  <w:r>
                    <w:rPr>
                      <w:rFonts w:hint="eastAsia" w:cs="Times New Roman"/>
                      <w:color w:val="auto"/>
                      <w:lang w:val="en-US" w:eastAsia="zh-CN"/>
                    </w:rPr>
                    <w:t>7600</w:t>
                  </w:r>
                  <w:r>
                    <w:rPr>
                      <w:rFonts w:hint="default" w:ascii="Times New Roman" w:hAnsi="Times New Roman" w:cs="Times New Roman"/>
                      <w:color w:val="auto"/>
                    </w:rPr>
                    <w:t>t/a</w:t>
                  </w:r>
                </w:p>
              </w:tc>
            </w:tr>
            <w:tr w14:paraId="1A8EF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Merge w:val="continue"/>
                  <w:vAlign w:val="center"/>
                </w:tcPr>
                <w:p w14:paraId="0FD38969">
                  <w:pPr>
                    <w:pStyle w:val="32"/>
                    <w:rPr>
                      <w:rFonts w:hint="default" w:ascii="Times New Roman" w:hAnsi="Times New Roman" w:cs="Times New Roman"/>
                      <w:color w:val="auto"/>
                    </w:rPr>
                  </w:pPr>
                </w:p>
              </w:tc>
              <w:tc>
                <w:tcPr>
                  <w:tcW w:w="1250" w:type="pct"/>
                  <w:vAlign w:val="center"/>
                </w:tcPr>
                <w:p w14:paraId="33E0651E">
                  <w:pPr>
                    <w:pStyle w:val="32"/>
                    <w:rPr>
                      <w:rFonts w:hint="default" w:ascii="Times New Roman" w:hAnsi="Times New Roman" w:cs="Times New Roman"/>
                      <w:color w:val="auto"/>
                    </w:rPr>
                  </w:pPr>
                  <w:r>
                    <w:rPr>
                      <w:rFonts w:hint="default" w:ascii="Times New Roman" w:hAnsi="Times New Roman" w:cs="Times New Roman"/>
                      <w:color w:val="auto"/>
                    </w:rPr>
                    <w:t>天然气</w:t>
                  </w:r>
                </w:p>
              </w:tc>
              <w:tc>
                <w:tcPr>
                  <w:tcW w:w="1250" w:type="pct"/>
                  <w:vAlign w:val="center"/>
                </w:tcPr>
                <w:p w14:paraId="291298CE">
                  <w:pPr>
                    <w:pStyle w:val="32"/>
                    <w:rPr>
                      <w:rFonts w:hint="default" w:ascii="Times New Roman" w:hAnsi="Times New Roman" w:cs="Times New Roman"/>
                      <w:color w:val="auto"/>
                    </w:rPr>
                  </w:pPr>
                  <w:r>
                    <w:rPr>
                      <w:rFonts w:hint="default" w:ascii="Times New Roman" w:hAnsi="Times New Roman" w:cs="Times New Roman"/>
                      <w:color w:val="auto"/>
                    </w:rPr>
                    <w:t>万m</w:t>
                  </w:r>
                  <w:r>
                    <w:rPr>
                      <w:rFonts w:hint="default" w:ascii="Times New Roman" w:hAnsi="Times New Roman" w:cs="Times New Roman"/>
                      <w:color w:val="auto"/>
                      <w:vertAlign w:val="superscript"/>
                    </w:rPr>
                    <w:t>3</w:t>
                  </w:r>
                </w:p>
              </w:tc>
              <w:tc>
                <w:tcPr>
                  <w:tcW w:w="1250" w:type="pct"/>
                  <w:vAlign w:val="center"/>
                </w:tcPr>
                <w:p w14:paraId="115AC890">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38.4</w:t>
                  </w:r>
                </w:p>
              </w:tc>
            </w:tr>
            <w:tr w14:paraId="0831B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Merge w:val="continue"/>
                  <w:vAlign w:val="center"/>
                </w:tcPr>
                <w:p w14:paraId="13A0E28A">
                  <w:pPr>
                    <w:pStyle w:val="32"/>
                    <w:rPr>
                      <w:rFonts w:hint="default" w:ascii="Times New Roman" w:hAnsi="Times New Roman" w:cs="Times New Roman"/>
                      <w:color w:val="auto"/>
                    </w:rPr>
                  </w:pPr>
                </w:p>
              </w:tc>
              <w:tc>
                <w:tcPr>
                  <w:tcW w:w="1250" w:type="pct"/>
                  <w:vAlign w:val="center"/>
                </w:tcPr>
                <w:p w14:paraId="707986E6">
                  <w:pPr>
                    <w:pStyle w:val="32"/>
                    <w:rPr>
                      <w:rFonts w:hint="default" w:ascii="Times New Roman" w:hAnsi="Times New Roman" w:cs="Times New Roman"/>
                      <w:color w:val="auto"/>
                    </w:rPr>
                  </w:pPr>
                  <w:r>
                    <w:rPr>
                      <w:rFonts w:hint="default" w:ascii="Times New Roman" w:hAnsi="Times New Roman" w:cs="Times New Roman"/>
                      <w:color w:val="auto"/>
                    </w:rPr>
                    <w:t>电</w:t>
                  </w:r>
                </w:p>
              </w:tc>
              <w:tc>
                <w:tcPr>
                  <w:tcW w:w="1250" w:type="pct"/>
                  <w:vAlign w:val="center"/>
                </w:tcPr>
                <w:p w14:paraId="2A050C28">
                  <w:pPr>
                    <w:pStyle w:val="32"/>
                    <w:rPr>
                      <w:rFonts w:hint="default" w:ascii="Times New Roman" w:hAnsi="Times New Roman" w:cs="Times New Roman"/>
                      <w:color w:val="auto"/>
                    </w:rPr>
                  </w:pPr>
                  <w:r>
                    <w:rPr>
                      <w:rFonts w:hint="default" w:ascii="Times New Roman" w:hAnsi="Times New Roman" w:cs="Times New Roman"/>
                      <w:color w:val="auto"/>
                    </w:rPr>
                    <w:t>Kwh/a</w:t>
                  </w:r>
                </w:p>
              </w:tc>
              <w:tc>
                <w:tcPr>
                  <w:tcW w:w="1250" w:type="pct"/>
                  <w:vAlign w:val="center"/>
                </w:tcPr>
                <w:p w14:paraId="25A660E2">
                  <w:pPr>
                    <w:pStyle w:val="32"/>
                    <w:rPr>
                      <w:rFonts w:hint="default" w:ascii="Times New Roman" w:hAnsi="Times New Roman" w:cs="Times New Roman"/>
                      <w:color w:val="auto"/>
                    </w:rPr>
                  </w:pPr>
                  <w:r>
                    <w:rPr>
                      <w:rFonts w:hint="eastAsia" w:cs="Times New Roman"/>
                      <w:color w:val="auto"/>
                      <w:lang w:val="en-US" w:eastAsia="zh-CN"/>
                    </w:rPr>
                    <w:t>80</w:t>
                  </w:r>
                  <w:r>
                    <w:rPr>
                      <w:rFonts w:hint="default" w:ascii="Times New Roman" w:hAnsi="Times New Roman" w:cs="Times New Roman"/>
                      <w:color w:val="auto"/>
                    </w:rPr>
                    <w:t>00</w:t>
                  </w:r>
                </w:p>
              </w:tc>
            </w:tr>
          </w:tbl>
          <w:p w14:paraId="4797BC9D">
            <w:pPr>
              <w:pStyle w:val="4"/>
              <w:pBdr>
                <w:top w:val="none" w:color="auto" w:sz="0" w:space="1"/>
                <w:left w:val="none" w:color="auto" w:sz="0" w:space="4"/>
                <w:bottom w:val="none" w:color="auto" w:sz="0" w:space="1"/>
                <w:right w:val="none" w:color="auto" w:sz="0" w:space="4"/>
              </w:pBdr>
              <w:rPr>
                <w:rFonts w:hint="default" w:ascii="Times New Roman" w:hAnsi="Times New Roman" w:cs="Times New Roman"/>
                <w:color w:val="auto"/>
              </w:rPr>
            </w:pPr>
            <w:r>
              <w:rPr>
                <w:rFonts w:hint="default" w:ascii="Times New Roman" w:hAnsi="Times New Roman" w:cs="Times New Roman"/>
                <w:color w:val="auto"/>
              </w:rPr>
              <w:t>配套工程</w:t>
            </w:r>
          </w:p>
          <w:p w14:paraId="36A9100B">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（1）供电</w:t>
            </w:r>
          </w:p>
          <w:p w14:paraId="79D20D2A">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项目供电由市政统一供电，依托厂区现有。</w:t>
            </w:r>
          </w:p>
          <w:p w14:paraId="3E88648F">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（2）给水</w:t>
            </w:r>
          </w:p>
          <w:p w14:paraId="1FB36E47">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本项目生产用水依托企业现有的市政供水管网。本项目新鲜水用水为锅炉用水，根据建设单位提供资料，锅炉新鲜水用量为</w:t>
            </w:r>
            <w:r>
              <w:rPr>
                <w:rFonts w:hint="eastAsia" w:cs="Times New Roman"/>
                <w:color w:val="auto"/>
                <w:lang w:val="en-US" w:eastAsia="zh-CN"/>
              </w:rPr>
              <w:t>26</w:t>
            </w:r>
            <w:r>
              <w:rPr>
                <w:rFonts w:hint="default" w:ascii="Times New Roman" w:hAnsi="Times New Roman" w:cs="Times New Roman"/>
                <w:color w:val="auto"/>
              </w:rPr>
              <w:t>t/d（</w:t>
            </w:r>
            <w:r>
              <w:rPr>
                <w:rFonts w:hint="eastAsia" w:cs="Times New Roman"/>
                <w:color w:val="auto"/>
                <w:lang w:val="en-US" w:eastAsia="zh-CN"/>
              </w:rPr>
              <w:t>6240</w:t>
            </w:r>
            <w:r>
              <w:rPr>
                <w:rFonts w:hint="default" w:ascii="Times New Roman" w:hAnsi="Times New Roman" w:cs="Times New Roman"/>
                <w:color w:val="auto"/>
              </w:rPr>
              <w:t>t/a），每天补充耗水量约为</w:t>
            </w:r>
            <w:r>
              <w:rPr>
                <w:rFonts w:hint="eastAsia" w:cs="Times New Roman"/>
                <w:color w:val="auto"/>
                <w:lang w:val="en-US" w:eastAsia="zh-CN"/>
              </w:rPr>
              <w:t>6.8</w:t>
            </w:r>
            <w:r>
              <w:rPr>
                <w:rFonts w:hint="default" w:ascii="Times New Roman" w:hAnsi="Times New Roman" w:cs="Times New Roman"/>
                <w:color w:val="auto"/>
              </w:rPr>
              <w:t>t，则年补充水量为</w:t>
            </w:r>
            <w:r>
              <w:rPr>
                <w:rFonts w:hint="eastAsia" w:cs="Times New Roman"/>
                <w:color w:val="auto"/>
                <w:lang w:val="en-US" w:eastAsia="zh-CN"/>
              </w:rPr>
              <w:t>1360</w:t>
            </w:r>
            <w:r>
              <w:rPr>
                <w:rFonts w:hint="default" w:ascii="Times New Roman" w:hAnsi="Times New Roman" w:cs="Times New Roman"/>
                <w:color w:val="auto"/>
              </w:rPr>
              <w:t>t。</w:t>
            </w:r>
          </w:p>
          <w:p w14:paraId="207D5C0A">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本项目不新增员工，依托厂区现有员工，因此无新增生活用水。</w:t>
            </w:r>
          </w:p>
          <w:p w14:paraId="3B61971D">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（3）排水</w:t>
            </w:r>
          </w:p>
          <w:p w14:paraId="32EF2602">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本项目运营期不新增员工，无废水产生。</w:t>
            </w:r>
          </w:p>
          <w:p w14:paraId="6D305E9B">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（4）供气</w:t>
            </w:r>
          </w:p>
          <w:p w14:paraId="5DA1EC76">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本项目锅炉燃料为天然气，由园区供气管网接入。</w:t>
            </w:r>
          </w:p>
          <w:p w14:paraId="727981DD">
            <w:pPr>
              <w:pStyle w:val="4"/>
              <w:pBdr>
                <w:top w:val="none" w:color="auto" w:sz="0" w:space="1"/>
                <w:left w:val="none" w:color="auto" w:sz="0" w:space="4"/>
                <w:bottom w:val="none" w:color="auto" w:sz="0" w:space="1"/>
                <w:right w:val="none" w:color="auto" w:sz="0" w:space="4"/>
              </w:pBdr>
              <w:rPr>
                <w:rFonts w:hint="default" w:ascii="Times New Roman" w:hAnsi="Times New Roman" w:cs="Times New Roman"/>
                <w:color w:val="auto"/>
              </w:rPr>
            </w:pPr>
            <w:r>
              <w:rPr>
                <w:rFonts w:hint="default" w:ascii="Times New Roman" w:hAnsi="Times New Roman" w:cs="Times New Roman"/>
                <w:color w:val="auto"/>
              </w:rPr>
              <w:t>厂区平面布置</w:t>
            </w:r>
          </w:p>
          <w:p w14:paraId="66A306F9">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本项目位于</w:t>
            </w:r>
            <w:r>
              <w:rPr>
                <w:rFonts w:hint="eastAsia" w:cs="Times New Roman"/>
                <w:color w:val="auto"/>
                <w:lang w:eastAsia="zh-CN"/>
              </w:rPr>
              <w:t>福建省福州市闽侯县铁岭工业区长龙西路1号福建福老酒业有限公司</w:t>
            </w:r>
            <w:r>
              <w:rPr>
                <w:rFonts w:hint="default" w:ascii="Times New Roman" w:hAnsi="Times New Roman" w:cs="Times New Roman"/>
                <w:color w:val="auto"/>
              </w:rPr>
              <w:t>已有锅炉房内，总体布局按照因地制宜，厂区主要设有生产车间（醇化、酿造、包装车间）、辅助生产车间（供水站、废水处理站、仓库、锅炉房）及办公生活区等</w:t>
            </w:r>
            <w:r>
              <w:rPr>
                <w:rFonts w:hint="eastAsia" w:cs="Times New Roman"/>
                <w:color w:val="auto"/>
                <w:lang w:eastAsia="zh-CN"/>
              </w:rPr>
              <w:t>，</w:t>
            </w:r>
            <w:r>
              <w:rPr>
                <w:rFonts w:hint="default" w:ascii="Times New Roman" w:hAnsi="Times New Roman" w:cs="Times New Roman"/>
                <w:color w:val="auto"/>
              </w:rPr>
              <w:t>锅炉房位于厂区</w:t>
            </w:r>
            <w:r>
              <w:rPr>
                <w:rFonts w:hint="eastAsia" w:cs="Times New Roman"/>
                <w:color w:val="auto"/>
                <w:lang w:eastAsia="zh-CN"/>
              </w:rPr>
              <w:t>西北</w:t>
            </w:r>
            <w:r>
              <w:rPr>
                <w:rFonts w:hint="default" w:ascii="Times New Roman" w:hAnsi="Times New Roman" w:cs="Times New Roman"/>
                <w:color w:val="auto"/>
              </w:rPr>
              <w:t>侧，各区域之间均保持相对独立性，相互之间有道路联通。</w:t>
            </w:r>
          </w:p>
        </w:tc>
      </w:tr>
      <w:tr w14:paraId="6CC9E0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trHeight w:val="2260" w:hRule="atLeast"/>
          <w:jc w:val="center"/>
        </w:trPr>
        <w:tc>
          <w:tcPr>
            <w:tcW w:w="841" w:type="dxa"/>
            <w:vAlign w:val="center"/>
          </w:tcPr>
          <w:p w14:paraId="5C02D76B">
            <w:pPr>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工艺流程和产排污环节</w:t>
            </w:r>
          </w:p>
        </w:tc>
        <w:tc>
          <w:tcPr>
            <w:tcW w:w="8547" w:type="dxa"/>
          </w:tcPr>
          <w:p w14:paraId="0EA4B637">
            <w:pPr>
              <w:pStyle w:val="4"/>
              <w:rPr>
                <w:rFonts w:hint="default" w:ascii="Times New Roman" w:hAnsi="Times New Roman" w:cs="Times New Roman"/>
                <w:color w:val="auto"/>
              </w:rPr>
            </w:pPr>
            <w:bookmarkStart w:id="19" w:name="_Toc5785"/>
            <w:r>
              <w:rPr>
                <w:rFonts w:hint="default" w:ascii="Times New Roman" w:hAnsi="Times New Roman" w:cs="Times New Roman"/>
                <w:color w:val="auto"/>
              </w:rPr>
              <w:t>主要工艺环节</w:t>
            </w:r>
            <w:bookmarkEnd w:id="19"/>
          </w:p>
          <w:p w14:paraId="6F1C331D">
            <w:pPr>
              <w:ind w:firstLine="480"/>
              <w:rPr>
                <w:rFonts w:hint="default" w:ascii="Times New Roman" w:hAnsi="Times New Roman" w:cs="Times New Roman"/>
                <w:color w:val="auto"/>
              </w:rPr>
            </w:pPr>
            <w:r>
              <w:rPr>
                <w:rFonts w:hint="default" w:ascii="Times New Roman" w:hAnsi="Times New Roman" w:cs="Times New Roman"/>
                <w:color w:val="auto"/>
              </w:rPr>
              <w:t>（1）工艺流程说明：</w:t>
            </w:r>
          </w:p>
          <w:p w14:paraId="3D5701BF">
            <w:pPr>
              <w:pBdr>
                <w:top w:val="none" w:color="auto" w:sz="0" w:space="1"/>
                <w:left w:val="none" w:color="auto" w:sz="0" w:space="4"/>
                <w:bottom w:val="none" w:color="auto" w:sz="0" w:space="1"/>
                <w:right w:val="none" w:color="auto" w:sz="0" w:space="4"/>
              </w:pBdr>
              <w:ind w:firstLine="0" w:firstLineChars="0"/>
              <w:jc w:val="center"/>
              <w:rPr>
                <w:rFonts w:hint="default" w:ascii="Times New Roman" w:hAnsi="Times New Roman" w:cs="Times New Roman"/>
                <w:b/>
                <w:color w:val="auto"/>
              </w:rPr>
            </w:pPr>
            <w:r>
              <w:rPr>
                <w:rFonts w:hint="default" w:ascii="Times New Roman" w:hAnsi="Times New Roman" w:cs="Times New Roman"/>
                <w:color w:val="auto"/>
              </w:rPr>
              <w:drawing>
                <wp:inline distT="0" distB="0" distL="114300" distR="114300">
                  <wp:extent cx="3007360" cy="1343025"/>
                  <wp:effectExtent l="0" t="0" r="2540" b="9525"/>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10"/>
                          <a:stretch>
                            <a:fillRect/>
                          </a:stretch>
                        </pic:blipFill>
                        <pic:spPr>
                          <a:xfrm>
                            <a:off x="0" y="0"/>
                            <a:ext cx="3007360" cy="1343025"/>
                          </a:xfrm>
                          <a:prstGeom prst="rect">
                            <a:avLst/>
                          </a:prstGeom>
                          <a:noFill/>
                          <a:ln>
                            <a:noFill/>
                          </a:ln>
                        </pic:spPr>
                      </pic:pic>
                    </a:graphicData>
                  </a:graphic>
                </wp:inline>
              </w:drawing>
            </w:r>
          </w:p>
          <w:p w14:paraId="0579F222">
            <w:pPr>
              <w:ind w:firstLine="482"/>
              <w:jc w:val="center"/>
              <w:rPr>
                <w:rFonts w:hint="default" w:ascii="Times New Roman" w:hAnsi="Times New Roman" w:cs="Times New Roman"/>
                <w:b/>
                <w:color w:val="auto"/>
              </w:rPr>
            </w:pPr>
            <w:r>
              <w:rPr>
                <w:rFonts w:hint="default" w:ascii="Times New Roman" w:hAnsi="Times New Roman" w:cs="Times New Roman"/>
                <w:b/>
                <w:color w:val="auto"/>
              </w:rPr>
              <w:t>图2.5-1  运营期燃气锅炉工艺流程图</w:t>
            </w:r>
          </w:p>
          <w:p w14:paraId="0B7D8E4E">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燃气锅炉使用天然气为燃料，天然气通过输送管道输送至锅炉房内，计量后的天然气经燃烧器燃烧放热，加热锅炉本体内的水，产生的蒸汽为企业生产使用。此工序产生的污染物主要为天然气燃烧产生的烟尘、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X</w:t>
            </w:r>
            <w:r>
              <w:rPr>
                <w:rFonts w:hint="default" w:ascii="Times New Roman" w:hAnsi="Times New Roman" w:cs="Times New Roman"/>
                <w:color w:val="auto"/>
              </w:rPr>
              <w:t>。</w:t>
            </w:r>
          </w:p>
          <w:p w14:paraId="791E6C54">
            <w:pPr>
              <w:pStyle w:val="17"/>
              <w:keepNext w:val="0"/>
              <w:keepLines w:val="0"/>
              <w:widowControl/>
              <w:suppressLineNumbers w:val="0"/>
              <w:spacing w:before="0" w:beforeAutospacing="0" w:after="0" w:afterAutospacing="0"/>
              <w:ind w:left="0" w:right="0" w:firstLine="0"/>
            </w:pPr>
            <w:r>
              <w:rPr>
                <w:rFonts w:hint="eastAsia" w:cs="Times New Roman"/>
                <w:color w:val="auto"/>
                <w:lang w:eastAsia="zh-CN"/>
              </w:rPr>
              <w:t>低氮燃烧：</w:t>
            </w:r>
            <w:r>
              <w:t>为使燃气锅炉产生的氮氧化物满足排放标准要求，本项目锅炉拟采用安装低氮</w:t>
            </w:r>
            <w:r>
              <w:rPr>
                <w:rFonts w:hint="eastAsia"/>
                <w:lang w:eastAsia="zh-CN"/>
              </w:rPr>
              <w:t>冷凝一体蒸汽锅炉，</w:t>
            </w:r>
            <w:r>
              <w:t>结合烟气循环技术控制氮氧化物排放量。低氮燃烧器主要通过选用低钢、全自动比例调节燃烧器，自动控制燃烧过程，严格控制过量空气条数和炉内温月，使煤气允分燃烧，减少NOx的生成。烟再循环技术是通过将烟气的燃烧产物加入到燃烧区域内，降低燃烧温度，减NOx生成∶同时加入的烟气降低了氧气的分压，减弱氧气与氮气生成热力型NOx的过程，从而减少NOx的生成。</w:t>
            </w:r>
          </w:p>
          <w:p w14:paraId="298EFD77">
            <w:pPr>
              <w:ind w:firstLine="480"/>
              <w:rPr>
                <w:rFonts w:hint="default" w:ascii="Times New Roman" w:hAnsi="Times New Roman" w:cs="Times New Roman"/>
                <w:color w:val="auto"/>
              </w:rPr>
            </w:pPr>
            <w:r>
              <w:rPr>
                <w:rFonts w:hint="default" w:ascii="Times New Roman" w:hAnsi="Times New Roman" w:cs="Times New Roman"/>
                <w:color w:val="auto"/>
              </w:rPr>
              <w:t>（2）产污环节</w:t>
            </w:r>
          </w:p>
          <w:p w14:paraId="35D4F73C">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本项目产排污情况见下表：</w:t>
            </w:r>
          </w:p>
          <w:p w14:paraId="5894AF38">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表2.5-1  项目主要产污环节表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
              <w:gridCol w:w="851"/>
              <w:gridCol w:w="1842"/>
              <w:gridCol w:w="2410"/>
              <w:gridCol w:w="2339"/>
            </w:tblGrid>
            <w:tr w14:paraId="00BFF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30" w:type="dxa"/>
                  <w:gridSpan w:val="2"/>
                  <w:vAlign w:val="center"/>
                </w:tcPr>
                <w:p w14:paraId="7ED33CAB">
                  <w:pPr>
                    <w:pStyle w:val="32"/>
                    <w:rPr>
                      <w:rFonts w:hint="default" w:ascii="Times New Roman" w:hAnsi="Times New Roman" w:cs="Times New Roman"/>
                      <w:color w:val="auto"/>
                    </w:rPr>
                  </w:pPr>
                  <w:r>
                    <w:rPr>
                      <w:rFonts w:hint="default" w:ascii="Times New Roman" w:hAnsi="Times New Roman" w:cs="Times New Roman"/>
                      <w:color w:val="auto"/>
                    </w:rPr>
                    <w:t>时段</w:t>
                  </w:r>
                </w:p>
              </w:tc>
              <w:tc>
                <w:tcPr>
                  <w:tcW w:w="1842" w:type="dxa"/>
                  <w:vAlign w:val="center"/>
                </w:tcPr>
                <w:p w14:paraId="3EF609B8">
                  <w:pPr>
                    <w:pStyle w:val="32"/>
                    <w:rPr>
                      <w:rFonts w:hint="default" w:ascii="Times New Roman" w:hAnsi="Times New Roman" w:cs="Times New Roman"/>
                      <w:color w:val="auto"/>
                    </w:rPr>
                  </w:pPr>
                  <w:r>
                    <w:rPr>
                      <w:rFonts w:hint="default" w:ascii="Times New Roman" w:hAnsi="Times New Roman" w:cs="Times New Roman"/>
                      <w:color w:val="auto"/>
                    </w:rPr>
                    <w:t>污染产污节点</w:t>
                  </w:r>
                </w:p>
              </w:tc>
              <w:tc>
                <w:tcPr>
                  <w:tcW w:w="2410" w:type="dxa"/>
                  <w:vAlign w:val="center"/>
                </w:tcPr>
                <w:p w14:paraId="0415AF3D">
                  <w:pPr>
                    <w:pStyle w:val="32"/>
                    <w:rPr>
                      <w:rFonts w:hint="default" w:ascii="Times New Roman" w:hAnsi="Times New Roman" w:cs="Times New Roman"/>
                      <w:color w:val="auto"/>
                    </w:rPr>
                  </w:pPr>
                  <w:r>
                    <w:rPr>
                      <w:rFonts w:hint="default" w:ascii="Times New Roman" w:hAnsi="Times New Roman" w:cs="Times New Roman"/>
                      <w:color w:val="auto"/>
                    </w:rPr>
                    <w:t>污染因子</w:t>
                  </w:r>
                </w:p>
              </w:tc>
              <w:tc>
                <w:tcPr>
                  <w:tcW w:w="2339" w:type="dxa"/>
                  <w:vAlign w:val="center"/>
                </w:tcPr>
                <w:p w14:paraId="627D8C40">
                  <w:pPr>
                    <w:pStyle w:val="32"/>
                    <w:rPr>
                      <w:rFonts w:hint="default" w:ascii="Times New Roman" w:hAnsi="Times New Roman" w:cs="Times New Roman"/>
                      <w:color w:val="auto"/>
                    </w:rPr>
                  </w:pPr>
                  <w:r>
                    <w:rPr>
                      <w:rFonts w:hint="default" w:ascii="Times New Roman" w:hAnsi="Times New Roman" w:cs="Times New Roman"/>
                      <w:color w:val="auto"/>
                    </w:rPr>
                    <w:t>排放方式及排放去向</w:t>
                  </w:r>
                </w:p>
              </w:tc>
            </w:tr>
            <w:tr w14:paraId="083CB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9" w:type="dxa"/>
                  <w:vMerge w:val="restart"/>
                  <w:vAlign w:val="center"/>
                </w:tcPr>
                <w:p w14:paraId="57F53A4F">
                  <w:pPr>
                    <w:pStyle w:val="32"/>
                    <w:rPr>
                      <w:rFonts w:hint="default" w:ascii="Times New Roman" w:hAnsi="Times New Roman" w:cs="Times New Roman"/>
                      <w:color w:val="auto"/>
                    </w:rPr>
                  </w:pPr>
                  <w:r>
                    <w:rPr>
                      <w:rFonts w:hint="default" w:ascii="Times New Roman" w:hAnsi="Times New Roman" w:cs="Times New Roman"/>
                      <w:color w:val="auto"/>
                    </w:rPr>
                    <w:t>运营期</w:t>
                  </w:r>
                </w:p>
              </w:tc>
              <w:tc>
                <w:tcPr>
                  <w:tcW w:w="851" w:type="dxa"/>
                  <w:vAlign w:val="center"/>
                </w:tcPr>
                <w:p w14:paraId="16D368F2">
                  <w:pPr>
                    <w:pStyle w:val="32"/>
                    <w:rPr>
                      <w:rFonts w:hint="default" w:ascii="Times New Roman" w:hAnsi="Times New Roman" w:cs="Times New Roman"/>
                      <w:color w:val="auto"/>
                    </w:rPr>
                  </w:pPr>
                  <w:r>
                    <w:rPr>
                      <w:rFonts w:hint="default" w:ascii="Times New Roman" w:hAnsi="Times New Roman" w:cs="Times New Roman"/>
                      <w:color w:val="auto"/>
                    </w:rPr>
                    <w:t>废气</w:t>
                  </w:r>
                </w:p>
              </w:tc>
              <w:tc>
                <w:tcPr>
                  <w:tcW w:w="1842" w:type="dxa"/>
                  <w:vAlign w:val="center"/>
                </w:tcPr>
                <w:p w14:paraId="4742654A">
                  <w:pPr>
                    <w:pStyle w:val="32"/>
                    <w:rPr>
                      <w:rFonts w:hint="default" w:ascii="Times New Roman" w:hAnsi="Times New Roman" w:cs="Times New Roman"/>
                      <w:color w:val="auto"/>
                    </w:rPr>
                  </w:pPr>
                  <w:r>
                    <w:rPr>
                      <w:rFonts w:hint="default" w:ascii="Times New Roman" w:hAnsi="Times New Roman" w:cs="Times New Roman"/>
                      <w:color w:val="auto"/>
                    </w:rPr>
                    <w:t>燃气锅炉</w:t>
                  </w:r>
                </w:p>
              </w:tc>
              <w:tc>
                <w:tcPr>
                  <w:tcW w:w="2410" w:type="dxa"/>
                  <w:vAlign w:val="center"/>
                </w:tcPr>
                <w:p w14:paraId="6B101D7A">
                  <w:pPr>
                    <w:pStyle w:val="32"/>
                    <w:rPr>
                      <w:rFonts w:hint="default" w:ascii="Times New Roman" w:hAnsi="Times New Roman" w:cs="Times New Roman"/>
                      <w:color w:val="auto"/>
                    </w:rPr>
                  </w:pPr>
                  <w:r>
                    <w:rPr>
                      <w:rFonts w:hint="default" w:ascii="Times New Roman" w:hAnsi="Times New Roman" w:cs="Times New Roman"/>
                      <w:color w:val="auto"/>
                    </w:rPr>
                    <w:t>颗粒物、SO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X</w:t>
                  </w:r>
                </w:p>
              </w:tc>
              <w:tc>
                <w:tcPr>
                  <w:tcW w:w="2339" w:type="dxa"/>
                  <w:vAlign w:val="center"/>
                </w:tcPr>
                <w:p w14:paraId="1428E905">
                  <w:pPr>
                    <w:pStyle w:val="32"/>
                    <w:rPr>
                      <w:rFonts w:hint="default" w:ascii="Times New Roman" w:hAnsi="Times New Roman" w:cs="Times New Roman"/>
                      <w:color w:val="auto"/>
                    </w:rPr>
                  </w:pPr>
                  <w:r>
                    <w:rPr>
                      <w:rFonts w:hint="default" w:ascii="Times New Roman" w:hAnsi="Times New Roman" w:cs="Times New Roman"/>
                      <w:color w:val="auto"/>
                    </w:rPr>
                    <w:t>通过锅炉房8m高排气筒排放</w:t>
                  </w:r>
                </w:p>
              </w:tc>
            </w:tr>
            <w:tr w14:paraId="6B1F6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9" w:type="dxa"/>
                  <w:vMerge w:val="continue"/>
                  <w:vAlign w:val="center"/>
                </w:tcPr>
                <w:p w14:paraId="30CA8292">
                  <w:pPr>
                    <w:pStyle w:val="32"/>
                    <w:rPr>
                      <w:rFonts w:hint="default" w:ascii="Times New Roman" w:hAnsi="Times New Roman" w:cs="Times New Roman"/>
                      <w:color w:val="auto"/>
                    </w:rPr>
                  </w:pPr>
                </w:p>
              </w:tc>
              <w:tc>
                <w:tcPr>
                  <w:tcW w:w="851" w:type="dxa"/>
                  <w:vAlign w:val="center"/>
                </w:tcPr>
                <w:p w14:paraId="4EA04346">
                  <w:pPr>
                    <w:pStyle w:val="32"/>
                    <w:rPr>
                      <w:rFonts w:hint="default" w:ascii="Times New Roman" w:hAnsi="Times New Roman" w:cs="Times New Roman"/>
                      <w:color w:val="auto"/>
                    </w:rPr>
                  </w:pPr>
                  <w:r>
                    <w:rPr>
                      <w:rFonts w:hint="default" w:ascii="Times New Roman" w:hAnsi="Times New Roman" w:cs="Times New Roman"/>
                      <w:color w:val="auto"/>
                    </w:rPr>
                    <w:t>噪声</w:t>
                  </w:r>
                </w:p>
              </w:tc>
              <w:tc>
                <w:tcPr>
                  <w:tcW w:w="1842" w:type="dxa"/>
                  <w:vAlign w:val="center"/>
                </w:tcPr>
                <w:p w14:paraId="4A47121A">
                  <w:pPr>
                    <w:pStyle w:val="32"/>
                    <w:rPr>
                      <w:rFonts w:hint="default" w:ascii="Times New Roman" w:hAnsi="Times New Roman" w:cs="Times New Roman"/>
                      <w:color w:val="auto"/>
                    </w:rPr>
                  </w:pPr>
                  <w:r>
                    <w:rPr>
                      <w:rFonts w:hint="default" w:ascii="Times New Roman" w:hAnsi="Times New Roman" w:cs="Times New Roman"/>
                      <w:color w:val="auto"/>
                    </w:rPr>
                    <w:t>锅炉、水泵</w:t>
                  </w:r>
                </w:p>
              </w:tc>
              <w:tc>
                <w:tcPr>
                  <w:tcW w:w="2410" w:type="dxa"/>
                  <w:vAlign w:val="center"/>
                </w:tcPr>
                <w:p w14:paraId="7EC2FAC2">
                  <w:pPr>
                    <w:pStyle w:val="32"/>
                    <w:rPr>
                      <w:rFonts w:hint="default" w:ascii="Times New Roman" w:hAnsi="Times New Roman" w:cs="Times New Roman"/>
                      <w:color w:val="auto"/>
                    </w:rPr>
                  </w:pPr>
                  <w:r>
                    <w:rPr>
                      <w:rFonts w:hint="default" w:ascii="Times New Roman" w:hAnsi="Times New Roman" w:cs="Times New Roman"/>
                      <w:color w:val="auto"/>
                    </w:rPr>
                    <w:t>噪声</w:t>
                  </w:r>
                </w:p>
              </w:tc>
              <w:tc>
                <w:tcPr>
                  <w:tcW w:w="2339" w:type="dxa"/>
                  <w:vAlign w:val="center"/>
                </w:tcPr>
                <w:p w14:paraId="1D886686">
                  <w:pPr>
                    <w:pStyle w:val="32"/>
                    <w:rPr>
                      <w:rFonts w:hint="default" w:ascii="Times New Roman" w:hAnsi="Times New Roman" w:cs="Times New Roman"/>
                      <w:color w:val="auto"/>
                    </w:rPr>
                  </w:pPr>
                  <w:r>
                    <w:rPr>
                      <w:rFonts w:hint="default" w:ascii="Times New Roman" w:hAnsi="Times New Roman" w:cs="Times New Roman"/>
                      <w:color w:val="auto"/>
                    </w:rPr>
                    <w:t>基础减震、隔声处理</w:t>
                  </w:r>
                </w:p>
              </w:tc>
            </w:tr>
          </w:tbl>
          <w:p w14:paraId="56E556AC">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p>
        </w:tc>
      </w:tr>
      <w:tr w14:paraId="32F83C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trHeight w:val="2260" w:hRule="atLeast"/>
          <w:jc w:val="center"/>
        </w:trPr>
        <w:tc>
          <w:tcPr>
            <w:tcW w:w="841" w:type="dxa"/>
            <w:vAlign w:val="center"/>
          </w:tcPr>
          <w:p w14:paraId="7CCC6612">
            <w:pPr>
              <w:ind w:firstLine="0" w:firstLineChars="0"/>
              <w:jc w:val="center"/>
              <w:rPr>
                <w:rFonts w:hint="default" w:ascii="Times New Roman" w:hAnsi="Times New Roman" w:cs="Times New Roman"/>
                <w:color w:val="auto"/>
              </w:rPr>
            </w:pPr>
            <w:bookmarkStart w:id="20" w:name="_Toc4920"/>
            <w:r>
              <w:rPr>
                <w:rFonts w:hint="default" w:ascii="Times New Roman" w:hAnsi="Times New Roman" w:cs="Times New Roman"/>
                <w:b w:val="0"/>
                <w:bCs/>
                <w:color w:val="auto"/>
                <w:sz w:val="24"/>
              </w:rPr>
              <w:t>与项目有关的原有环境污染问题</w:t>
            </w:r>
          </w:p>
        </w:tc>
        <w:tc>
          <w:tcPr>
            <w:tcW w:w="8547" w:type="dxa"/>
          </w:tcPr>
          <w:p w14:paraId="2A463DBD">
            <w:pPr>
              <w:pStyle w:val="4"/>
              <w:rPr>
                <w:rFonts w:hint="default" w:ascii="Times New Roman" w:hAnsi="Times New Roman" w:cs="Times New Roman"/>
                <w:color w:val="auto"/>
              </w:rPr>
            </w:pPr>
            <w:bookmarkStart w:id="21" w:name="_Toc3910"/>
            <w:r>
              <w:rPr>
                <w:rFonts w:hint="default" w:ascii="Times New Roman" w:hAnsi="Times New Roman" w:cs="Times New Roman"/>
                <w:color w:val="auto"/>
              </w:rPr>
              <w:t>现有项目回顾</w:t>
            </w:r>
            <w:bookmarkEnd w:id="21"/>
          </w:p>
          <w:p w14:paraId="4E05B132">
            <w:pPr>
              <w:ind w:firstLine="480"/>
              <w:rPr>
                <w:rFonts w:hint="default" w:ascii="Times New Roman" w:hAnsi="Times New Roman" w:cs="Times New Roman"/>
                <w:color w:val="auto"/>
              </w:rPr>
            </w:pPr>
            <w:r>
              <w:rPr>
                <w:rFonts w:hint="default" w:ascii="Times New Roman" w:hAnsi="Times New Roman" w:cs="Times New Roman"/>
                <w:color w:val="auto"/>
              </w:rPr>
              <w:t>本项目为改建项目，拟拆除</w:t>
            </w:r>
            <w:r>
              <w:rPr>
                <w:rFonts w:hint="eastAsia" w:cs="Times New Roman"/>
                <w:color w:val="auto"/>
                <w:lang w:val="en-US" w:eastAsia="zh-CN"/>
              </w:rPr>
              <w:t>现</w:t>
            </w:r>
            <w:r>
              <w:rPr>
                <w:rFonts w:hint="default" w:ascii="Times New Roman" w:hAnsi="Times New Roman" w:cs="Times New Roman"/>
                <w:color w:val="auto"/>
              </w:rPr>
              <w:t>有1台</w:t>
            </w:r>
            <w:r>
              <w:rPr>
                <w:rFonts w:hint="eastAsia" w:cs="Times New Roman"/>
                <w:color w:val="auto"/>
                <w:lang w:eastAsia="zh-CN"/>
              </w:rPr>
              <w:t>15吨燃煤锅炉</w:t>
            </w:r>
            <w:r>
              <w:rPr>
                <w:rFonts w:hint="default" w:ascii="Times New Roman" w:hAnsi="Times New Roman" w:cs="Times New Roman"/>
                <w:color w:val="auto"/>
              </w:rPr>
              <w:t>，建设</w:t>
            </w:r>
            <w:r>
              <w:rPr>
                <w:rFonts w:hint="eastAsia" w:cs="Times New Roman"/>
                <w:color w:val="auto"/>
                <w:lang w:val="en-US" w:eastAsia="zh-CN"/>
              </w:rPr>
              <w:t>2</w:t>
            </w:r>
            <w:r>
              <w:rPr>
                <w:rFonts w:hint="default" w:ascii="Times New Roman" w:hAnsi="Times New Roman" w:cs="Times New Roman"/>
                <w:color w:val="auto"/>
              </w:rPr>
              <w:t>台2t燃气锅炉用于生产使用。</w:t>
            </w:r>
          </w:p>
          <w:p w14:paraId="418D454D">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2.6.1现有工程概况</w:t>
            </w:r>
          </w:p>
          <w:p w14:paraId="083B7513">
            <w:pPr>
              <w:ind w:firstLine="480"/>
              <w:rPr>
                <w:rFonts w:hint="default" w:ascii="Times New Roman" w:hAnsi="Times New Roman" w:cs="Times New Roman"/>
                <w:color w:val="auto"/>
              </w:rPr>
            </w:pPr>
            <w:r>
              <w:rPr>
                <w:rFonts w:hint="eastAsia" w:cs="Times New Roman"/>
                <w:color w:val="auto"/>
                <w:lang w:eastAsia="zh-CN"/>
              </w:rPr>
              <w:t>福建福老酒业有限公司</w:t>
            </w:r>
            <w:r>
              <w:rPr>
                <w:rFonts w:hint="default" w:ascii="Times New Roman" w:hAnsi="Times New Roman" w:cs="Times New Roman"/>
                <w:color w:val="auto"/>
              </w:rPr>
              <w:t>成立于</w:t>
            </w:r>
            <w:r>
              <w:rPr>
                <w:rFonts w:hint="eastAsia" w:cs="Times New Roman"/>
                <w:color w:val="auto"/>
                <w:lang w:val="en-US" w:eastAsia="zh-CN"/>
              </w:rPr>
              <w:t>2008</w:t>
            </w:r>
            <w:r>
              <w:rPr>
                <w:rFonts w:hint="default" w:ascii="Times New Roman" w:hAnsi="Times New Roman" w:cs="Times New Roman"/>
                <w:color w:val="auto"/>
              </w:rPr>
              <w:t>年，主要进行</w:t>
            </w:r>
            <w:r>
              <w:rPr>
                <w:rFonts w:hint="eastAsia" w:cs="Times New Roman"/>
                <w:color w:val="auto"/>
                <w:lang w:eastAsia="zh-CN"/>
              </w:rPr>
              <w:t>黄酒生产和销售</w:t>
            </w:r>
            <w:r>
              <w:rPr>
                <w:rFonts w:hint="default" w:ascii="Times New Roman" w:hAnsi="Times New Roman" w:cs="Times New Roman"/>
                <w:color w:val="auto"/>
              </w:rPr>
              <w:t>，选址于闽侯县铁岭工业集中区二期地块。厂区占地面积</w:t>
            </w:r>
            <w:r>
              <w:rPr>
                <w:rFonts w:hint="eastAsia" w:cs="Times New Roman"/>
                <w:color w:val="auto"/>
                <w:lang w:eastAsia="zh-CN"/>
              </w:rPr>
              <w:t>34907</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default" w:ascii="Times New Roman" w:hAnsi="Times New Roman" w:cs="Times New Roman"/>
                <w:color w:val="auto"/>
              </w:rPr>
              <w:t>，总投资</w:t>
            </w:r>
            <w:r>
              <w:rPr>
                <w:rFonts w:hint="eastAsia" w:cs="Times New Roman"/>
                <w:color w:val="auto"/>
                <w:lang w:val="en-US" w:eastAsia="zh-CN"/>
              </w:rPr>
              <w:t>6888</w:t>
            </w:r>
            <w:r>
              <w:rPr>
                <w:rFonts w:hint="default" w:ascii="Times New Roman" w:hAnsi="Times New Roman" w:cs="Times New Roman"/>
                <w:color w:val="auto"/>
              </w:rPr>
              <w:t>万元，项目建设内容主要为：生产车间（醇化、酿造、包装车间）、辅助生产车间（供水站、废水处理站、仓库、锅炉房）及办公生活区</w:t>
            </w:r>
            <w:r>
              <w:rPr>
                <w:rFonts w:hint="eastAsia" w:cs="Times New Roman"/>
                <w:color w:val="auto"/>
                <w:lang w:eastAsia="zh-CN"/>
              </w:rPr>
              <w:t>等</w:t>
            </w:r>
            <w:r>
              <w:rPr>
                <w:rFonts w:hint="default" w:ascii="Times New Roman" w:hAnsi="Times New Roman" w:cs="Times New Roman"/>
                <w:color w:val="auto"/>
              </w:rPr>
              <w:t>。</w:t>
            </w:r>
          </w:p>
          <w:p w14:paraId="287B2325">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eastAsia" w:cs="Times New Roman"/>
                <w:color w:val="auto"/>
                <w:lang w:eastAsia="zh-CN"/>
              </w:rPr>
              <w:t>福建福老酒业有限公司</w:t>
            </w:r>
            <w:r>
              <w:rPr>
                <w:rFonts w:hint="default" w:ascii="Times New Roman" w:hAnsi="Times New Roman" w:cs="Times New Roman"/>
                <w:color w:val="auto"/>
              </w:rPr>
              <w:t>此前于</w:t>
            </w:r>
            <w:r>
              <w:rPr>
                <w:rFonts w:hint="eastAsia" w:cs="Times New Roman"/>
                <w:color w:val="auto"/>
                <w:lang w:val="en-US" w:eastAsia="zh-CN"/>
              </w:rPr>
              <w:t>2008</w:t>
            </w:r>
            <w:r>
              <w:rPr>
                <w:rFonts w:hint="default" w:ascii="Times New Roman" w:hAnsi="Times New Roman" w:cs="Times New Roman"/>
                <w:color w:val="auto"/>
              </w:rPr>
              <w:t>年</w:t>
            </w:r>
            <w:r>
              <w:rPr>
                <w:rFonts w:hint="eastAsia" w:cs="Times New Roman"/>
                <w:color w:val="auto"/>
                <w:lang w:val="en-US" w:eastAsia="zh-CN"/>
              </w:rPr>
              <w:t>8</w:t>
            </w:r>
            <w:r>
              <w:rPr>
                <w:rFonts w:hint="default" w:ascii="Times New Roman" w:hAnsi="Times New Roman" w:cs="Times New Roman"/>
                <w:color w:val="auto"/>
              </w:rPr>
              <w:t>月编制了《</w:t>
            </w:r>
            <w:r>
              <w:rPr>
                <w:rFonts w:hint="eastAsia" w:cs="Times New Roman"/>
                <w:color w:val="auto"/>
                <w:lang w:eastAsia="zh-CN"/>
              </w:rPr>
              <w:t>福建福老酒业有限公司</w:t>
            </w:r>
            <w:r>
              <w:rPr>
                <w:rFonts w:hint="default" w:ascii="Times New Roman" w:hAnsi="Times New Roman" w:cs="Times New Roman"/>
                <w:color w:val="auto"/>
              </w:rPr>
              <w:t>年产1万</w:t>
            </w:r>
            <w:r>
              <w:rPr>
                <w:rFonts w:hint="eastAsia" w:cs="Times New Roman"/>
                <w:color w:val="auto"/>
                <w:lang w:eastAsia="zh-CN"/>
              </w:rPr>
              <w:t>吨黄酒</w:t>
            </w:r>
            <w:r>
              <w:rPr>
                <w:rFonts w:hint="default" w:ascii="Times New Roman" w:hAnsi="Times New Roman" w:cs="Times New Roman"/>
                <w:color w:val="auto"/>
              </w:rPr>
              <w:t>项目环境影响报告书》，并于20</w:t>
            </w:r>
            <w:r>
              <w:rPr>
                <w:rFonts w:hint="eastAsia" w:cs="Times New Roman"/>
                <w:color w:val="auto"/>
                <w:lang w:val="en-US" w:eastAsia="zh-CN"/>
              </w:rPr>
              <w:t>08</w:t>
            </w:r>
            <w:r>
              <w:rPr>
                <w:rFonts w:hint="default" w:ascii="Times New Roman" w:hAnsi="Times New Roman" w:cs="Times New Roman"/>
                <w:color w:val="auto"/>
              </w:rPr>
              <w:t>年</w:t>
            </w:r>
            <w:r>
              <w:rPr>
                <w:rFonts w:hint="eastAsia" w:cs="Times New Roman"/>
                <w:color w:val="auto"/>
                <w:lang w:val="en-US" w:eastAsia="zh-CN"/>
              </w:rPr>
              <w:t>12</w:t>
            </w:r>
            <w:r>
              <w:rPr>
                <w:rFonts w:hint="default" w:ascii="Times New Roman" w:hAnsi="Times New Roman" w:cs="Times New Roman"/>
                <w:color w:val="auto"/>
              </w:rPr>
              <w:t>月</w:t>
            </w:r>
            <w:r>
              <w:rPr>
                <w:rFonts w:hint="eastAsia" w:cs="Times New Roman"/>
                <w:color w:val="auto"/>
                <w:lang w:val="en-US" w:eastAsia="zh-CN"/>
              </w:rPr>
              <w:t>15</w:t>
            </w:r>
            <w:r>
              <w:rPr>
                <w:rFonts w:hint="default" w:ascii="Times New Roman" w:hAnsi="Times New Roman" w:cs="Times New Roman"/>
                <w:color w:val="auto"/>
              </w:rPr>
              <w:t>日获得</w:t>
            </w:r>
            <w:r>
              <w:rPr>
                <w:rFonts w:hint="eastAsia" w:cs="Times New Roman"/>
                <w:color w:val="auto"/>
                <w:lang w:eastAsia="zh-CN"/>
              </w:rPr>
              <w:t>福州市闽侯生态环境局</w:t>
            </w:r>
            <w:r>
              <w:rPr>
                <w:rFonts w:hint="default" w:ascii="Times New Roman" w:hAnsi="Times New Roman" w:cs="Times New Roman"/>
                <w:color w:val="auto"/>
              </w:rPr>
              <w:t>批复（侯环保[20</w:t>
            </w:r>
            <w:r>
              <w:rPr>
                <w:rFonts w:hint="eastAsia" w:ascii="Times New Roman" w:hAnsi="Times New Roman" w:cs="Times New Roman"/>
                <w:color w:val="auto"/>
                <w:lang w:val="en-US" w:eastAsia="zh-CN"/>
              </w:rPr>
              <w:t>08</w:t>
            </w:r>
            <w:r>
              <w:rPr>
                <w:rFonts w:hint="default" w:ascii="Times New Roman" w:hAnsi="Times New Roman" w:cs="Times New Roman"/>
                <w:color w:val="auto"/>
              </w:rPr>
              <w:t>]</w:t>
            </w:r>
            <w:r>
              <w:rPr>
                <w:rFonts w:hint="eastAsia" w:ascii="Times New Roman" w:hAnsi="Times New Roman" w:cs="Times New Roman"/>
                <w:color w:val="auto"/>
                <w:lang w:val="en-US" w:eastAsia="zh-CN"/>
              </w:rPr>
              <w:t>106</w:t>
            </w:r>
            <w:r>
              <w:rPr>
                <w:rFonts w:hint="default" w:ascii="Times New Roman" w:hAnsi="Times New Roman" w:cs="Times New Roman"/>
                <w:color w:val="auto"/>
              </w:rPr>
              <w:t>号）； 20</w:t>
            </w:r>
            <w:r>
              <w:rPr>
                <w:rFonts w:hint="eastAsia" w:cs="Times New Roman"/>
                <w:color w:val="auto"/>
                <w:lang w:val="en-US" w:eastAsia="zh-CN"/>
              </w:rPr>
              <w:t>16</w:t>
            </w:r>
            <w:r>
              <w:rPr>
                <w:rFonts w:hint="default" w:ascii="Times New Roman" w:hAnsi="Times New Roman" w:cs="Times New Roman"/>
                <w:color w:val="auto"/>
              </w:rPr>
              <w:t>年</w:t>
            </w:r>
            <w:r>
              <w:rPr>
                <w:rFonts w:hint="eastAsia" w:cs="Times New Roman"/>
                <w:color w:val="auto"/>
                <w:lang w:val="en-US" w:eastAsia="zh-CN"/>
              </w:rPr>
              <w:t>12</w:t>
            </w:r>
            <w:r>
              <w:rPr>
                <w:rFonts w:hint="default" w:ascii="Times New Roman" w:hAnsi="Times New Roman" w:cs="Times New Roman"/>
                <w:color w:val="auto"/>
              </w:rPr>
              <w:t>月</w:t>
            </w:r>
            <w:r>
              <w:rPr>
                <w:rFonts w:hint="eastAsia" w:cs="Times New Roman"/>
                <w:color w:val="auto"/>
                <w:lang w:eastAsia="zh-CN"/>
              </w:rPr>
              <w:t>福州市闽侯生态环境局</w:t>
            </w:r>
            <w:r>
              <w:rPr>
                <w:rFonts w:hint="default" w:ascii="Times New Roman" w:hAnsi="Times New Roman" w:cs="Times New Roman"/>
                <w:color w:val="auto"/>
              </w:rPr>
              <w:t>对</w:t>
            </w:r>
            <w:r>
              <w:rPr>
                <w:rFonts w:hint="eastAsia" w:cs="Times New Roman"/>
                <w:color w:val="auto"/>
                <w:lang w:eastAsia="zh-CN"/>
              </w:rPr>
              <w:t>福建福老酒业有限公司年产1万吨黄酒项目</w:t>
            </w:r>
            <w:r>
              <w:rPr>
                <w:rFonts w:hint="default" w:ascii="Times New Roman" w:hAnsi="Times New Roman" w:cs="Times New Roman"/>
                <w:color w:val="auto"/>
              </w:rPr>
              <w:t>进行竣工环境环保验收，并获得环境保护局验收批复意见（侯环验[2016]</w:t>
            </w:r>
            <w:r>
              <w:rPr>
                <w:rFonts w:hint="eastAsia" w:cs="Times New Roman"/>
                <w:color w:val="auto"/>
                <w:lang w:val="en-US" w:eastAsia="zh-CN"/>
              </w:rPr>
              <w:t>126</w:t>
            </w:r>
            <w:r>
              <w:rPr>
                <w:rFonts w:hint="default" w:ascii="Times New Roman" w:hAnsi="Times New Roman" w:cs="Times New Roman"/>
                <w:color w:val="auto"/>
              </w:rPr>
              <w:t>号）。</w:t>
            </w:r>
          </w:p>
          <w:p w14:paraId="1E3F0A45">
            <w:pPr>
              <w:pBdr>
                <w:top w:val="none" w:color="auto" w:sz="0" w:space="1"/>
                <w:left w:val="none" w:color="auto" w:sz="0" w:space="4"/>
                <w:bottom w:val="none" w:color="auto" w:sz="0" w:space="1"/>
                <w:right w:val="none" w:color="auto" w:sz="0" w:space="4"/>
              </w:pBdr>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现有</w:t>
            </w:r>
            <w:r>
              <w:rPr>
                <w:rFonts w:hint="eastAsia" w:ascii="Times New Roman" w:hAnsi="Times New Roman" w:eastAsia="宋体" w:cs="Times New Roman"/>
                <w:color w:val="auto"/>
              </w:rPr>
              <w:t>工程规模及环境影响评价、环保竣工验收情况见表</w:t>
            </w:r>
            <w:r>
              <w:rPr>
                <w:rFonts w:hint="eastAsia" w:ascii="Times New Roman" w:hAnsi="Times New Roman" w:eastAsia="宋体" w:cs="Times New Roman"/>
                <w:color w:val="auto"/>
                <w:lang w:val="en-US" w:eastAsia="zh-CN"/>
              </w:rPr>
              <w:t>2.6-1；现有工程产品方案见表2.6-2。</w:t>
            </w:r>
          </w:p>
          <w:p w14:paraId="75339A12">
            <w:pPr>
              <w:spacing w:line="240" w:lineRule="auto"/>
              <w:ind w:firstLine="482" w:firstLineChars="0"/>
              <w:jc w:val="center"/>
              <w:rPr>
                <w:rFonts w:hint="default" w:ascii="Times New Roman" w:hAnsi="Times New Roman" w:eastAsia="黑体" w:cs="Times New Roman"/>
                <w:kern w:val="0"/>
                <w:sz w:val="24"/>
                <w:szCs w:val="20"/>
                <w:lang w:val="en-US" w:eastAsia="zh-CN" w:bidi="ar-SA"/>
              </w:rPr>
            </w:pPr>
            <w:r>
              <w:rPr>
                <w:rFonts w:hint="eastAsia"/>
                <w:lang w:val="en-US" w:eastAsia="zh-CN"/>
              </w:rPr>
              <w:t xml:space="preserve"> </w:t>
            </w:r>
            <w:r>
              <w:rPr>
                <w:rFonts w:hint="default" w:ascii="Times New Roman" w:hAnsi="Times New Roman" w:eastAsia="黑体" w:cs="Times New Roman"/>
                <w:kern w:val="0"/>
                <w:sz w:val="24"/>
                <w:szCs w:val="20"/>
                <w:lang w:val="en-US" w:eastAsia="zh-CN" w:bidi="ar-SA"/>
              </w:rPr>
              <w:t>表</w:t>
            </w:r>
            <w:r>
              <w:rPr>
                <w:rFonts w:hint="eastAsia" w:ascii="Times New Roman" w:hAnsi="Times New Roman" w:eastAsia="黑体" w:cs="Times New Roman"/>
                <w:kern w:val="0"/>
                <w:sz w:val="24"/>
                <w:szCs w:val="20"/>
                <w:lang w:val="en-US" w:eastAsia="zh-CN" w:bidi="ar-SA"/>
              </w:rPr>
              <w:t>2.6-1</w:t>
            </w:r>
            <w:r>
              <w:rPr>
                <w:rFonts w:hint="default" w:ascii="Times New Roman" w:hAnsi="Times New Roman" w:eastAsia="黑体" w:cs="Times New Roman"/>
                <w:kern w:val="0"/>
                <w:sz w:val="24"/>
                <w:szCs w:val="20"/>
                <w:lang w:val="en-US" w:eastAsia="zh-CN" w:bidi="ar-SA"/>
              </w:rPr>
              <w:t xml:space="preserve"> </w:t>
            </w:r>
            <w:r>
              <w:rPr>
                <w:rFonts w:hint="eastAsia" w:ascii="Times New Roman" w:hAnsi="Times New Roman" w:eastAsia="黑体" w:cs="Times New Roman"/>
                <w:kern w:val="0"/>
                <w:sz w:val="24"/>
                <w:szCs w:val="20"/>
                <w:lang w:val="en-US" w:eastAsia="zh-CN" w:bidi="ar-SA"/>
              </w:rPr>
              <w:t>现有项目工程规模及环评、竣工环保验收信息</w:t>
            </w:r>
            <w:r>
              <w:rPr>
                <w:rFonts w:hint="default" w:ascii="Times New Roman" w:hAnsi="Times New Roman" w:eastAsia="黑体" w:cs="Times New Roman"/>
                <w:kern w:val="0"/>
                <w:sz w:val="24"/>
                <w:szCs w:val="20"/>
                <w:lang w:val="en-US" w:eastAsia="zh-CN" w:bidi="ar-SA"/>
              </w:rPr>
              <w:t>一览表</w:t>
            </w:r>
          </w:p>
          <w:tbl>
            <w:tblPr>
              <w:tblStyle w:val="21"/>
              <w:tblW w:w="818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0"/>
              <w:gridCol w:w="1296"/>
              <w:gridCol w:w="1763"/>
              <w:gridCol w:w="2000"/>
              <w:gridCol w:w="1474"/>
              <w:gridCol w:w="1151"/>
            </w:tblGrid>
            <w:tr w14:paraId="5E1DE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5" w:hRule="atLeast"/>
              </w:trPr>
              <w:tc>
                <w:tcPr>
                  <w:tcW w:w="500" w:type="dxa"/>
                  <w:noWrap w:val="0"/>
                  <w:vAlign w:val="center"/>
                </w:tcPr>
                <w:p w14:paraId="7E6EA6CA">
                  <w:pPr>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性质</w:t>
                  </w:r>
                </w:p>
              </w:tc>
              <w:tc>
                <w:tcPr>
                  <w:tcW w:w="1296" w:type="dxa"/>
                  <w:noWrap w:val="0"/>
                  <w:vAlign w:val="center"/>
                </w:tcPr>
                <w:p w14:paraId="1A751555">
                  <w:pPr>
                    <w:spacing w:line="240" w:lineRule="auto"/>
                    <w:ind w:firstLine="0" w:firstLineChars="0"/>
                    <w:jc w:val="center"/>
                    <w:rPr>
                      <w:kern w:val="0"/>
                      <w:sz w:val="21"/>
                      <w:szCs w:val="21"/>
                    </w:rPr>
                  </w:pPr>
                  <w:r>
                    <w:rPr>
                      <w:rFonts w:hint="eastAsia"/>
                      <w:kern w:val="0"/>
                      <w:sz w:val="21"/>
                      <w:szCs w:val="21"/>
                    </w:rPr>
                    <w:t>建设规模</w:t>
                  </w:r>
                </w:p>
              </w:tc>
              <w:tc>
                <w:tcPr>
                  <w:tcW w:w="1763" w:type="dxa"/>
                  <w:noWrap w:val="0"/>
                  <w:vAlign w:val="center"/>
                </w:tcPr>
                <w:p w14:paraId="5396F733">
                  <w:pPr>
                    <w:spacing w:line="240" w:lineRule="auto"/>
                    <w:ind w:firstLine="0" w:firstLineChars="0"/>
                    <w:jc w:val="center"/>
                    <w:rPr>
                      <w:kern w:val="0"/>
                      <w:sz w:val="21"/>
                      <w:szCs w:val="21"/>
                    </w:rPr>
                  </w:pPr>
                  <w:r>
                    <w:rPr>
                      <w:rFonts w:hint="eastAsia"/>
                      <w:kern w:val="0"/>
                      <w:sz w:val="21"/>
                      <w:szCs w:val="21"/>
                    </w:rPr>
                    <w:t>环评单位</w:t>
                  </w:r>
                </w:p>
              </w:tc>
              <w:tc>
                <w:tcPr>
                  <w:tcW w:w="2000" w:type="dxa"/>
                  <w:noWrap w:val="0"/>
                  <w:vAlign w:val="center"/>
                </w:tcPr>
                <w:p w14:paraId="7B6170C9">
                  <w:pPr>
                    <w:spacing w:line="240" w:lineRule="auto"/>
                    <w:ind w:firstLine="0" w:firstLineChars="0"/>
                    <w:jc w:val="center"/>
                    <w:rPr>
                      <w:kern w:val="0"/>
                      <w:sz w:val="21"/>
                      <w:szCs w:val="21"/>
                    </w:rPr>
                  </w:pPr>
                  <w:r>
                    <w:rPr>
                      <w:rFonts w:hint="eastAsia"/>
                      <w:kern w:val="0"/>
                      <w:sz w:val="21"/>
                      <w:szCs w:val="21"/>
                    </w:rPr>
                    <w:t>审批文号</w:t>
                  </w:r>
                </w:p>
              </w:tc>
              <w:tc>
                <w:tcPr>
                  <w:tcW w:w="1474" w:type="dxa"/>
                  <w:noWrap w:val="0"/>
                  <w:vAlign w:val="center"/>
                </w:tcPr>
                <w:p w14:paraId="405F3E7A">
                  <w:pPr>
                    <w:spacing w:line="240" w:lineRule="auto"/>
                    <w:ind w:firstLine="0" w:firstLineChars="0"/>
                    <w:jc w:val="center"/>
                    <w:rPr>
                      <w:rFonts w:hint="eastAsia"/>
                      <w:kern w:val="0"/>
                      <w:sz w:val="21"/>
                      <w:szCs w:val="21"/>
                    </w:rPr>
                  </w:pPr>
                  <w:r>
                    <w:rPr>
                      <w:rFonts w:hint="eastAsia"/>
                      <w:kern w:val="0"/>
                      <w:sz w:val="21"/>
                      <w:szCs w:val="21"/>
                    </w:rPr>
                    <w:t>环评审批</w:t>
                  </w:r>
                </w:p>
                <w:p w14:paraId="23C83910">
                  <w:pPr>
                    <w:spacing w:line="240" w:lineRule="auto"/>
                    <w:ind w:firstLine="0" w:firstLineChars="0"/>
                    <w:jc w:val="center"/>
                    <w:rPr>
                      <w:kern w:val="0"/>
                      <w:sz w:val="21"/>
                      <w:szCs w:val="21"/>
                    </w:rPr>
                  </w:pPr>
                  <w:r>
                    <w:rPr>
                      <w:rFonts w:hint="eastAsia"/>
                      <w:kern w:val="0"/>
                      <w:sz w:val="21"/>
                      <w:szCs w:val="21"/>
                    </w:rPr>
                    <w:t>时间</w:t>
                  </w:r>
                </w:p>
              </w:tc>
              <w:tc>
                <w:tcPr>
                  <w:tcW w:w="1151" w:type="dxa"/>
                  <w:noWrap w:val="0"/>
                  <w:vAlign w:val="center"/>
                </w:tcPr>
                <w:p w14:paraId="44B7E8B4">
                  <w:pPr>
                    <w:spacing w:line="240" w:lineRule="auto"/>
                    <w:ind w:firstLine="0" w:firstLineChars="0"/>
                    <w:jc w:val="center"/>
                    <w:rPr>
                      <w:kern w:val="0"/>
                      <w:sz w:val="21"/>
                      <w:szCs w:val="21"/>
                    </w:rPr>
                  </w:pPr>
                  <w:r>
                    <w:rPr>
                      <w:rFonts w:hint="eastAsia"/>
                      <w:kern w:val="0"/>
                      <w:sz w:val="21"/>
                      <w:szCs w:val="21"/>
                    </w:rPr>
                    <w:t>竣工验收时间</w:t>
                  </w:r>
                </w:p>
              </w:tc>
            </w:tr>
            <w:tr w14:paraId="70DFF6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0" w:hRule="atLeast"/>
              </w:trPr>
              <w:tc>
                <w:tcPr>
                  <w:tcW w:w="500" w:type="dxa"/>
                  <w:noWrap w:val="0"/>
                  <w:vAlign w:val="center"/>
                </w:tcPr>
                <w:p w14:paraId="1981ED06">
                  <w:pPr>
                    <w:pStyle w:val="52"/>
                    <w:tabs>
                      <w:tab w:val="left" w:pos="1980"/>
                      <w:tab w:val="left" w:pos="3825"/>
                      <w:tab w:val="left" w:pos="4680"/>
                      <w:tab w:val="clear" w:pos="0"/>
                    </w:tabs>
                    <w:autoSpaceDE/>
                    <w:autoSpaceDN/>
                    <w:adjustRightInd/>
                    <w:snapToGrid/>
                    <w:spacing w:line="240" w:lineRule="auto"/>
                    <w:ind w:firstLine="0" w:firstLineChars="0"/>
                    <w:jc w:val="center"/>
                    <w:textAlignment w:val="auto"/>
                    <w:rPr>
                      <w:rFonts w:hint="eastAsia" w:ascii="Times New Roman" w:hAnsi="Times New Roman" w:eastAsia="宋体" w:cs="宋体"/>
                      <w:b w:val="0"/>
                      <w:bCs w:val="0"/>
                      <w:color w:val="000000"/>
                      <w:kern w:val="0"/>
                      <w:sz w:val="21"/>
                      <w:lang w:val="en-US" w:eastAsia="zh-CN"/>
                    </w:rPr>
                  </w:pPr>
                  <w:r>
                    <w:rPr>
                      <w:rFonts w:hint="eastAsia" w:ascii="Times New Roman" w:hAnsi="Times New Roman" w:eastAsia="宋体" w:cs="宋体"/>
                      <w:b w:val="0"/>
                      <w:bCs w:val="0"/>
                      <w:color w:val="000000"/>
                      <w:kern w:val="0"/>
                      <w:sz w:val="21"/>
                      <w:lang w:val="en-US" w:eastAsia="zh-CN"/>
                    </w:rPr>
                    <w:t>新建</w:t>
                  </w:r>
                </w:p>
              </w:tc>
              <w:tc>
                <w:tcPr>
                  <w:tcW w:w="1296" w:type="dxa"/>
                  <w:noWrap w:val="0"/>
                  <w:vAlign w:val="center"/>
                </w:tcPr>
                <w:p w14:paraId="69ADD5AE">
                  <w:pPr>
                    <w:pStyle w:val="52"/>
                    <w:tabs>
                      <w:tab w:val="left" w:pos="1980"/>
                      <w:tab w:val="left" w:pos="3825"/>
                      <w:tab w:val="left" w:pos="4680"/>
                      <w:tab w:val="clear" w:pos="0"/>
                    </w:tabs>
                    <w:autoSpaceDE/>
                    <w:autoSpaceDN/>
                    <w:adjustRightInd/>
                    <w:snapToGrid/>
                    <w:spacing w:line="240" w:lineRule="auto"/>
                    <w:ind w:firstLine="0" w:firstLineChars="0"/>
                    <w:jc w:val="center"/>
                    <w:textAlignment w:val="auto"/>
                    <w:rPr>
                      <w:rFonts w:hint="default" w:ascii="Times New Roman" w:hAnsi="Times New Roman" w:eastAsia="宋体" w:cs="宋体"/>
                      <w:b w:val="0"/>
                      <w:bCs w:val="0"/>
                      <w:color w:val="000000"/>
                      <w:kern w:val="0"/>
                      <w:sz w:val="21"/>
                      <w:lang w:val="en-US" w:eastAsia="zh-CN"/>
                    </w:rPr>
                  </w:pPr>
                  <w:r>
                    <w:rPr>
                      <w:rFonts w:hint="default" w:ascii="Times New Roman" w:hAnsi="Times New Roman" w:eastAsia="宋体" w:cs="宋体"/>
                      <w:b w:val="0"/>
                      <w:bCs w:val="0"/>
                      <w:color w:val="000000"/>
                      <w:kern w:val="0"/>
                      <w:sz w:val="21"/>
                      <w:lang w:val="en-US" w:eastAsia="zh-CN"/>
                    </w:rPr>
                    <w:t>年产1万</w:t>
                  </w:r>
                  <w:r>
                    <w:rPr>
                      <w:rFonts w:hint="eastAsia" w:ascii="Times New Roman" w:hAnsi="Times New Roman" w:eastAsia="宋体" w:cs="宋体"/>
                      <w:b w:val="0"/>
                      <w:bCs w:val="0"/>
                      <w:color w:val="000000"/>
                      <w:kern w:val="0"/>
                      <w:sz w:val="21"/>
                      <w:lang w:val="en-US" w:eastAsia="zh-CN"/>
                    </w:rPr>
                    <w:t>吨黄酒</w:t>
                  </w:r>
                </w:p>
              </w:tc>
              <w:tc>
                <w:tcPr>
                  <w:tcW w:w="1763" w:type="dxa"/>
                  <w:noWrap w:val="0"/>
                  <w:vAlign w:val="center"/>
                </w:tcPr>
                <w:p w14:paraId="11C3BD07">
                  <w:pPr>
                    <w:spacing w:line="240" w:lineRule="auto"/>
                    <w:ind w:firstLine="0" w:firstLineChars="0"/>
                    <w:jc w:val="center"/>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福建省环境保护总公司</w:t>
                  </w:r>
                </w:p>
              </w:tc>
              <w:tc>
                <w:tcPr>
                  <w:tcW w:w="2000" w:type="dxa"/>
                  <w:noWrap w:val="0"/>
                  <w:vAlign w:val="center"/>
                </w:tcPr>
                <w:p w14:paraId="71F8E338">
                  <w:pPr>
                    <w:spacing w:line="240" w:lineRule="auto"/>
                    <w:ind w:firstLine="0" w:firstLineChars="0"/>
                    <w:jc w:val="center"/>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侯环保[2008]106号</w:t>
                  </w:r>
                </w:p>
              </w:tc>
              <w:tc>
                <w:tcPr>
                  <w:tcW w:w="1474" w:type="dxa"/>
                  <w:noWrap w:val="0"/>
                  <w:vAlign w:val="center"/>
                </w:tcPr>
                <w:p w14:paraId="2E0F3594">
                  <w:pPr>
                    <w:spacing w:line="240" w:lineRule="auto"/>
                    <w:ind w:firstLine="0" w:firstLineChars="0"/>
                    <w:jc w:val="center"/>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2008年12月15日</w:t>
                  </w:r>
                </w:p>
              </w:tc>
              <w:tc>
                <w:tcPr>
                  <w:tcW w:w="1151" w:type="dxa"/>
                  <w:noWrap w:val="0"/>
                  <w:vAlign w:val="center"/>
                </w:tcPr>
                <w:p w14:paraId="302D6082">
                  <w:pPr>
                    <w:spacing w:line="240" w:lineRule="auto"/>
                    <w:ind w:firstLine="0" w:firstLineChars="0"/>
                    <w:jc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w:t>
                  </w:r>
                  <w:r>
                    <w:rPr>
                      <w:rFonts w:hint="eastAsia" w:ascii="Times New Roman" w:hAnsi="Times New Roman" w:eastAsia="宋体" w:cs="Times New Roman"/>
                      <w:color w:val="000000"/>
                      <w:sz w:val="21"/>
                      <w:szCs w:val="21"/>
                      <w:vertAlign w:val="baseline"/>
                      <w:lang w:val="en-US" w:eastAsia="zh-CN"/>
                    </w:rPr>
                    <w:t>16</w:t>
                  </w:r>
                  <w:r>
                    <w:rPr>
                      <w:rFonts w:hint="default" w:ascii="Times New Roman" w:hAnsi="Times New Roman" w:eastAsia="宋体" w:cs="Times New Roman"/>
                      <w:color w:val="000000"/>
                      <w:sz w:val="21"/>
                      <w:szCs w:val="21"/>
                      <w:vertAlign w:val="baseline"/>
                      <w:lang w:val="en-US" w:eastAsia="zh-CN"/>
                    </w:rPr>
                    <w:t>年</w:t>
                  </w:r>
                  <w:r>
                    <w:rPr>
                      <w:rFonts w:hint="eastAsia" w:ascii="Times New Roman" w:hAnsi="Times New Roman" w:eastAsia="宋体" w:cs="Times New Roman"/>
                      <w:color w:val="000000"/>
                      <w:sz w:val="21"/>
                      <w:szCs w:val="21"/>
                      <w:vertAlign w:val="baseline"/>
                      <w:lang w:val="en-US" w:eastAsia="zh-CN"/>
                    </w:rPr>
                    <w:t>12</w:t>
                  </w:r>
                  <w:r>
                    <w:rPr>
                      <w:rFonts w:hint="default" w:ascii="Times New Roman" w:hAnsi="Times New Roman" w:eastAsia="宋体" w:cs="Times New Roman"/>
                      <w:color w:val="000000"/>
                      <w:sz w:val="21"/>
                      <w:szCs w:val="21"/>
                      <w:vertAlign w:val="baseline"/>
                      <w:lang w:val="en-US" w:eastAsia="zh-CN"/>
                    </w:rPr>
                    <w:t>月</w:t>
                  </w:r>
                  <w:r>
                    <w:rPr>
                      <w:rFonts w:hint="eastAsia" w:ascii="Times New Roman" w:hAnsi="Times New Roman" w:eastAsia="宋体" w:cs="Times New Roman"/>
                      <w:color w:val="000000"/>
                      <w:sz w:val="21"/>
                      <w:szCs w:val="21"/>
                      <w:vertAlign w:val="baseline"/>
                      <w:lang w:val="en-US" w:eastAsia="zh-CN"/>
                    </w:rPr>
                    <w:t>21日</w:t>
                  </w:r>
                </w:p>
              </w:tc>
            </w:tr>
          </w:tbl>
          <w:p w14:paraId="36E387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highlight w:val="none"/>
                <w:lang w:val="en-US" w:eastAsia="zh-CN"/>
              </w:rPr>
            </w:pPr>
            <w:r>
              <w:rPr>
                <w:rFonts w:hint="eastAsia" w:ascii="Times New Roman" w:hAnsi="Times New Roman" w:eastAsia="宋体" w:cs="Times New Roman"/>
                <w:b/>
                <w:bCs/>
                <w:highlight w:val="none"/>
                <w:lang w:val="en-US" w:eastAsia="zh-CN"/>
              </w:rPr>
              <w:t>表2.6-2 现有工程产品方案一览表</w:t>
            </w:r>
          </w:p>
          <w:tbl>
            <w:tblPr>
              <w:tblStyle w:val="21"/>
              <w:tblW w:w="4945"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27"/>
              <w:gridCol w:w="5512"/>
            </w:tblGrid>
            <w:tr w14:paraId="0B43B56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01" w:type="dxa"/>
                  <w:noWrap w:val="0"/>
                  <w:vAlign w:val="center"/>
                </w:tcPr>
                <w:p w14:paraId="1FF4A4B4">
                  <w:pPr>
                    <w:spacing w:line="240" w:lineRule="auto"/>
                    <w:ind w:firstLine="0" w:firstLineChars="0"/>
                    <w:jc w:val="center"/>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产品名称</w:t>
                  </w:r>
                </w:p>
              </w:tc>
              <w:tc>
                <w:tcPr>
                  <w:tcW w:w="5258" w:type="dxa"/>
                  <w:noWrap w:val="0"/>
                  <w:vAlign w:val="center"/>
                </w:tcPr>
                <w:p w14:paraId="525AEA6B">
                  <w:pPr>
                    <w:spacing w:line="240" w:lineRule="auto"/>
                    <w:ind w:firstLine="0" w:firstLineChars="0"/>
                    <w:jc w:val="center"/>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产品产量</w:t>
                  </w:r>
                </w:p>
              </w:tc>
            </w:tr>
            <w:tr w14:paraId="3F83BA3B">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01" w:type="dxa"/>
                  <w:noWrap w:val="0"/>
                  <w:vAlign w:val="center"/>
                </w:tcPr>
                <w:p w14:paraId="4F3FFE77">
                  <w:pPr>
                    <w:spacing w:line="240" w:lineRule="auto"/>
                    <w:ind w:firstLine="0" w:firstLineChars="0"/>
                    <w:jc w:val="center"/>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黄酒</w:t>
                  </w:r>
                </w:p>
              </w:tc>
              <w:tc>
                <w:tcPr>
                  <w:tcW w:w="5258" w:type="dxa"/>
                  <w:noWrap w:val="0"/>
                  <w:vAlign w:val="center"/>
                </w:tcPr>
                <w:p w14:paraId="2344C395">
                  <w:pPr>
                    <w:spacing w:line="240" w:lineRule="auto"/>
                    <w:ind w:firstLine="0" w:firstLineChars="0"/>
                    <w:jc w:val="center"/>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lang w:val="en-US" w:eastAsia="zh-CN"/>
                    </w:rPr>
                    <w:t>万</w:t>
                  </w:r>
                  <w:r>
                    <w:rPr>
                      <w:rFonts w:hint="eastAsia" w:ascii="Times New Roman" w:hAnsi="Times New Roman" w:cs="Times New Roman"/>
                      <w:color w:val="000000"/>
                      <w:sz w:val="21"/>
                      <w:szCs w:val="21"/>
                      <w:lang w:val="en-US" w:eastAsia="zh-CN"/>
                    </w:rPr>
                    <w:t>吨/年</w:t>
                  </w:r>
                </w:p>
              </w:tc>
            </w:tr>
          </w:tbl>
          <w:p w14:paraId="54AD2BB2">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eastAsia="宋体" w:cs="Times New Roman"/>
                <w:b/>
                <w:color w:val="auto"/>
                <w:sz w:val="30"/>
                <w:szCs w:val="30"/>
                <w:lang w:val="en-US" w:eastAsia="zh-CN"/>
              </w:rPr>
            </w:pPr>
            <w:bookmarkStart w:id="22" w:name="_Toc11054"/>
            <w:r>
              <w:rPr>
                <w:rFonts w:hint="eastAsia" w:ascii="Times New Roman" w:hAnsi="Times New Roman" w:eastAsia="宋体" w:cs="Times New Roman"/>
                <w:b/>
                <w:color w:val="auto"/>
                <w:sz w:val="30"/>
                <w:szCs w:val="30"/>
                <w:lang w:val="en-US" w:eastAsia="zh-CN"/>
              </w:rPr>
              <w:t>2.6.2</w:t>
            </w:r>
            <w:r>
              <w:rPr>
                <w:rFonts w:hint="default" w:ascii="Times New Roman" w:hAnsi="Times New Roman" w:eastAsia="宋体" w:cs="Times New Roman"/>
                <w:b/>
                <w:color w:val="auto"/>
                <w:sz w:val="30"/>
                <w:szCs w:val="30"/>
              </w:rPr>
              <w:t>项目</w:t>
            </w:r>
            <w:r>
              <w:rPr>
                <w:rFonts w:hint="default" w:ascii="Times New Roman" w:hAnsi="Times New Roman" w:eastAsia="宋体" w:cs="Times New Roman"/>
                <w:b/>
                <w:color w:val="auto"/>
                <w:sz w:val="30"/>
                <w:szCs w:val="30"/>
                <w:lang w:eastAsia="zh-CN"/>
              </w:rPr>
              <w:t>工艺流程和产污环节</w:t>
            </w:r>
          </w:p>
          <w:p w14:paraId="70111B49">
            <w:pPr>
              <w:pStyle w:val="14"/>
              <w:numPr>
                <w:ilvl w:val="0"/>
                <w:numId w:val="2"/>
              </w:numPr>
              <w:ind w:firstLine="48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工艺流程</w:t>
            </w:r>
          </w:p>
          <w:p w14:paraId="3DC8C334">
            <w:pPr>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现有工程的工艺流程详见下图</w:t>
            </w:r>
            <w:r>
              <w:rPr>
                <w:rFonts w:hint="default" w:ascii="Times New Roman" w:hAnsi="Times New Roman" w:eastAsia="宋体" w:cs="Times New Roman"/>
                <w:color w:val="auto"/>
                <w:lang w:val="en-US" w:eastAsia="zh-CN"/>
              </w:rPr>
              <w:t>2</w:t>
            </w:r>
            <w:r>
              <w:rPr>
                <w:rFonts w:hint="eastAsia" w:ascii="Times New Roman" w:hAnsi="Times New Roman" w:eastAsia="宋体" w:cs="Times New Roman"/>
                <w:color w:val="auto"/>
                <w:lang w:val="en-US" w:eastAsia="zh-CN"/>
              </w:rPr>
              <w:t>.6-1、2.6-2</w:t>
            </w:r>
            <w:r>
              <w:rPr>
                <w:rFonts w:hint="default" w:ascii="Times New Roman" w:hAnsi="Times New Roman" w:eastAsia="宋体" w:cs="Times New Roman"/>
                <w:color w:val="auto"/>
                <w:lang w:val="en-US" w:eastAsia="zh-CN"/>
              </w:rPr>
              <w:t>。</w:t>
            </w:r>
          </w:p>
          <w:p w14:paraId="7657D158">
            <w:pPr>
              <w:pStyle w:val="4"/>
              <w:numPr>
                <w:ilvl w:val="1"/>
                <w:numId w:val="0"/>
              </w:numPr>
              <w:tabs>
                <w:tab w:val="clear" w:pos="420"/>
              </w:tabs>
              <w:ind w:leftChars="0"/>
              <w:jc w:val="center"/>
            </w:pPr>
            <w:r>
              <w:drawing>
                <wp:inline distT="0" distB="0" distL="114300" distR="114300">
                  <wp:extent cx="3953510" cy="4404360"/>
                  <wp:effectExtent l="0" t="0" r="8890" b="1524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11"/>
                          <a:stretch>
                            <a:fillRect/>
                          </a:stretch>
                        </pic:blipFill>
                        <pic:spPr>
                          <a:xfrm>
                            <a:off x="0" y="0"/>
                            <a:ext cx="3953510" cy="4404360"/>
                          </a:xfrm>
                          <a:prstGeom prst="rect">
                            <a:avLst/>
                          </a:prstGeom>
                          <a:noFill/>
                          <a:ln>
                            <a:noFill/>
                          </a:ln>
                        </pic:spPr>
                      </pic:pic>
                    </a:graphicData>
                  </a:graphic>
                </wp:inline>
              </w:drawing>
            </w:r>
          </w:p>
          <w:p w14:paraId="57F08F97">
            <w:pPr>
              <w:pStyle w:val="10"/>
              <w:tabs>
                <w:tab w:val="left" w:pos="3300"/>
              </w:tabs>
              <w:spacing w:line="360" w:lineRule="auto"/>
              <w:ind w:firstLine="422" w:firstLineChars="200"/>
              <w:jc w:val="center"/>
              <w:rPr>
                <w:rFonts w:hint="eastAsia" w:ascii="宋体" w:hAnsi="宋体" w:cs="宋体"/>
                <w:b/>
                <w:kern w:val="0"/>
                <w:sz w:val="21"/>
                <w:szCs w:val="21"/>
                <w:lang w:val="en-US" w:eastAsia="zh-CN" w:bidi="ar-SA"/>
              </w:rPr>
            </w:pPr>
            <w:r>
              <w:rPr>
                <w:rFonts w:hint="default" w:ascii="Times New Roman" w:hAnsi="Times New Roman" w:eastAsia="宋体" w:cs="Times New Roman"/>
                <w:b/>
                <w:bCs/>
                <w:sz w:val="21"/>
                <w:szCs w:val="21"/>
              </w:rPr>
              <w:t>图</w:t>
            </w:r>
            <w:r>
              <w:rPr>
                <w:rFonts w:hint="eastAsia" w:ascii="Times New Roman" w:hAnsi="Times New Roman" w:cs="Times New Roman"/>
                <w:b/>
                <w:bCs/>
                <w:sz w:val="21"/>
                <w:szCs w:val="21"/>
                <w:lang w:val="en-US" w:eastAsia="zh-CN"/>
              </w:rPr>
              <w:t>2.6-1</w:t>
            </w:r>
            <w:r>
              <w:rPr>
                <w:rFonts w:hint="default" w:ascii="Times New Roman" w:hAnsi="Times New Roman" w:eastAsia="宋体" w:cs="Times New Roman"/>
                <w:b/>
                <w:bCs/>
                <w:sz w:val="21"/>
                <w:szCs w:val="21"/>
              </w:rPr>
              <w:t xml:space="preserve">  </w:t>
            </w:r>
            <w:r>
              <w:rPr>
                <w:rFonts w:hint="eastAsia" w:ascii="宋体" w:hAnsi="宋体" w:cs="宋体"/>
                <w:b/>
                <w:kern w:val="0"/>
                <w:sz w:val="21"/>
                <w:szCs w:val="21"/>
                <w:lang w:val="en-US" w:eastAsia="zh-CN" w:bidi="ar-SA"/>
              </w:rPr>
              <w:t>黄酒生产工艺流程及产污途径图</w:t>
            </w:r>
          </w:p>
          <w:p w14:paraId="541D2F00">
            <w:pPr>
              <w:ind w:left="0" w:leftChars="0" w:firstLine="0" w:firstLineChars="0"/>
              <w:jc w:val="left"/>
            </w:pPr>
            <w:r>
              <w:drawing>
                <wp:inline distT="0" distB="0" distL="114300" distR="114300">
                  <wp:extent cx="5288915" cy="1209040"/>
                  <wp:effectExtent l="0" t="0" r="6985" b="10160"/>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12"/>
                          <a:stretch>
                            <a:fillRect/>
                          </a:stretch>
                        </pic:blipFill>
                        <pic:spPr>
                          <a:xfrm>
                            <a:off x="0" y="0"/>
                            <a:ext cx="5288915" cy="1209040"/>
                          </a:xfrm>
                          <a:prstGeom prst="rect">
                            <a:avLst/>
                          </a:prstGeom>
                          <a:noFill/>
                          <a:ln>
                            <a:noFill/>
                          </a:ln>
                        </pic:spPr>
                      </pic:pic>
                    </a:graphicData>
                  </a:graphic>
                </wp:inline>
              </w:drawing>
            </w:r>
          </w:p>
          <w:p w14:paraId="74F56B37">
            <w:pPr>
              <w:jc w:val="center"/>
              <w:rPr>
                <w:rFonts w:hint="default"/>
              </w:rPr>
            </w:pPr>
            <w:r>
              <w:rPr>
                <w:rFonts w:hint="default" w:ascii="Times New Roman" w:hAnsi="Times New Roman" w:eastAsia="宋体" w:cs="Times New Roman"/>
                <w:b/>
                <w:bCs/>
                <w:sz w:val="21"/>
                <w:szCs w:val="21"/>
              </w:rPr>
              <w:t>图</w:t>
            </w:r>
            <w:r>
              <w:rPr>
                <w:rFonts w:hint="eastAsia" w:ascii="Times New Roman" w:hAnsi="Times New Roman" w:cs="Times New Roman"/>
                <w:b/>
                <w:bCs/>
                <w:sz w:val="21"/>
                <w:szCs w:val="21"/>
                <w:lang w:val="en-US" w:eastAsia="zh-CN"/>
              </w:rPr>
              <w:t>2.6-2</w:t>
            </w:r>
            <w:r>
              <w:rPr>
                <w:rFonts w:hint="default" w:ascii="Times New Roman" w:hAnsi="Times New Roman" w:eastAsia="宋体" w:cs="Times New Roman"/>
                <w:b/>
                <w:bCs/>
                <w:sz w:val="21"/>
                <w:szCs w:val="21"/>
              </w:rPr>
              <w:t xml:space="preserve">  </w:t>
            </w:r>
            <w:r>
              <w:rPr>
                <w:rFonts w:hint="eastAsia" w:ascii="宋体" w:hAnsi="宋体" w:cs="宋体"/>
                <w:b/>
                <w:kern w:val="0"/>
                <w:sz w:val="21"/>
                <w:szCs w:val="21"/>
                <w:lang w:val="en-US" w:eastAsia="zh-CN" w:bidi="ar-SA"/>
              </w:rPr>
              <w:t>瓶酒灌装生产工艺流程及产污途径图</w:t>
            </w:r>
          </w:p>
          <w:p w14:paraId="19671286">
            <w:pPr>
              <w:pStyle w:val="4"/>
              <w:rPr>
                <w:rFonts w:hint="default" w:ascii="Times New Roman" w:hAnsi="Times New Roman" w:cs="Times New Roman"/>
                <w:color w:val="auto"/>
              </w:rPr>
            </w:pPr>
            <w:r>
              <w:rPr>
                <w:rFonts w:hint="default" w:ascii="Times New Roman" w:hAnsi="Times New Roman" w:cs="Times New Roman"/>
                <w:color w:val="auto"/>
              </w:rPr>
              <w:t>现有项目</w:t>
            </w:r>
            <w:bookmarkEnd w:id="22"/>
            <w:r>
              <w:rPr>
                <w:rFonts w:hint="default" w:ascii="Times New Roman" w:hAnsi="Times New Roman" w:cs="Times New Roman"/>
                <w:color w:val="auto"/>
              </w:rPr>
              <w:t>污染物产生及排放情况</w:t>
            </w:r>
          </w:p>
          <w:p w14:paraId="51DE3EB6">
            <w:pPr>
              <w:pStyle w:val="14"/>
              <w:ind w:firstLine="480"/>
              <w:rPr>
                <w:rFonts w:hint="default" w:ascii="Times New Roman" w:hAnsi="Times New Roman" w:cs="Times New Roman"/>
                <w:color w:val="auto"/>
              </w:rPr>
            </w:pPr>
            <w:r>
              <w:rPr>
                <w:rFonts w:hint="default" w:ascii="Times New Roman" w:hAnsi="Times New Roman" w:cs="Times New Roman"/>
                <w:color w:val="auto"/>
              </w:rPr>
              <w:t>根据项目环境保护竣工验收报告、企业排污许可证及自行监测内容可知：</w:t>
            </w:r>
          </w:p>
          <w:p w14:paraId="2D8103C5">
            <w:pPr>
              <w:pStyle w:val="14"/>
              <w:numPr>
                <w:ilvl w:val="0"/>
                <w:numId w:val="2"/>
              </w:numPr>
              <w:ind w:firstLine="480"/>
              <w:rPr>
                <w:rFonts w:hint="default" w:ascii="Times New Roman" w:hAnsi="Times New Roman" w:cs="Times New Roman"/>
                <w:color w:val="auto"/>
              </w:rPr>
            </w:pPr>
            <w:r>
              <w:rPr>
                <w:rFonts w:hint="default" w:ascii="Times New Roman" w:hAnsi="Times New Roman" w:cs="Times New Roman"/>
                <w:color w:val="auto"/>
              </w:rPr>
              <w:t>废水：</w:t>
            </w:r>
            <w:r>
              <w:rPr>
                <w:rFonts w:hint="eastAsia" w:cs="Times New Roman"/>
                <w:color w:val="auto"/>
                <w:lang w:eastAsia="zh-CN"/>
              </w:rPr>
              <w:t>公司现建设有污水处理设施</w:t>
            </w:r>
            <w:r>
              <w:rPr>
                <w:rFonts w:hint="eastAsia" w:cs="Times New Roman"/>
                <w:color w:val="auto"/>
                <w:lang w:val="en-US" w:eastAsia="zh-CN"/>
              </w:rPr>
              <w:t>1套，日处理污水能力600吨，生产废水和生活污水经污水处理站处理，经预处理并达到纳管标准后的污水</w:t>
            </w:r>
            <w:r>
              <w:rPr>
                <w:rFonts w:hint="default" w:ascii="Times New Roman" w:hAnsi="Times New Roman" w:cs="Times New Roman"/>
                <w:color w:val="auto"/>
              </w:rPr>
              <w:t>后排入</w:t>
            </w:r>
            <w:r>
              <w:rPr>
                <w:rFonts w:hint="eastAsia" w:cs="Times New Roman"/>
                <w:color w:val="auto"/>
                <w:lang w:eastAsia="zh-CN"/>
              </w:rPr>
              <w:t>工业园区</w:t>
            </w:r>
            <w:r>
              <w:rPr>
                <w:rFonts w:hint="default" w:ascii="Times New Roman" w:hAnsi="Times New Roman" w:cs="Times New Roman"/>
                <w:color w:val="auto"/>
              </w:rPr>
              <w:t>污水管网</w:t>
            </w:r>
            <w:r>
              <w:rPr>
                <w:rFonts w:hint="eastAsia" w:cs="Times New Roman"/>
                <w:color w:val="auto"/>
                <w:lang w:eastAsia="zh-CN"/>
              </w:rPr>
              <w:t>厂区内给排水实行雨污分流制，管道按照雨污分流原则设置，雨水接至厂外雨水沟排放。</w:t>
            </w:r>
            <w:r>
              <w:rPr>
                <w:rFonts w:hint="default" w:ascii="Times New Roman" w:hAnsi="Times New Roman" w:cs="Times New Roman"/>
                <w:color w:val="auto"/>
              </w:rPr>
              <w:t>。根据验收监测结果可知，本项目废水排放口各监测指标排放浓度均达到GB89787-1996《污水综合排放标准》表4中三级标准。</w:t>
            </w:r>
          </w:p>
          <w:p w14:paraId="487A2674">
            <w:pPr>
              <w:pStyle w:val="14"/>
              <w:numPr>
                <w:ilvl w:val="0"/>
                <w:numId w:val="2"/>
              </w:numPr>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废气：项目</w:t>
            </w:r>
            <w:r>
              <w:rPr>
                <w:rFonts w:hint="eastAsia" w:ascii="Times New Roman" w:hAnsi="Times New Roman" w:eastAsia="宋体" w:cs="Times New Roman"/>
                <w:color w:val="auto"/>
                <w:lang w:eastAsia="zh-CN"/>
              </w:rPr>
              <w:t>15吨燃煤锅炉</w:t>
            </w:r>
            <w:r>
              <w:rPr>
                <w:rFonts w:hint="default" w:ascii="Times New Roman" w:hAnsi="Times New Roman" w:eastAsia="宋体" w:cs="Times New Roman"/>
                <w:color w:val="auto"/>
              </w:rPr>
              <w:t>经</w:t>
            </w:r>
            <w:r>
              <w:rPr>
                <w:rFonts w:hint="eastAsia" w:ascii="Times New Roman" w:hAnsi="Times New Roman" w:eastAsia="宋体" w:cs="Times New Roman"/>
                <w:color w:val="auto"/>
                <w:lang w:eastAsia="zh-CN"/>
              </w:rPr>
              <w:t>风机收集</w:t>
            </w:r>
            <w:r>
              <w:rPr>
                <w:rFonts w:hint="default" w:ascii="Times New Roman" w:hAnsi="Times New Roman" w:eastAsia="宋体" w:cs="Times New Roman"/>
                <w:color w:val="auto"/>
              </w:rPr>
              <w:t>后，</w:t>
            </w:r>
            <w:r>
              <w:rPr>
                <w:rFonts w:hint="eastAsia" w:ascii="Times New Roman" w:hAnsi="Times New Roman" w:eastAsia="宋体" w:cs="Times New Roman"/>
                <w:color w:val="auto"/>
                <w:lang w:eastAsia="zh-CN"/>
              </w:rPr>
              <w:t>经水膜除尘器进行除尘、脱硫处理，</w:t>
            </w:r>
            <w:r>
              <w:rPr>
                <w:rFonts w:hint="default" w:ascii="Times New Roman" w:hAnsi="Times New Roman" w:eastAsia="宋体" w:cs="Times New Roman"/>
                <w:color w:val="auto"/>
              </w:rPr>
              <w:t>通过</w:t>
            </w:r>
            <w:r>
              <w:rPr>
                <w:rFonts w:hint="eastAsia" w:ascii="Times New Roman" w:hAnsi="Times New Roman" w:eastAsia="宋体" w:cs="Times New Roman"/>
                <w:color w:val="auto"/>
                <w:lang w:val="en-US" w:eastAsia="zh-CN"/>
              </w:rPr>
              <w:t>18</w:t>
            </w:r>
            <w:r>
              <w:rPr>
                <w:rFonts w:hint="default" w:ascii="Times New Roman" w:hAnsi="Times New Roman" w:eastAsia="宋体" w:cs="Times New Roman"/>
                <w:color w:val="auto"/>
              </w:rPr>
              <w:t>m高的排气筒排放</w:t>
            </w:r>
            <w:r>
              <w:rPr>
                <w:rFonts w:hint="eastAsia" w:ascii="Times New Roman" w:hAnsi="Times New Roman" w:eastAsia="宋体" w:cs="Times New Roman"/>
                <w:color w:val="auto"/>
                <w:lang w:eastAsia="zh-CN"/>
              </w:rPr>
              <w:t>，除尘废水经沉淀池沉淀后循环使用不外排。废气排放达到</w:t>
            </w:r>
            <w:r>
              <w:rPr>
                <w:rFonts w:hint="default" w:ascii="Times New Roman" w:hAnsi="Times New Roman" w:eastAsia="宋体" w:cs="Times New Roman"/>
                <w:color w:val="auto"/>
              </w:rPr>
              <w:t>GB13271-2014《锅炉大气污染物排放标准》中表3</w:t>
            </w:r>
            <w:r>
              <w:rPr>
                <w:rFonts w:hint="eastAsia" w:ascii="Times New Roman" w:hAnsi="Times New Roman" w:eastAsia="宋体" w:cs="Times New Roman"/>
                <w:color w:val="auto"/>
                <w:lang w:eastAsia="zh-CN"/>
              </w:rPr>
              <w:t>燃煤</w:t>
            </w:r>
            <w:r>
              <w:rPr>
                <w:rFonts w:hint="default" w:ascii="Times New Roman" w:hAnsi="Times New Roman" w:eastAsia="宋体" w:cs="Times New Roman"/>
                <w:color w:val="auto"/>
              </w:rPr>
              <w:t>标准。</w:t>
            </w:r>
            <w:r>
              <w:rPr>
                <w:rFonts w:hint="eastAsia" w:ascii="Times New Roman" w:hAnsi="Times New Roman" w:eastAsia="宋体" w:cs="Times New Roman"/>
                <w:color w:val="auto"/>
                <w:lang w:val="en-US" w:eastAsia="zh-CN"/>
              </w:rPr>
              <w:t xml:space="preserve">            </w:t>
            </w:r>
          </w:p>
          <w:p w14:paraId="11082DBF">
            <w:pPr>
              <w:pStyle w:val="14"/>
              <w:numPr>
                <w:ilvl w:val="0"/>
                <w:numId w:val="0"/>
              </w:numPr>
              <w:ind w:firstLine="480" w:firstLineChars="200"/>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建设单位于</w:t>
            </w:r>
            <w:r>
              <w:rPr>
                <w:rFonts w:hint="eastAsia" w:ascii="Times New Roman" w:hAnsi="Times New Roman" w:eastAsia="宋体" w:cs="Times New Roman"/>
                <w:color w:val="auto"/>
                <w:lang w:val="en-US" w:eastAsia="zh-CN"/>
              </w:rPr>
              <w:t>2021年4月1日~4月7日</w:t>
            </w:r>
            <w:r>
              <w:rPr>
                <w:rFonts w:hint="default" w:ascii="Times New Roman" w:hAnsi="Times New Roman" w:eastAsia="宋体" w:cs="Times New Roman"/>
                <w:color w:val="auto"/>
                <w:lang w:val="en-US" w:eastAsia="zh-CN"/>
              </w:rPr>
              <w:t>委托</w:t>
            </w:r>
            <w:r>
              <w:rPr>
                <w:rFonts w:hint="eastAsia" w:ascii="Times New Roman" w:hAnsi="Times New Roman" w:eastAsia="宋体" w:cs="Times New Roman"/>
                <w:color w:val="auto"/>
                <w:lang w:val="en-US" w:eastAsia="zh-CN"/>
              </w:rPr>
              <w:t>福建拓普检测技术有限公司</w:t>
            </w:r>
            <w:r>
              <w:rPr>
                <w:rFonts w:hint="default" w:ascii="Times New Roman" w:hAnsi="Times New Roman" w:eastAsia="宋体" w:cs="Times New Roman"/>
                <w:color w:val="auto"/>
                <w:lang w:val="en-US" w:eastAsia="zh-CN"/>
              </w:rPr>
              <w:t>对现有工程进行</w:t>
            </w:r>
            <w:r>
              <w:rPr>
                <w:rFonts w:hint="eastAsia" w:ascii="Times New Roman" w:hAnsi="Times New Roman" w:eastAsia="宋体" w:cs="Times New Roman"/>
                <w:color w:val="auto"/>
                <w:lang w:val="en-US" w:eastAsia="zh-CN"/>
              </w:rPr>
              <w:t>自行</w:t>
            </w:r>
            <w:r>
              <w:rPr>
                <w:rFonts w:hint="default" w:ascii="Times New Roman" w:hAnsi="Times New Roman" w:eastAsia="宋体" w:cs="Times New Roman"/>
                <w:color w:val="auto"/>
                <w:lang w:val="en-US" w:eastAsia="zh-CN"/>
              </w:rPr>
              <w:t>检测，检测报告编号为：</w:t>
            </w:r>
            <w:r>
              <w:rPr>
                <w:rFonts w:hint="eastAsia" w:ascii="Times New Roman" w:hAnsi="Times New Roman" w:eastAsia="宋体" w:cs="Times New Roman"/>
                <w:color w:val="auto"/>
                <w:lang w:val="en-US" w:eastAsia="zh-CN"/>
              </w:rPr>
              <w:t>CTPF20HJ0343-5</w:t>
            </w:r>
            <w:r>
              <w:rPr>
                <w:rFonts w:hint="default" w:ascii="Times New Roman" w:hAnsi="Times New Roman" w:eastAsia="宋体" w:cs="Times New Roman"/>
                <w:color w:val="auto"/>
                <w:lang w:eastAsia="zh-CN"/>
              </w:rPr>
              <w:t>，则检测报告中</w:t>
            </w:r>
            <w:r>
              <w:rPr>
                <w:rFonts w:hint="eastAsia" w:ascii="Times New Roman" w:hAnsi="Times New Roman" w:eastAsia="宋体" w:cs="Times New Roman"/>
                <w:color w:val="auto"/>
                <w:lang w:val="en-US" w:eastAsia="zh-CN"/>
              </w:rPr>
              <w:t>有组织</w:t>
            </w:r>
            <w:r>
              <w:rPr>
                <w:rFonts w:hint="eastAsia" w:ascii="Times New Roman" w:hAnsi="Times New Roman" w:eastAsia="宋体" w:cs="Times New Roman"/>
                <w:color w:val="auto"/>
                <w:lang w:eastAsia="zh-CN"/>
              </w:rPr>
              <w:t>废气</w:t>
            </w:r>
            <w:r>
              <w:rPr>
                <w:rFonts w:hint="default" w:ascii="Times New Roman" w:hAnsi="Times New Roman" w:eastAsia="宋体" w:cs="Times New Roman"/>
                <w:color w:val="auto"/>
                <w:lang w:eastAsia="zh-CN"/>
              </w:rPr>
              <w:t>排放情况详见表</w:t>
            </w:r>
            <w:r>
              <w:rPr>
                <w:rFonts w:hint="eastAsia" w:ascii="Times New Roman" w:hAnsi="Times New Roman" w:eastAsia="宋体" w:cs="Times New Roman"/>
                <w:color w:val="auto"/>
                <w:lang w:val="en-US" w:eastAsia="zh-CN"/>
              </w:rPr>
              <w:t>2.7-1。</w:t>
            </w:r>
          </w:p>
          <w:p w14:paraId="3A759595">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表2.7-1  有组织废气检测结果（</w:t>
            </w:r>
            <w:r>
              <w:rPr>
                <w:rFonts w:hint="eastAsia" w:cs="Times New Roman"/>
                <w:b/>
                <w:color w:val="auto"/>
                <w:lang w:eastAsia="zh-CN"/>
              </w:rPr>
              <w:t>15吨燃煤锅炉</w:t>
            </w:r>
            <w:r>
              <w:rPr>
                <w:rFonts w:hint="default" w:ascii="Times New Roman" w:hAnsi="Times New Roman" w:cs="Times New Roman"/>
                <w:b/>
                <w:color w:val="auto"/>
              </w:rPr>
              <w:t>）</w:t>
            </w:r>
          </w:p>
          <w:tbl>
            <w:tblPr>
              <w:tblStyle w:val="22"/>
              <w:tblW w:w="498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9"/>
              <w:gridCol w:w="572"/>
              <w:gridCol w:w="500"/>
              <w:gridCol w:w="738"/>
              <w:gridCol w:w="875"/>
              <w:gridCol w:w="912"/>
              <w:gridCol w:w="913"/>
              <w:gridCol w:w="987"/>
              <w:gridCol w:w="1138"/>
              <w:gridCol w:w="1187"/>
            </w:tblGrid>
            <w:tr w14:paraId="7B7CD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82" w:type="pct"/>
                  <w:vMerge w:val="restart"/>
                  <w:vAlign w:val="center"/>
                </w:tcPr>
                <w:p w14:paraId="4AFAD8B7">
                  <w:pPr>
                    <w:pStyle w:val="32"/>
                    <w:rPr>
                      <w:rFonts w:hint="eastAsia" w:ascii="Times New Roman" w:hAnsi="Times New Roman" w:eastAsia="宋体" w:cs="Times New Roman"/>
                      <w:b/>
                      <w:color w:val="auto"/>
                      <w:lang w:eastAsia="zh-CN"/>
                    </w:rPr>
                  </w:pPr>
                  <w:r>
                    <w:rPr>
                      <w:rFonts w:hint="eastAsia" w:cs="Times New Roman"/>
                      <w:b/>
                      <w:color w:val="auto"/>
                      <w:lang w:eastAsia="zh-CN"/>
                    </w:rPr>
                    <w:t>测点编号</w:t>
                  </w:r>
                </w:p>
              </w:tc>
              <w:tc>
                <w:tcPr>
                  <w:tcW w:w="344" w:type="pct"/>
                  <w:vMerge w:val="restart"/>
                  <w:vAlign w:val="center"/>
                </w:tcPr>
                <w:p w14:paraId="5014B4D7">
                  <w:pPr>
                    <w:pStyle w:val="32"/>
                    <w:rPr>
                      <w:rFonts w:hint="eastAsia" w:ascii="Times New Roman" w:hAnsi="Times New Roman" w:eastAsia="宋体" w:cs="Times New Roman"/>
                      <w:b/>
                      <w:color w:val="auto"/>
                      <w:lang w:eastAsia="zh-CN"/>
                    </w:rPr>
                  </w:pPr>
                  <w:r>
                    <w:rPr>
                      <w:rFonts w:hint="eastAsia" w:cs="Times New Roman"/>
                      <w:b/>
                      <w:color w:val="auto"/>
                      <w:lang w:eastAsia="zh-CN"/>
                    </w:rPr>
                    <w:t>测点名称</w:t>
                  </w:r>
                </w:p>
              </w:tc>
              <w:tc>
                <w:tcPr>
                  <w:tcW w:w="746" w:type="pct"/>
                  <w:gridSpan w:val="2"/>
                  <w:vMerge w:val="restart"/>
                  <w:vAlign w:val="center"/>
                </w:tcPr>
                <w:p w14:paraId="0DBF6F1F">
                  <w:pPr>
                    <w:pStyle w:val="32"/>
                    <w:rPr>
                      <w:rFonts w:hint="default" w:ascii="Times New Roman" w:hAnsi="Times New Roman" w:cs="Times New Roman"/>
                      <w:b/>
                      <w:color w:val="auto"/>
                    </w:rPr>
                  </w:pPr>
                  <w:r>
                    <w:rPr>
                      <w:rFonts w:hint="default" w:ascii="Times New Roman" w:hAnsi="Times New Roman" w:cs="Times New Roman"/>
                      <w:b/>
                      <w:color w:val="auto"/>
                    </w:rPr>
                    <w:t>检测项目</w:t>
                  </w:r>
                </w:p>
              </w:tc>
              <w:tc>
                <w:tcPr>
                  <w:tcW w:w="527" w:type="pct"/>
                  <w:vMerge w:val="restart"/>
                  <w:vAlign w:val="center"/>
                </w:tcPr>
                <w:p w14:paraId="463D0488">
                  <w:pPr>
                    <w:pStyle w:val="32"/>
                    <w:rPr>
                      <w:rFonts w:hint="default" w:ascii="Times New Roman" w:hAnsi="Times New Roman" w:cs="Times New Roman"/>
                      <w:b/>
                      <w:color w:val="auto"/>
                    </w:rPr>
                  </w:pPr>
                  <w:r>
                    <w:rPr>
                      <w:rFonts w:hint="default" w:ascii="Times New Roman" w:hAnsi="Times New Roman" w:cs="Times New Roman"/>
                      <w:b/>
                      <w:color w:val="auto"/>
                    </w:rPr>
                    <w:t>单位</w:t>
                  </w:r>
                </w:p>
              </w:tc>
              <w:tc>
                <w:tcPr>
                  <w:tcW w:w="2382" w:type="pct"/>
                  <w:gridSpan w:val="4"/>
                  <w:vAlign w:val="center"/>
                </w:tcPr>
                <w:p w14:paraId="3C34F1A4">
                  <w:pPr>
                    <w:pStyle w:val="32"/>
                    <w:rPr>
                      <w:rFonts w:hint="default" w:ascii="Times New Roman" w:hAnsi="Times New Roman" w:cs="Times New Roman"/>
                      <w:b/>
                      <w:color w:val="auto"/>
                    </w:rPr>
                  </w:pPr>
                  <w:r>
                    <w:rPr>
                      <w:rFonts w:hint="default" w:ascii="Times New Roman" w:hAnsi="Times New Roman" w:cs="Times New Roman"/>
                      <w:b/>
                      <w:color w:val="auto"/>
                    </w:rPr>
                    <w:t>检测结果</w:t>
                  </w:r>
                </w:p>
              </w:tc>
              <w:tc>
                <w:tcPr>
                  <w:tcW w:w="715" w:type="pct"/>
                  <w:vAlign w:val="center"/>
                </w:tcPr>
                <w:p w14:paraId="25E96769">
                  <w:pPr>
                    <w:pStyle w:val="32"/>
                    <w:rPr>
                      <w:rFonts w:hint="default" w:ascii="Times New Roman" w:hAnsi="Times New Roman" w:cs="Times New Roman"/>
                      <w:b/>
                      <w:color w:val="auto"/>
                    </w:rPr>
                  </w:pPr>
                  <w:r>
                    <w:rPr>
                      <w:rFonts w:hint="default" w:ascii="Times New Roman" w:hAnsi="Times New Roman" w:cs="Times New Roman"/>
                      <w:b/>
                      <w:color w:val="auto"/>
                    </w:rPr>
                    <w:t>标准限值</w:t>
                  </w:r>
                </w:p>
              </w:tc>
            </w:tr>
            <w:tr w14:paraId="5DA9E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82" w:type="pct"/>
                  <w:vMerge w:val="continue"/>
                  <w:vAlign w:val="center"/>
                </w:tcPr>
                <w:p w14:paraId="0643734B">
                  <w:pPr>
                    <w:pStyle w:val="32"/>
                    <w:rPr>
                      <w:rFonts w:hint="default" w:ascii="Times New Roman" w:hAnsi="Times New Roman" w:cs="Times New Roman"/>
                      <w:b/>
                      <w:color w:val="auto"/>
                    </w:rPr>
                  </w:pPr>
                </w:p>
              </w:tc>
              <w:tc>
                <w:tcPr>
                  <w:tcW w:w="344" w:type="pct"/>
                  <w:vMerge w:val="continue"/>
                  <w:vAlign w:val="center"/>
                </w:tcPr>
                <w:p w14:paraId="382176BD">
                  <w:pPr>
                    <w:pStyle w:val="32"/>
                    <w:rPr>
                      <w:rFonts w:hint="default" w:ascii="Times New Roman" w:hAnsi="Times New Roman" w:cs="Times New Roman"/>
                      <w:b/>
                      <w:color w:val="auto"/>
                    </w:rPr>
                  </w:pPr>
                </w:p>
              </w:tc>
              <w:tc>
                <w:tcPr>
                  <w:tcW w:w="746" w:type="pct"/>
                  <w:gridSpan w:val="2"/>
                  <w:vMerge w:val="continue"/>
                  <w:vAlign w:val="center"/>
                </w:tcPr>
                <w:p w14:paraId="10F88895">
                  <w:pPr>
                    <w:pStyle w:val="32"/>
                    <w:rPr>
                      <w:rFonts w:hint="default" w:ascii="Times New Roman" w:hAnsi="Times New Roman" w:cs="Times New Roman"/>
                      <w:b/>
                      <w:color w:val="auto"/>
                    </w:rPr>
                  </w:pPr>
                </w:p>
              </w:tc>
              <w:tc>
                <w:tcPr>
                  <w:tcW w:w="527" w:type="pct"/>
                  <w:vMerge w:val="continue"/>
                  <w:vAlign w:val="center"/>
                </w:tcPr>
                <w:p w14:paraId="5B7954F6">
                  <w:pPr>
                    <w:pStyle w:val="32"/>
                    <w:rPr>
                      <w:rFonts w:hint="default" w:ascii="Times New Roman" w:hAnsi="Times New Roman" w:cs="Times New Roman"/>
                      <w:b/>
                      <w:color w:val="auto"/>
                    </w:rPr>
                  </w:pPr>
                </w:p>
              </w:tc>
              <w:tc>
                <w:tcPr>
                  <w:tcW w:w="549" w:type="pct"/>
                  <w:vAlign w:val="center"/>
                </w:tcPr>
                <w:p w14:paraId="06209CC9">
                  <w:pPr>
                    <w:pStyle w:val="32"/>
                    <w:rPr>
                      <w:rFonts w:hint="default" w:ascii="Times New Roman" w:hAnsi="Times New Roman" w:cs="Times New Roman"/>
                      <w:b/>
                      <w:color w:val="auto"/>
                    </w:rPr>
                  </w:pPr>
                  <w:r>
                    <w:rPr>
                      <w:rFonts w:hint="default" w:ascii="Times New Roman" w:hAnsi="Times New Roman" w:cs="Times New Roman"/>
                      <w:b/>
                      <w:color w:val="auto"/>
                    </w:rPr>
                    <w:t>第一次</w:t>
                  </w:r>
                </w:p>
              </w:tc>
              <w:tc>
                <w:tcPr>
                  <w:tcW w:w="550" w:type="pct"/>
                  <w:vAlign w:val="center"/>
                </w:tcPr>
                <w:p w14:paraId="2949C414">
                  <w:pPr>
                    <w:pStyle w:val="32"/>
                    <w:rPr>
                      <w:rFonts w:hint="default" w:ascii="Times New Roman" w:hAnsi="Times New Roman" w:cs="Times New Roman"/>
                      <w:b/>
                      <w:color w:val="auto"/>
                    </w:rPr>
                  </w:pPr>
                  <w:r>
                    <w:rPr>
                      <w:rFonts w:hint="default" w:ascii="Times New Roman" w:hAnsi="Times New Roman" w:cs="Times New Roman"/>
                      <w:b/>
                      <w:color w:val="auto"/>
                    </w:rPr>
                    <w:t>第二次</w:t>
                  </w:r>
                </w:p>
              </w:tc>
              <w:tc>
                <w:tcPr>
                  <w:tcW w:w="595" w:type="pct"/>
                  <w:vAlign w:val="center"/>
                </w:tcPr>
                <w:p w14:paraId="425A0E93">
                  <w:pPr>
                    <w:pStyle w:val="32"/>
                    <w:rPr>
                      <w:rFonts w:hint="default" w:ascii="Times New Roman" w:hAnsi="Times New Roman" w:cs="Times New Roman"/>
                      <w:b/>
                      <w:color w:val="auto"/>
                    </w:rPr>
                  </w:pPr>
                  <w:r>
                    <w:rPr>
                      <w:rFonts w:hint="default" w:ascii="Times New Roman" w:hAnsi="Times New Roman" w:cs="Times New Roman"/>
                      <w:b/>
                      <w:color w:val="auto"/>
                    </w:rPr>
                    <w:t>第三次</w:t>
                  </w:r>
                </w:p>
              </w:tc>
              <w:tc>
                <w:tcPr>
                  <w:tcW w:w="686" w:type="pct"/>
                  <w:vAlign w:val="center"/>
                </w:tcPr>
                <w:p w14:paraId="79C1C542">
                  <w:pPr>
                    <w:pStyle w:val="32"/>
                    <w:rPr>
                      <w:rFonts w:hint="default" w:ascii="Times New Roman" w:hAnsi="Times New Roman" w:cs="Times New Roman"/>
                      <w:b/>
                      <w:color w:val="auto"/>
                    </w:rPr>
                  </w:pPr>
                  <w:r>
                    <w:rPr>
                      <w:rFonts w:hint="default" w:ascii="Times New Roman" w:hAnsi="Times New Roman" w:cs="Times New Roman"/>
                      <w:b/>
                      <w:color w:val="auto"/>
                    </w:rPr>
                    <w:t>平均值</w:t>
                  </w:r>
                </w:p>
              </w:tc>
              <w:tc>
                <w:tcPr>
                  <w:tcW w:w="715" w:type="pct"/>
                  <w:vAlign w:val="center"/>
                </w:tcPr>
                <w:p w14:paraId="53585675">
                  <w:pPr>
                    <w:pStyle w:val="32"/>
                    <w:rPr>
                      <w:rFonts w:hint="default" w:ascii="Times New Roman" w:hAnsi="Times New Roman" w:eastAsia="宋体" w:cs="Times New Roman"/>
                      <w:b/>
                      <w:color w:val="auto"/>
                      <w:lang w:val="en-US" w:eastAsia="zh-CN"/>
                    </w:rPr>
                  </w:pPr>
                  <w:r>
                    <w:rPr>
                      <w:rFonts w:hint="eastAsia" w:cs="Times New Roman"/>
                      <w:b/>
                      <w:color w:val="auto"/>
                      <w:lang w:val="en-US" w:eastAsia="zh-CN"/>
                    </w:rPr>
                    <w:t>--</w:t>
                  </w:r>
                </w:p>
              </w:tc>
            </w:tr>
            <w:tr w14:paraId="7655B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restart"/>
                  <w:vAlign w:val="center"/>
                </w:tcPr>
                <w:p w14:paraId="6C18012D">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FQ-01</w:t>
                  </w:r>
                </w:p>
              </w:tc>
              <w:tc>
                <w:tcPr>
                  <w:tcW w:w="344" w:type="pct"/>
                  <w:vMerge w:val="restart"/>
                  <w:vAlign w:val="center"/>
                </w:tcPr>
                <w:p w14:paraId="395F6395">
                  <w:pPr>
                    <w:pStyle w:val="32"/>
                    <w:rPr>
                      <w:rFonts w:hint="eastAsia" w:ascii="Times New Roman" w:hAnsi="Times New Roman" w:eastAsia="宋体" w:cs="Times New Roman"/>
                      <w:color w:val="auto"/>
                      <w:lang w:eastAsia="zh-CN"/>
                    </w:rPr>
                  </w:pPr>
                  <w:r>
                    <w:rPr>
                      <w:rFonts w:hint="eastAsia" w:cs="Times New Roman"/>
                      <w:color w:val="auto"/>
                      <w:lang w:eastAsia="zh-CN"/>
                    </w:rPr>
                    <w:t>锅炉废气排放口</w:t>
                  </w:r>
                </w:p>
              </w:tc>
              <w:tc>
                <w:tcPr>
                  <w:tcW w:w="746" w:type="pct"/>
                  <w:gridSpan w:val="2"/>
                  <w:vAlign w:val="center"/>
                </w:tcPr>
                <w:p w14:paraId="1334546E">
                  <w:pPr>
                    <w:pStyle w:val="32"/>
                    <w:rPr>
                      <w:rFonts w:hint="default" w:ascii="Times New Roman" w:hAnsi="Times New Roman" w:cs="Times New Roman"/>
                      <w:color w:val="auto"/>
                    </w:rPr>
                  </w:pPr>
                  <w:r>
                    <w:rPr>
                      <w:rFonts w:hint="default" w:ascii="Times New Roman" w:hAnsi="Times New Roman" w:cs="Times New Roman"/>
                      <w:color w:val="auto"/>
                    </w:rPr>
                    <w:t>含氧量</w:t>
                  </w:r>
                </w:p>
              </w:tc>
              <w:tc>
                <w:tcPr>
                  <w:tcW w:w="527" w:type="pct"/>
                  <w:vAlign w:val="center"/>
                </w:tcPr>
                <w:p w14:paraId="58032ABA">
                  <w:pPr>
                    <w:pStyle w:val="32"/>
                    <w:rPr>
                      <w:rFonts w:hint="default" w:ascii="Times New Roman" w:hAnsi="Times New Roman" w:cs="Times New Roman"/>
                      <w:color w:val="auto"/>
                    </w:rPr>
                  </w:pPr>
                  <w:r>
                    <w:rPr>
                      <w:rFonts w:hint="default" w:ascii="Times New Roman" w:hAnsi="Times New Roman" w:cs="Times New Roman"/>
                      <w:color w:val="auto"/>
                    </w:rPr>
                    <w:t>%</w:t>
                  </w:r>
                </w:p>
              </w:tc>
              <w:tc>
                <w:tcPr>
                  <w:tcW w:w="549" w:type="pct"/>
                </w:tcPr>
                <w:p w14:paraId="74DEEA0E">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8.7</w:t>
                  </w:r>
                </w:p>
              </w:tc>
              <w:tc>
                <w:tcPr>
                  <w:tcW w:w="550" w:type="pct"/>
                </w:tcPr>
                <w:p w14:paraId="444B19BA">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8.2</w:t>
                  </w:r>
                </w:p>
              </w:tc>
              <w:tc>
                <w:tcPr>
                  <w:tcW w:w="595" w:type="pct"/>
                </w:tcPr>
                <w:p w14:paraId="6CAE4A76">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8.4</w:t>
                  </w:r>
                </w:p>
              </w:tc>
              <w:tc>
                <w:tcPr>
                  <w:tcW w:w="686" w:type="pct"/>
                </w:tcPr>
                <w:p w14:paraId="2033027E">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8.4</w:t>
                  </w:r>
                </w:p>
              </w:tc>
              <w:tc>
                <w:tcPr>
                  <w:tcW w:w="715" w:type="pct"/>
                  <w:vAlign w:val="center"/>
                </w:tcPr>
                <w:p w14:paraId="65483954">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14:paraId="6F0FB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continue"/>
                  <w:vAlign w:val="center"/>
                </w:tcPr>
                <w:p w14:paraId="3F43B195">
                  <w:pPr>
                    <w:pStyle w:val="32"/>
                    <w:rPr>
                      <w:rFonts w:hint="default" w:ascii="Times New Roman" w:hAnsi="Times New Roman" w:cs="Times New Roman"/>
                      <w:color w:val="auto"/>
                    </w:rPr>
                  </w:pPr>
                </w:p>
              </w:tc>
              <w:tc>
                <w:tcPr>
                  <w:tcW w:w="344" w:type="pct"/>
                  <w:vMerge w:val="continue"/>
                  <w:vAlign w:val="center"/>
                </w:tcPr>
                <w:p w14:paraId="382D7E18">
                  <w:pPr>
                    <w:pStyle w:val="32"/>
                    <w:rPr>
                      <w:rFonts w:hint="default" w:ascii="Times New Roman" w:hAnsi="Times New Roman" w:cs="Times New Roman"/>
                      <w:color w:val="auto"/>
                    </w:rPr>
                  </w:pPr>
                </w:p>
              </w:tc>
              <w:tc>
                <w:tcPr>
                  <w:tcW w:w="746" w:type="pct"/>
                  <w:gridSpan w:val="2"/>
                  <w:vAlign w:val="center"/>
                </w:tcPr>
                <w:p w14:paraId="2B8372C3">
                  <w:pPr>
                    <w:pStyle w:val="32"/>
                    <w:rPr>
                      <w:rFonts w:hint="default" w:ascii="Times New Roman" w:hAnsi="Times New Roman" w:cs="Times New Roman"/>
                      <w:color w:val="auto"/>
                    </w:rPr>
                  </w:pPr>
                  <w:r>
                    <w:rPr>
                      <w:rFonts w:hint="default" w:ascii="Times New Roman" w:hAnsi="Times New Roman" w:cs="Times New Roman"/>
                      <w:color w:val="auto"/>
                    </w:rPr>
                    <w:t>标干流量</w:t>
                  </w:r>
                </w:p>
              </w:tc>
              <w:tc>
                <w:tcPr>
                  <w:tcW w:w="527" w:type="pct"/>
                  <w:vAlign w:val="center"/>
                </w:tcPr>
                <w:p w14:paraId="0D2E4DD3">
                  <w:pPr>
                    <w:pStyle w:val="32"/>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 xml:space="preserve">/h </w:t>
                  </w:r>
                </w:p>
              </w:tc>
              <w:tc>
                <w:tcPr>
                  <w:tcW w:w="549" w:type="pct"/>
                  <w:vAlign w:val="center"/>
                </w:tcPr>
                <w:p w14:paraId="476CB381">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5234</w:t>
                  </w:r>
                </w:p>
              </w:tc>
              <w:tc>
                <w:tcPr>
                  <w:tcW w:w="550" w:type="pct"/>
                  <w:vAlign w:val="center"/>
                </w:tcPr>
                <w:p w14:paraId="2E78D693">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5023</w:t>
                  </w:r>
                </w:p>
              </w:tc>
              <w:tc>
                <w:tcPr>
                  <w:tcW w:w="595" w:type="pct"/>
                  <w:vAlign w:val="center"/>
                </w:tcPr>
                <w:p w14:paraId="6F981D58">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4927</w:t>
                  </w:r>
                </w:p>
              </w:tc>
              <w:tc>
                <w:tcPr>
                  <w:tcW w:w="686" w:type="pct"/>
                  <w:vAlign w:val="center"/>
                </w:tcPr>
                <w:p w14:paraId="49FC3D54">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5061</w:t>
                  </w:r>
                </w:p>
              </w:tc>
              <w:tc>
                <w:tcPr>
                  <w:tcW w:w="715" w:type="pct"/>
                  <w:vAlign w:val="center"/>
                </w:tcPr>
                <w:p w14:paraId="71EF48AA">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14:paraId="6EE61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continue"/>
                  <w:vAlign w:val="center"/>
                </w:tcPr>
                <w:p w14:paraId="1398AFE6">
                  <w:pPr>
                    <w:pStyle w:val="32"/>
                    <w:rPr>
                      <w:rFonts w:hint="default" w:ascii="Times New Roman" w:hAnsi="Times New Roman" w:cs="Times New Roman"/>
                      <w:color w:val="auto"/>
                    </w:rPr>
                  </w:pPr>
                </w:p>
              </w:tc>
              <w:tc>
                <w:tcPr>
                  <w:tcW w:w="344" w:type="pct"/>
                  <w:vMerge w:val="continue"/>
                  <w:vAlign w:val="center"/>
                </w:tcPr>
                <w:p w14:paraId="069D0CC1">
                  <w:pPr>
                    <w:pStyle w:val="32"/>
                    <w:rPr>
                      <w:rFonts w:hint="default" w:ascii="Times New Roman" w:hAnsi="Times New Roman" w:cs="Times New Roman"/>
                      <w:color w:val="auto"/>
                    </w:rPr>
                  </w:pPr>
                </w:p>
              </w:tc>
              <w:tc>
                <w:tcPr>
                  <w:tcW w:w="301" w:type="pct"/>
                  <w:vMerge w:val="restart"/>
                  <w:vAlign w:val="center"/>
                </w:tcPr>
                <w:p w14:paraId="4C59CCD7">
                  <w:pPr>
                    <w:pStyle w:val="32"/>
                    <w:rPr>
                      <w:rFonts w:hint="default" w:ascii="Times New Roman" w:hAnsi="Times New Roman" w:cs="Times New Roman"/>
                      <w:color w:val="auto"/>
                    </w:rPr>
                  </w:pPr>
                  <w:r>
                    <w:rPr>
                      <w:rFonts w:hint="default" w:ascii="Times New Roman" w:hAnsi="Times New Roman" w:cs="Times New Roman"/>
                      <w:color w:val="auto"/>
                    </w:rPr>
                    <w:t>颗粒物</w:t>
                  </w:r>
                </w:p>
              </w:tc>
              <w:tc>
                <w:tcPr>
                  <w:tcW w:w="445" w:type="pct"/>
                  <w:vAlign w:val="center"/>
                </w:tcPr>
                <w:p w14:paraId="3F358BDF">
                  <w:pPr>
                    <w:pStyle w:val="32"/>
                    <w:rPr>
                      <w:rFonts w:hint="default" w:ascii="Times New Roman" w:hAnsi="Times New Roman" w:cs="Times New Roman"/>
                      <w:color w:val="auto"/>
                    </w:rPr>
                  </w:pPr>
                  <w:r>
                    <w:rPr>
                      <w:rFonts w:hint="default" w:ascii="Times New Roman" w:hAnsi="Times New Roman" w:cs="Times New Roman"/>
                      <w:color w:val="auto"/>
                    </w:rPr>
                    <w:t>实测浓度</w:t>
                  </w:r>
                </w:p>
              </w:tc>
              <w:tc>
                <w:tcPr>
                  <w:tcW w:w="527" w:type="pct"/>
                  <w:vAlign w:val="center"/>
                </w:tcPr>
                <w:p w14:paraId="40F4627C">
                  <w:pPr>
                    <w:pStyle w:val="32"/>
                    <w:rPr>
                      <w:rFonts w:hint="default" w:ascii="Times New Roman" w:hAnsi="Times New Roman" w:cs="Times New Roman"/>
                      <w:color w:val="auto"/>
                    </w:rPr>
                  </w:pP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549" w:type="pct"/>
                  <w:vAlign w:val="center"/>
                </w:tcPr>
                <w:p w14:paraId="798DE781">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15.3</w:t>
                  </w:r>
                </w:p>
              </w:tc>
              <w:tc>
                <w:tcPr>
                  <w:tcW w:w="550" w:type="pct"/>
                  <w:vAlign w:val="center"/>
                </w:tcPr>
                <w:p w14:paraId="48BCDA41">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18.0</w:t>
                  </w:r>
                </w:p>
              </w:tc>
              <w:tc>
                <w:tcPr>
                  <w:tcW w:w="595" w:type="pct"/>
                  <w:vAlign w:val="center"/>
                </w:tcPr>
                <w:p w14:paraId="740C26C0">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17.1</w:t>
                  </w:r>
                </w:p>
              </w:tc>
              <w:tc>
                <w:tcPr>
                  <w:tcW w:w="686" w:type="pct"/>
                  <w:vAlign w:val="center"/>
                </w:tcPr>
                <w:p w14:paraId="1D67CAEE">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16.8</w:t>
                  </w:r>
                </w:p>
              </w:tc>
              <w:tc>
                <w:tcPr>
                  <w:tcW w:w="715" w:type="pct"/>
                  <w:vAlign w:val="center"/>
                </w:tcPr>
                <w:p w14:paraId="3CC332FF">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14:paraId="7E0B3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282" w:type="pct"/>
                  <w:vMerge w:val="continue"/>
                  <w:vAlign w:val="center"/>
                </w:tcPr>
                <w:p w14:paraId="47AFAE99">
                  <w:pPr>
                    <w:pStyle w:val="32"/>
                    <w:rPr>
                      <w:rFonts w:hint="default" w:ascii="Times New Roman" w:hAnsi="Times New Roman" w:cs="Times New Roman"/>
                      <w:color w:val="auto"/>
                    </w:rPr>
                  </w:pPr>
                </w:p>
              </w:tc>
              <w:tc>
                <w:tcPr>
                  <w:tcW w:w="344" w:type="pct"/>
                  <w:vMerge w:val="continue"/>
                  <w:vAlign w:val="center"/>
                </w:tcPr>
                <w:p w14:paraId="0840B76E">
                  <w:pPr>
                    <w:pStyle w:val="32"/>
                    <w:rPr>
                      <w:rFonts w:hint="default" w:ascii="Times New Roman" w:hAnsi="Times New Roman" w:cs="Times New Roman"/>
                      <w:color w:val="auto"/>
                    </w:rPr>
                  </w:pPr>
                </w:p>
              </w:tc>
              <w:tc>
                <w:tcPr>
                  <w:tcW w:w="301" w:type="pct"/>
                  <w:vMerge w:val="continue"/>
                  <w:vAlign w:val="center"/>
                </w:tcPr>
                <w:p w14:paraId="5C35C4C8">
                  <w:pPr>
                    <w:pStyle w:val="32"/>
                    <w:rPr>
                      <w:rFonts w:hint="default" w:ascii="Times New Roman" w:hAnsi="Times New Roman" w:cs="Times New Roman"/>
                      <w:color w:val="auto"/>
                    </w:rPr>
                  </w:pPr>
                </w:p>
              </w:tc>
              <w:tc>
                <w:tcPr>
                  <w:tcW w:w="445" w:type="pct"/>
                  <w:vAlign w:val="center"/>
                </w:tcPr>
                <w:p w14:paraId="4BAB6052">
                  <w:pPr>
                    <w:pStyle w:val="32"/>
                    <w:rPr>
                      <w:rFonts w:hint="default" w:ascii="Times New Roman" w:hAnsi="Times New Roman" w:cs="Times New Roman"/>
                      <w:color w:val="auto"/>
                    </w:rPr>
                  </w:pPr>
                  <w:r>
                    <w:rPr>
                      <w:rFonts w:hint="default" w:ascii="Times New Roman" w:hAnsi="Times New Roman" w:cs="Times New Roman"/>
                      <w:color w:val="auto"/>
                    </w:rPr>
                    <w:t>折算浓度</w:t>
                  </w:r>
                </w:p>
              </w:tc>
              <w:tc>
                <w:tcPr>
                  <w:tcW w:w="527" w:type="pct"/>
                  <w:vAlign w:val="center"/>
                </w:tcPr>
                <w:p w14:paraId="2064CA1C">
                  <w:pPr>
                    <w:pStyle w:val="32"/>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549" w:type="pct"/>
                  <w:vAlign w:val="center"/>
                </w:tcPr>
                <w:p w14:paraId="052E78F3">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14.9</w:t>
                  </w:r>
                </w:p>
              </w:tc>
              <w:tc>
                <w:tcPr>
                  <w:tcW w:w="550" w:type="pct"/>
                  <w:vAlign w:val="center"/>
                </w:tcPr>
                <w:p w14:paraId="52EA5A7F">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16.9</w:t>
                  </w:r>
                </w:p>
              </w:tc>
              <w:tc>
                <w:tcPr>
                  <w:tcW w:w="595" w:type="pct"/>
                  <w:vAlign w:val="center"/>
                </w:tcPr>
                <w:p w14:paraId="47380C6E">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16.3</w:t>
                  </w:r>
                </w:p>
              </w:tc>
              <w:tc>
                <w:tcPr>
                  <w:tcW w:w="686" w:type="pct"/>
                  <w:vAlign w:val="center"/>
                </w:tcPr>
                <w:p w14:paraId="5B4B1EDE">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16.1</w:t>
                  </w:r>
                </w:p>
              </w:tc>
              <w:tc>
                <w:tcPr>
                  <w:tcW w:w="715" w:type="pct"/>
                  <w:vAlign w:val="center"/>
                </w:tcPr>
                <w:p w14:paraId="1A53ACB4">
                  <w:pPr>
                    <w:pStyle w:val="32"/>
                    <w:rPr>
                      <w:rFonts w:hint="default" w:ascii="Times New Roman" w:hAnsi="Times New Roman" w:cs="Times New Roman"/>
                      <w:color w:val="auto"/>
                    </w:rPr>
                  </w:pPr>
                  <w:r>
                    <w:rPr>
                      <w:rFonts w:hint="default" w:ascii="Times New Roman" w:hAnsi="Times New Roman" w:cs="Times New Roman"/>
                      <w:color w:val="auto"/>
                    </w:rPr>
                    <w:t>≤30</w:t>
                  </w:r>
                </w:p>
              </w:tc>
            </w:tr>
            <w:tr w14:paraId="3723A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continue"/>
                  <w:vAlign w:val="center"/>
                </w:tcPr>
                <w:p w14:paraId="7B115D65">
                  <w:pPr>
                    <w:pStyle w:val="32"/>
                    <w:rPr>
                      <w:rFonts w:hint="default" w:ascii="Times New Roman" w:hAnsi="Times New Roman" w:cs="Times New Roman"/>
                      <w:color w:val="auto"/>
                    </w:rPr>
                  </w:pPr>
                </w:p>
              </w:tc>
              <w:tc>
                <w:tcPr>
                  <w:tcW w:w="344" w:type="pct"/>
                  <w:vMerge w:val="continue"/>
                  <w:vAlign w:val="center"/>
                </w:tcPr>
                <w:p w14:paraId="6E2C57CB">
                  <w:pPr>
                    <w:pStyle w:val="32"/>
                    <w:rPr>
                      <w:rFonts w:hint="default" w:ascii="Times New Roman" w:hAnsi="Times New Roman" w:cs="Times New Roman"/>
                      <w:color w:val="auto"/>
                    </w:rPr>
                  </w:pPr>
                </w:p>
              </w:tc>
              <w:tc>
                <w:tcPr>
                  <w:tcW w:w="301" w:type="pct"/>
                  <w:vMerge w:val="continue"/>
                  <w:vAlign w:val="center"/>
                </w:tcPr>
                <w:p w14:paraId="50077D59">
                  <w:pPr>
                    <w:pStyle w:val="32"/>
                    <w:rPr>
                      <w:rFonts w:hint="default" w:ascii="Times New Roman" w:hAnsi="Times New Roman" w:cs="Times New Roman"/>
                      <w:color w:val="auto"/>
                    </w:rPr>
                  </w:pPr>
                </w:p>
              </w:tc>
              <w:tc>
                <w:tcPr>
                  <w:tcW w:w="445" w:type="pct"/>
                  <w:vAlign w:val="center"/>
                </w:tcPr>
                <w:p w14:paraId="4911E633">
                  <w:pPr>
                    <w:pStyle w:val="32"/>
                    <w:rPr>
                      <w:rFonts w:hint="default" w:ascii="Times New Roman" w:hAnsi="Times New Roman" w:cs="Times New Roman"/>
                      <w:color w:val="auto"/>
                    </w:rPr>
                  </w:pPr>
                  <w:r>
                    <w:rPr>
                      <w:rFonts w:hint="default" w:ascii="Times New Roman" w:hAnsi="Times New Roman" w:cs="Times New Roman"/>
                      <w:color w:val="auto"/>
                    </w:rPr>
                    <w:t>排放速率</w:t>
                  </w:r>
                </w:p>
              </w:tc>
              <w:tc>
                <w:tcPr>
                  <w:tcW w:w="527" w:type="pct"/>
                  <w:vAlign w:val="center"/>
                </w:tcPr>
                <w:p w14:paraId="5EA7FA63">
                  <w:pPr>
                    <w:pStyle w:val="32"/>
                    <w:rPr>
                      <w:rFonts w:hint="default" w:ascii="Times New Roman" w:hAnsi="Times New Roman" w:cs="Times New Roman"/>
                      <w:color w:val="auto"/>
                    </w:rPr>
                  </w:pPr>
                  <w:r>
                    <w:rPr>
                      <w:rFonts w:hint="default" w:ascii="Times New Roman" w:hAnsi="Times New Roman" w:cs="Times New Roman"/>
                      <w:color w:val="auto"/>
                    </w:rPr>
                    <w:t>kg/h</w:t>
                  </w:r>
                </w:p>
              </w:tc>
              <w:tc>
                <w:tcPr>
                  <w:tcW w:w="549" w:type="pct"/>
                  <w:vAlign w:val="center"/>
                </w:tcPr>
                <w:p w14:paraId="09977BB6">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0.080</w:t>
                  </w:r>
                </w:p>
              </w:tc>
              <w:tc>
                <w:tcPr>
                  <w:tcW w:w="550" w:type="pct"/>
                  <w:vAlign w:val="center"/>
                </w:tcPr>
                <w:p w14:paraId="211F5D1A">
                  <w:pPr>
                    <w:pStyle w:val="32"/>
                    <w:rPr>
                      <w:rFonts w:hint="default" w:cs="Times New Roman"/>
                      <w:color w:val="auto"/>
                      <w:lang w:val="en-US" w:eastAsia="zh-CN"/>
                    </w:rPr>
                  </w:pPr>
                  <w:r>
                    <w:rPr>
                      <w:rFonts w:hint="eastAsia" w:cs="Times New Roman"/>
                      <w:color w:val="auto"/>
                      <w:lang w:val="en-US" w:eastAsia="zh-CN"/>
                    </w:rPr>
                    <w:t>0.091</w:t>
                  </w:r>
                </w:p>
              </w:tc>
              <w:tc>
                <w:tcPr>
                  <w:tcW w:w="595" w:type="pct"/>
                  <w:vAlign w:val="center"/>
                </w:tcPr>
                <w:p w14:paraId="4964040E">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0.084</w:t>
                  </w:r>
                </w:p>
              </w:tc>
              <w:tc>
                <w:tcPr>
                  <w:tcW w:w="686" w:type="pct"/>
                  <w:vAlign w:val="center"/>
                </w:tcPr>
                <w:p w14:paraId="61652052">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0.085</w:t>
                  </w:r>
                </w:p>
              </w:tc>
              <w:tc>
                <w:tcPr>
                  <w:tcW w:w="715" w:type="pct"/>
                  <w:vAlign w:val="center"/>
                </w:tcPr>
                <w:p w14:paraId="111324E6">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14:paraId="13CA0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continue"/>
                  <w:vAlign w:val="center"/>
                </w:tcPr>
                <w:p w14:paraId="060B2780">
                  <w:pPr>
                    <w:pStyle w:val="32"/>
                    <w:rPr>
                      <w:rFonts w:hint="default" w:ascii="Times New Roman" w:hAnsi="Times New Roman" w:cs="Times New Roman"/>
                      <w:color w:val="auto"/>
                    </w:rPr>
                  </w:pPr>
                </w:p>
              </w:tc>
              <w:tc>
                <w:tcPr>
                  <w:tcW w:w="344" w:type="pct"/>
                  <w:vMerge w:val="continue"/>
                  <w:vAlign w:val="center"/>
                </w:tcPr>
                <w:p w14:paraId="2C76E7C8">
                  <w:pPr>
                    <w:pStyle w:val="32"/>
                    <w:rPr>
                      <w:rFonts w:hint="default" w:ascii="Times New Roman" w:hAnsi="Times New Roman" w:cs="Times New Roman"/>
                      <w:color w:val="auto"/>
                    </w:rPr>
                  </w:pPr>
                </w:p>
              </w:tc>
              <w:tc>
                <w:tcPr>
                  <w:tcW w:w="301" w:type="pct"/>
                  <w:vMerge w:val="restart"/>
                  <w:vAlign w:val="center"/>
                </w:tcPr>
                <w:p w14:paraId="53EA43A2">
                  <w:pPr>
                    <w:pStyle w:val="32"/>
                    <w:rPr>
                      <w:rFonts w:hint="default" w:ascii="Times New Roman" w:hAnsi="Times New Roman" w:cs="Times New Roman"/>
                      <w:color w:val="auto"/>
                    </w:rPr>
                  </w:pPr>
                  <w:r>
                    <w:rPr>
                      <w:rFonts w:hint="default" w:ascii="Times New Roman" w:hAnsi="Times New Roman" w:cs="Times New Roman"/>
                      <w:color w:val="auto"/>
                    </w:rPr>
                    <w:t>二氧化硫</w:t>
                  </w:r>
                </w:p>
              </w:tc>
              <w:tc>
                <w:tcPr>
                  <w:tcW w:w="445" w:type="pct"/>
                  <w:vAlign w:val="center"/>
                </w:tcPr>
                <w:p w14:paraId="1E598767">
                  <w:pPr>
                    <w:pStyle w:val="32"/>
                    <w:rPr>
                      <w:rFonts w:hint="default" w:ascii="Times New Roman" w:hAnsi="Times New Roman" w:cs="Times New Roman"/>
                      <w:color w:val="auto"/>
                    </w:rPr>
                  </w:pPr>
                  <w:r>
                    <w:rPr>
                      <w:rFonts w:hint="default" w:ascii="Times New Roman" w:hAnsi="Times New Roman" w:cs="Times New Roman"/>
                      <w:color w:val="auto"/>
                    </w:rPr>
                    <w:t>实测浓度</w:t>
                  </w:r>
                </w:p>
              </w:tc>
              <w:tc>
                <w:tcPr>
                  <w:tcW w:w="527" w:type="pct"/>
                  <w:vAlign w:val="center"/>
                </w:tcPr>
                <w:p w14:paraId="595DC91A">
                  <w:pPr>
                    <w:pStyle w:val="32"/>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549" w:type="pct"/>
                  <w:vAlign w:val="center"/>
                </w:tcPr>
                <w:p w14:paraId="59049C7E">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119</w:t>
                  </w:r>
                </w:p>
              </w:tc>
              <w:tc>
                <w:tcPr>
                  <w:tcW w:w="550" w:type="pct"/>
                  <w:vAlign w:val="center"/>
                </w:tcPr>
                <w:p w14:paraId="184C8DDD">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121</w:t>
                  </w:r>
                </w:p>
              </w:tc>
              <w:tc>
                <w:tcPr>
                  <w:tcW w:w="595" w:type="pct"/>
                  <w:vAlign w:val="center"/>
                </w:tcPr>
                <w:p w14:paraId="24D0E449">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121</w:t>
                  </w:r>
                </w:p>
              </w:tc>
              <w:tc>
                <w:tcPr>
                  <w:tcW w:w="686" w:type="pct"/>
                  <w:vAlign w:val="center"/>
                </w:tcPr>
                <w:p w14:paraId="72A4DC7F">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120</w:t>
                  </w:r>
                </w:p>
              </w:tc>
              <w:tc>
                <w:tcPr>
                  <w:tcW w:w="715" w:type="pct"/>
                  <w:vAlign w:val="center"/>
                </w:tcPr>
                <w:p w14:paraId="35CECF22">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14:paraId="7B803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continue"/>
                  <w:vAlign w:val="center"/>
                </w:tcPr>
                <w:p w14:paraId="33EC6E86">
                  <w:pPr>
                    <w:pStyle w:val="32"/>
                    <w:rPr>
                      <w:rFonts w:hint="default" w:ascii="Times New Roman" w:hAnsi="Times New Roman" w:cs="Times New Roman"/>
                      <w:color w:val="auto"/>
                    </w:rPr>
                  </w:pPr>
                </w:p>
              </w:tc>
              <w:tc>
                <w:tcPr>
                  <w:tcW w:w="344" w:type="pct"/>
                  <w:vMerge w:val="continue"/>
                  <w:vAlign w:val="center"/>
                </w:tcPr>
                <w:p w14:paraId="59A99289">
                  <w:pPr>
                    <w:pStyle w:val="32"/>
                    <w:rPr>
                      <w:rFonts w:hint="default" w:ascii="Times New Roman" w:hAnsi="Times New Roman" w:cs="Times New Roman"/>
                      <w:color w:val="auto"/>
                    </w:rPr>
                  </w:pPr>
                </w:p>
              </w:tc>
              <w:tc>
                <w:tcPr>
                  <w:tcW w:w="301" w:type="pct"/>
                  <w:vMerge w:val="continue"/>
                  <w:vAlign w:val="center"/>
                </w:tcPr>
                <w:p w14:paraId="24842054">
                  <w:pPr>
                    <w:pStyle w:val="32"/>
                    <w:rPr>
                      <w:rFonts w:hint="default" w:ascii="Times New Roman" w:hAnsi="Times New Roman" w:cs="Times New Roman"/>
                      <w:color w:val="auto"/>
                    </w:rPr>
                  </w:pPr>
                </w:p>
              </w:tc>
              <w:tc>
                <w:tcPr>
                  <w:tcW w:w="445" w:type="pct"/>
                  <w:vAlign w:val="center"/>
                </w:tcPr>
                <w:p w14:paraId="3A7078F4">
                  <w:pPr>
                    <w:pStyle w:val="32"/>
                    <w:rPr>
                      <w:rFonts w:hint="default" w:ascii="Times New Roman" w:hAnsi="Times New Roman" w:cs="Times New Roman"/>
                      <w:color w:val="auto"/>
                    </w:rPr>
                  </w:pPr>
                  <w:r>
                    <w:rPr>
                      <w:rFonts w:hint="default" w:ascii="Times New Roman" w:hAnsi="Times New Roman" w:cs="Times New Roman"/>
                      <w:color w:val="auto"/>
                    </w:rPr>
                    <w:t>折算浓度</w:t>
                  </w:r>
                </w:p>
              </w:tc>
              <w:tc>
                <w:tcPr>
                  <w:tcW w:w="527" w:type="pct"/>
                  <w:vAlign w:val="center"/>
                </w:tcPr>
                <w:p w14:paraId="27AADEB2">
                  <w:pPr>
                    <w:pStyle w:val="32"/>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549" w:type="pct"/>
                  <w:vAlign w:val="center"/>
                </w:tcPr>
                <w:p w14:paraId="6C83413A">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116</w:t>
                  </w:r>
                </w:p>
              </w:tc>
              <w:tc>
                <w:tcPr>
                  <w:tcW w:w="550" w:type="pct"/>
                  <w:vAlign w:val="center"/>
                </w:tcPr>
                <w:p w14:paraId="60F154E6">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114</w:t>
                  </w:r>
                </w:p>
              </w:tc>
              <w:tc>
                <w:tcPr>
                  <w:tcW w:w="595" w:type="pct"/>
                  <w:vAlign w:val="center"/>
                </w:tcPr>
                <w:p w14:paraId="57D27B3A">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115</w:t>
                  </w:r>
                </w:p>
              </w:tc>
              <w:tc>
                <w:tcPr>
                  <w:tcW w:w="686" w:type="pct"/>
                  <w:vAlign w:val="center"/>
                </w:tcPr>
                <w:p w14:paraId="1E7EF913">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115</w:t>
                  </w:r>
                </w:p>
              </w:tc>
              <w:tc>
                <w:tcPr>
                  <w:tcW w:w="715" w:type="pct"/>
                  <w:vAlign w:val="center"/>
                </w:tcPr>
                <w:p w14:paraId="6DBAB4E2">
                  <w:pPr>
                    <w:pStyle w:val="32"/>
                    <w:rPr>
                      <w:rFonts w:hint="default" w:ascii="Times New Roman" w:hAnsi="Times New Roman" w:cs="Times New Roman"/>
                      <w:color w:val="auto"/>
                    </w:rPr>
                  </w:pPr>
                  <w:r>
                    <w:rPr>
                      <w:rFonts w:hint="default" w:ascii="Times New Roman" w:hAnsi="Times New Roman" w:cs="Times New Roman"/>
                      <w:color w:val="auto"/>
                    </w:rPr>
                    <w:t>≤200</w:t>
                  </w:r>
                </w:p>
              </w:tc>
            </w:tr>
            <w:tr w14:paraId="7229D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continue"/>
                  <w:vAlign w:val="center"/>
                </w:tcPr>
                <w:p w14:paraId="0313C0FA">
                  <w:pPr>
                    <w:pStyle w:val="32"/>
                    <w:rPr>
                      <w:rFonts w:hint="default" w:ascii="Times New Roman" w:hAnsi="Times New Roman" w:cs="Times New Roman"/>
                      <w:color w:val="auto"/>
                    </w:rPr>
                  </w:pPr>
                </w:p>
              </w:tc>
              <w:tc>
                <w:tcPr>
                  <w:tcW w:w="344" w:type="pct"/>
                  <w:vMerge w:val="continue"/>
                  <w:vAlign w:val="center"/>
                </w:tcPr>
                <w:p w14:paraId="07D089F3">
                  <w:pPr>
                    <w:pStyle w:val="32"/>
                    <w:rPr>
                      <w:rFonts w:hint="default" w:ascii="Times New Roman" w:hAnsi="Times New Roman" w:cs="Times New Roman"/>
                      <w:color w:val="auto"/>
                    </w:rPr>
                  </w:pPr>
                </w:p>
              </w:tc>
              <w:tc>
                <w:tcPr>
                  <w:tcW w:w="301" w:type="pct"/>
                  <w:vMerge w:val="continue"/>
                  <w:vAlign w:val="center"/>
                </w:tcPr>
                <w:p w14:paraId="7D1BC96A">
                  <w:pPr>
                    <w:pStyle w:val="32"/>
                    <w:rPr>
                      <w:rFonts w:hint="default" w:ascii="Times New Roman" w:hAnsi="Times New Roman" w:cs="Times New Roman"/>
                      <w:color w:val="auto"/>
                    </w:rPr>
                  </w:pPr>
                </w:p>
              </w:tc>
              <w:tc>
                <w:tcPr>
                  <w:tcW w:w="445" w:type="pct"/>
                  <w:vAlign w:val="center"/>
                </w:tcPr>
                <w:p w14:paraId="65A2EAE0">
                  <w:pPr>
                    <w:pStyle w:val="32"/>
                    <w:rPr>
                      <w:rFonts w:hint="default" w:ascii="Times New Roman" w:hAnsi="Times New Roman" w:cs="Times New Roman"/>
                      <w:color w:val="auto"/>
                    </w:rPr>
                  </w:pPr>
                  <w:r>
                    <w:rPr>
                      <w:rFonts w:hint="default" w:ascii="Times New Roman" w:hAnsi="Times New Roman" w:cs="Times New Roman"/>
                      <w:color w:val="auto"/>
                    </w:rPr>
                    <w:t>排放速率</w:t>
                  </w:r>
                </w:p>
              </w:tc>
              <w:tc>
                <w:tcPr>
                  <w:tcW w:w="527" w:type="pct"/>
                  <w:vAlign w:val="center"/>
                </w:tcPr>
                <w:p w14:paraId="6A6C2941">
                  <w:pPr>
                    <w:pStyle w:val="32"/>
                    <w:rPr>
                      <w:rFonts w:hint="default" w:ascii="Times New Roman" w:hAnsi="Times New Roman" w:cs="Times New Roman"/>
                      <w:color w:val="auto"/>
                    </w:rPr>
                  </w:pPr>
                  <w:r>
                    <w:rPr>
                      <w:rFonts w:hint="default" w:ascii="Times New Roman" w:hAnsi="Times New Roman" w:cs="Times New Roman"/>
                      <w:color w:val="auto"/>
                    </w:rPr>
                    <w:t>kg/h</w:t>
                  </w:r>
                </w:p>
              </w:tc>
              <w:tc>
                <w:tcPr>
                  <w:tcW w:w="549" w:type="pct"/>
                  <w:vAlign w:val="center"/>
                </w:tcPr>
                <w:p w14:paraId="0718FCE7">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0.623</w:t>
                  </w:r>
                </w:p>
              </w:tc>
              <w:tc>
                <w:tcPr>
                  <w:tcW w:w="550" w:type="pct"/>
                  <w:vAlign w:val="center"/>
                </w:tcPr>
                <w:p w14:paraId="1C7E6493">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0.608</w:t>
                  </w:r>
                </w:p>
              </w:tc>
              <w:tc>
                <w:tcPr>
                  <w:tcW w:w="595" w:type="pct"/>
                  <w:vAlign w:val="center"/>
                </w:tcPr>
                <w:p w14:paraId="23031185">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0.595</w:t>
                  </w:r>
                </w:p>
              </w:tc>
              <w:tc>
                <w:tcPr>
                  <w:tcW w:w="686" w:type="pct"/>
                  <w:vAlign w:val="center"/>
                </w:tcPr>
                <w:p w14:paraId="63B930A0">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0.609</w:t>
                  </w:r>
                </w:p>
              </w:tc>
              <w:tc>
                <w:tcPr>
                  <w:tcW w:w="715" w:type="pct"/>
                  <w:vAlign w:val="center"/>
                </w:tcPr>
                <w:p w14:paraId="0321059E">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14:paraId="65C7F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continue"/>
                  <w:vAlign w:val="center"/>
                </w:tcPr>
                <w:p w14:paraId="03AC7BF9">
                  <w:pPr>
                    <w:pStyle w:val="32"/>
                    <w:rPr>
                      <w:rFonts w:hint="default" w:ascii="Times New Roman" w:hAnsi="Times New Roman" w:cs="Times New Roman"/>
                      <w:color w:val="auto"/>
                    </w:rPr>
                  </w:pPr>
                </w:p>
              </w:tc>
              <w:tc>
                <w:tcPr>
                  <w:tcW w:w="344" w:type="pct"/>
                  <w:vMerge w:val="continue"/>
                  <w:vAlign w:val="center"/>
                </w:tcPr>
                <w:p w14:paraId="08247769">
                  <w:pPr>
                    <w:pStyle w:val="32"/>
                    <w:rPr>
                      <w:rFonts w:hint="default" w:ascii="Times New Roman" w:hAnsi="Times New Roman" w:cs="Times New Roman"/>
                      <w:color w:val="auto"/>
                    </w:rPr>
                  </w:pPr>
                </w:p>
              </w:tc>
              <w:tc>
                <w:tcPr>
                  <w:tcW w:w="301" w:type="pct"/>
                  <w:vMerge w:val="restart"/>
                  <w:vAlign w:val="center"/>
                </w:tcPr>
                <w:p w14:paraId="793821DD">
                  <w:pPr>
                    <w:pStyle w:val="32"/>
                    <w:rPr>
                      <w:rFonts w:hint="default" w:ascii="Times New Roman" w:hAnsi="Times New Roman" w:cs="Times New Roman"/>
                      <w:color w:val="auto"/>
                    </w:rPr>
                  </w:pPr>
                  <w:r>
                    <w:rPr>
                      <w:rFonts w:hint="default" w:ascii="Times New Roman" w:hAnsi="Times New Roman" w:cs="Times New Roman"/>
                      <w:color w:val="auto"/>
                    </w:rPr>
                    <w:t>氮氧化物</w:t>
                  </w:r>
                </w:p>
              </w:tc>
              <w:tc>
                <w:tcPr>
                  <w:tcW w:w="445" w:type="pct"/>
                  <w:vAlign w:val="center"/>
                </w:tcPr>
                <w:p w14:paraId="4BC3E688">
                  <w:pPr>
                    <w:pStyle w:val="32"/>
                    <w:rPr>
                      <w:rFonts w:hint="default" w:ascii="Times New Roman" w:hAnsi="Times New Roman" w:cs="Times New Roman"/>
                      <w:color w:val="auto"/>
                    </w:rPr>
                  </w:pPr>
                  <w:r>
                    <w:rPr>
                      <w:rFonts w:hint="default" w:ascii="Times New Roman" w:hAnsi="Times New Roman" w:cs="Times New Roman"/>
                      <w:color w:val="auto"/>
                    </w:rPr>
                    <w:t>实测浓度</w:t>
                  </w:r>
                </w:p>
              </w:tc>
              <w:tc>
                <w:tcPr>
                  <w:tcW w:w="527" w:type="pct"/>
                  <w:vAlign w:val="center"/>
                </w:tcPr>
                <w:p w14:paraId="2D3B102B">
                  <w:pPr>
                    <w:pStyle w:val="32"/>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549" w:type="pct"/>
                  <w:vAlign w:val="center"/>
                </w:tcPr>
                <w:p w14:paraId="2A7D4DC8">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190</w:t>
                  </w:r>
                </w:p>
              </w:tc>
              <w:tc>
                <w:tcPr>
                  <w:tcW w:w="550" w:type="pct"/>
                  <w:vAlign w:val="center"/>
                </w:tcPr>
                <w:p w14:paraId="18ACCCA0">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185</w:t>
                  </w:r>
                </w:p>
              </w:tc>
              <w:tc>
                <w:tcPr>
                  <w:tcW w:w="595" w:type="pct"/>
                  <w:vAlign w:val="center"/>
                </w:tcPr>
                <w:p w14:paraId="19A6AED7">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181</w:t>
                  </w:r>
                </w:p>
              </w:tc>
              <w:tc>
                <w:tcPr>
                  <w:tcW w:w="686" w:type="pct"/>
                  <w:vAlign w:val="center"/>
                </w:tcPr>
                <w:p w14:paraId="3DD0DF33">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185</w:t>
                  </w:r>
                </w:p>
              </w:tc>
              <w:tc>
                <w:tcPr>
                  <w:tcW w:w="715" w:type="pct"/>
                  <w:vAlign w:val="center"/>
                </w:tcPr>
                <w:p w14:paraId="26B2C7F5">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14:paraId="26023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continue"/>
                  <w:vAlign w:val="center"/>
                </w:tcPr>
                <w:p w14:paraId="554A10FC">
                  <w:pPr>
                    <w:pStyle w:val="32"/>
                    <w:rPr>
                      <w:rFonts w:hint="default" w:ascii="Times New Roman" w:hAnsi="Times New Roman" w:cs="Times New Roman"/>
                      <w:color w:val="auto"/>
                    </w:rPr>
                  </w:pPr>
                </w:p>
              </w:tc>
              <w:tc>
                <w:tcPr>
                  <w:tcW w:w="344" w:type="pct"/>
                  <w:vMerge w:val="continue"/>
                  <w:vAlign w:val="center"/>
                </w:tcPr>
                <w:p w14:paraId="59DC20D9">
                  <w:pPr>
                    <w:pStyle w:val="32"/>
                    <w:rPr>
                      <w:rFonts w:hint="default" w:ascii="Times New Roman" w:hAnsi="Times New Roman" w:cs="Times New Roman"/>
                      <w:color w:val="auto"/>
                    </w:rPr>
                  </w:pPr>
                </w:p>
              </w:tc>
              <w:tc>
                <w:tcPr>
                  <w:tcW w:w="301" w:type="pct"/>
                  <w:vMerge w:val="continue"/>
                  <w:vAlign w:val="center"/>
                </w:tcPr>
                <w:p w14:paraId="09448917">
                  <w:pPr>
                    <w:pStyle w:val="32"/>
                    <w:rPr>
                      <w:rFonts w:hint="default" w:ascii="Times New Roman" w:hAnsi="Times New Roman" w:cs="Times New Roman"/>
                      <w:color w:val="auto"/>
                    </w:rPr>
                  </w:pPr>
                </w:p>
              </w:tc>
              <w:tc>
                <w:tcPr>
                  <w:tcW w:w="445" w:type="pct"/>
                  <w:vAlign w:val="center"/>
                </w:tcPr>
                <w:p w14:paraId="46945FB6">
                  <w:pPr>
                    <w:pStyle w:val="32"/>
                    <w:rPr>
                      <w:rFonts w:hint="default" w:ascii="Times New Roman" w:hAnsi="Times New Roman" w:cs="Times New Roman"/>
                      <w:color w:val="auto"/>
                    </w:rPr>
                  </w:pPr>
                  <w:r>
                    <w:rPr>
                      <w:rFonts w:hint="default" w:ascii="Times New Roman" w:hAnsi="Times New Roman" w:cs="Times New Roman"/>
                      <w:color w:val="auto"/>
                    </w:rPr>
                    <w:t>折算浓度</w:t>
                  </w:r>
                </w:p>
              </w:tc>
              <w:tc>
                <w:tcPr>
                  <w:tcW w:w="527" w:type="pct"/>
                  <w:vAlign w:val="center"/>
                </w:tcPr>
                <w:p w14:paraId="583BEE03">
                  <w:pPr>
                    <w:pStyle w:val="32"/>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549" w:type="pct"/>
                  <w:vAlign w:val="center"/>
                </w:tcPr>
                <w:p w14:paraId="44AA1170">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186</w:t>
                  </w:r>
                </w:p>
              </w:tc>
              <w:tc>
                <w:tcPr>
                  <w:tcW w:w="550" w:type="pct"/>
                  <w:vAlign w:val="center"/>
                </w:tcPr>
                <w:p w14:paraId="52B2B888">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174</w:t>
                  </w:r>
                </w:p>
              </w:tc>
              <w:tc>
                <w:tcPr>
                  <w:tcW w:w="595" w:type="pct"/>
                  <w:vAlign w:val="center"/>
                </w:tcPr>
                <w:p w14:paraId="29A8DEA0">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172</w:t>
                  </w:r>
                </w:p>
              </w:tc>
              <w:tc>
                <w:tcPr>
                  <w:tcW w:w="686" w:type="pct"/>
                  <w:vAlign w:val="center"/>
                </w:tcPr>
                <w:p w14:paraId="6FEC5303">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177</w:t>
                  </w:r>
                </w:p>
              </w:tc>
              <w:tc>
                <w:tcPr>
                  <w:tcW w:w="715" w:type="pct"/>
                  <w:vAlign w:val="center"/>
                </w:tcPr>
                <w:p w14:paraId="0A42A255">
                  <w:pPr>
                    <w:pStyle w:val="32"/>
                    <w:rPr>
                      <w:rFonts w:hint="default" w:ascii="Times New Roman" w:hAnsi="Times New Roman" w:cs="Times New Roman"/>
                      <w:color w:val="auto"/>
                    </w:rPr>
                  </w:pPr>
                  <w:r>
                    <w:rPr>
                      <w:rFonts w:hint="default" w:ascii="Times New Roman" w:hAnsi="Times New Roman" w:cs="Times New Roman"/>
                      <w:color w:val="auto"/>
                    </w:rPr>
                    <w:t>≤200</w:t>
                  </w:r>
                </w:p>
              </w:tc>
            </w:tr>
            <w:tr w14:paraId="5838C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2" w:type="pct"/>
                  <w:vMerge w:val="continue"/>
                  <w:vAlign w:val="center"/>
                </w:tcPr>
                <w:p w14:paraId="7E887F00">
                  <w:pPr>
                    <w:pStyle w:val="32"/>
                    <w:rPr>
                      <w:rFonts w:hint="default" w:ascii="Times New Roman" w:hAnsi="Times New Roman" w:cs="Times New Roman"/>
                      <w:color w:val="auto"/>
                    </w:rPr>
                  </w:pPr>
                </w:p>
              </w:tc>
              <w:tc>
                <w:tcPr>
                  <w:tcW w:w="344" w:type="pct"/>
                  <w:vMerge w:val="continue"/>
                  <w:vAlign w:val="center"/>
                </w:tcPr>
                <w:p w14:paraId="2BAA2C0C">
                  <w:pPr>
                    <w:pStyle w:val="32"/>
                    <w:rPr>
                      <w:rFonts w:hint="default" w:ascii="Times New Roman" w:hAnsi="Times New Roman" w:cs="Times New Roman"/>
                      <w:color w:val="auto"/>
                    </w:rPr>
                  </w:pPr>
                </w:p>
              </w:tc>
              <w:tc>
                <w:tcPr>
                  <w:tcW w:w="301" w:type="pct"/>
                  <w:vMerge w:val="continue"/>
                  <w:vAlign w:val="center"/>
                </w:tcPr>
                <w:p w14:paraId="6315742D">
                  <w:pPr>
                    <w:pStyle w:val="32"/>
                    <w:rPr>
                      <w:rFonts w:hint="default" w:ascii="Times New Roman" w:hAnsi="Times New Roman" w:cs="Times New Roman"/>
                      <w:color w:val="auto"/>
                    </w:rPr>
                  </w:pPr>
                </w:p>
              </w:tc>
              <w:tc>
                <w:tcPr>
                  <w:tcW w:w="445" w:type="pct"/>
                  <w:vAlign w:val="center"/>
                </w:tcPr>
                <w:p w14:paraId="45B3454D">
                  <w:pPr>
                    <w:pStyle w:val="32"/>
                    <w:rPr>
                      <w:rFonts w:hint="default" w:ascii="Times New Roman" w:hAnsi="Times New Roman" w:cs="Times New Roman"/>
                      <w:color w:val="auto"/>
                    </w:rPr>
                  </w:pPr>
                  <w:r>
                    <w:rPr>
                      <w:rFonts w:hint="default" w:ascii="Times New Roman" w:hAnsi="Times New Roman" w:cs="Times New Roman"/>
                      <w:color w:val="auto"/>
                    </w:rPr>
                    <w:t>排放速率</w:t>
                  </w:r>
                </w:p>
              </w:tc>
              <w:tc>
                <w:tcPr>
                  <w:tcW w:w="527" w:type="pct"/>
                  <w:vAlign w:val="center"/>
                </w:tcPr>
                <w:p w14:paraId="4F665EF3">
                  <w:pPr>
                    <w:pStyle w:val="32"/>
                    <w:rPr>
                      <w:rFonts w:hint="default" w:ascii="Times New Roman" w:hAnsi="Times New Roman" w:cs="Times New Roman"/>
                      <w:color w:val="auto"/>
                    </w:rPr>
                  </w:pPr>
                  <w:r>
                    <w:rPr>
                      <w:rFonts w:hint="default" w:ascii="Times New Roman" w:hAnsi="Times New Roman" w:cs="Times New Roman"/>
                      <w:color w:val="auto"/>
                    </w:rPr>
                    <w:t>kg/h</w:t>
                  </w:r>
                </w:p>
              </w:tc>
              <w:tc>
                <w:tcPr>
                  <w:tcW w:w="549" w:type="pct"/>
                  <w:vAlign w:val="center"/>
                </w:tcPr>
                <w:p w14:paraId="327EEB3B">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1.20</w:t>
                  </w:r>
                </w:p>
              </w:tc>
              <w:tc>
                <w:tcPr>
                  <w:tcW w:w="550" w:type="pct"/>
                  <w:vAlign w:val="center"/>
                </w:tcPr>
                <w:p w14:paraId="574B1D2F">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0.93</w:t>
                  </w:r>
                </w:p>
              </w:tc>
              <w:tc>
                <w:tcPr>
                  <w:tcW w:w="595" w:type="pct"/>
                  <w:vAlign w:val="center"/>
                </w:tcPr>
                <w:p w14:paraId="3C71CF93">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0.89</w:t>
                  </w:r>
                </w:p>
              </w:tc>
              <w:tc>
                <w:tcPr>
                  <w:tcW w:w="686" w:type="pct"/>
                  <w:vAlign w:val="center"/>
                </w:tcPr>
                <w:p w14:paraId="3655CF15">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1.01</w:t>
                  </w:r>
                </w:p>
              </w:tc>
              <w:tc>
                <w:tcPr>
                  <w:tcW w:w="715" w:type="pct"/>
                  <w:vAlign w:val="center"/>
                </w:tcPr>
                <w:p w14:paraId="01DE4472">
                  <w:pPr>
                    <w:pStyle w:val="32"/>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14:paraId="0BB39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vMerge w:val="continue"/>
                  <w:vAlign w:val="center"/>
                </w:tcPr>
                <w:p w14:paraId="4BA8619B">
                  <w:pPr>
                    <w:pStyle w:val="32"/>
                    <w:rPr>
                      <w:rFonts w:hint="default" w:ascii="Times New Roman" w:hAnsi="Times New Roman" w:cs="Times New Roman"/>
                      <w:color w:val="auto"/>
                    </w:rPr>
                  </w:pPr>
                </w:p>
              </w:tc>
              <w:tc>
                <w:tcPr>
                  <w:tcW w:w="344" w:type="pct"/>
                  <w:vMerge w:val="continue"/>
                  <w:vAlign w:val="center"/>
                </w:tcPr>
                <w:p w14:paraId="60A2850A">
                  <w:pPr>
                    <w:pStyle w:val="32"/>
                    <w:rPr>
                      <w:rFonts w:hint="default" w:ascii="Times New Roman" w:hAnsi="Times New Roman" w:cs="Times New Roman"/>
                      <w:color w:val="auto"/>
                    </w:rPr>
                  </w:pPr>
                </w:p>
              </w:tc>
              <w:tc>
                <w:tcPr>
                  <w:tcW w:w="746" w:type="pct"/>
                  <w:gridSpan w:val="2"/>
                  <w:vAlign w:val="center"/>
                </w:tcPr>
                <w:p w14:paraId="1D83C38A">
                  <w:pPr>
                    <w:pStyle w:val="32"/>
                    <w:rPr>
                      <w:rFonts w:hint="default" w:ascii="Times New Roman" w:hAnsi="Times New Roman" w:cs="Times New Roman"/>
                      <w:color w:val="auto"/>
                    </w:rPr>
                  </w:pPr>
                  <w:r>
                    <w:rPr>
                      <w:rFonts w:hint="default" w:ascii="Times New Roman" w:hAnsi="Times New Roman" w:cs="Times New Roman"/>
                      <w:color w:val="auto"/>
                    </w:rPr>
                    <w:t>烟气黑度</w:t>
                  </w:r>
                </w:p>
              </w:tc>
              <w:tc>
                <w:tcPr>
                  <w:tcW w:w="527" w:type="pct"/>
                  <w:vAlign w:val="center"/>
                </w:tcPr>
                <w:p w14:paraId="3D14D7ED">
                  <w:pPr>
                    <w:pStyle w:val="32"/>
                    <w:rPr>
                      <w:rFonts w:hint="default" w:ascii="Times New Roman" w:hAnsi="Times New Roman" w:cs="Times New Roman"/>
                      <w:color w:val="auto"/>
                    </w:rPr>
                  </w:pPr>
                  <w:r>
                    <w:rPr>
                      <w:rFonts w:hint="default" w:ascii="Times New Roman" w:hAnsi="Times New Roman" w:cs="Times New Roman"/>
                      <w:color w:val="auto"/>
                    </w:rPr>
                    <w:t>级</w:t>
                  </w:r>
                </w:p>
              </w:tc>
              <w:tc>
                <w:tcPr>
                  <w:tcW w:w="2382" w:type="pct"/>
                  <w:gridSpan w:val="4"/>
                  <w:vAlign w:val="center"/>
                </w:tcPr>
                <w:p w14:paraId="0B4C474E">
                  <w:pPr>
                    <w:pStyle w:val="32"/>
                    <w:rPr>
                      <w:rFonts w:hint="default" w:ascii="Times New Roman" w:hAnsi="Times New Roman" w:cs="Times New Roman"/>
                      <w:color w:val="auto"/>
                    </w:rPr>
                  </w:pPr>
                  <w:r>
                    <w:rPr>
                      <w:rFonts w:hint="default" w:ascii="Times New Roman" w:hAnsi="Times New Roman" w:cs="Times New Roman"/>
                      <w:color w:val="auto"/>
                    </w:rPr>
                    <w:t>&lt;1</w:t>
                  </w:r>
                </w:p>
              </w:tc>
              <w:tc>
                <w:tcPr>
                  <w:tcW w:w="715" w:type="pct"/>
                  <w:vAlign w:val="center"/>
                </w:tcPr>
                <w:p w14:paraId="5E592074">
                  <w:pPr>
                    <w:pStyle w:val="32"/>
                    <w:rPr>
                      <w:rFonts w:hint="default" w:ascii="Times New Roman" w:hAnsi="Times New Roman" w:cs="Times New Roman"/>
                      <w:color w:val="auto"/>
                    </w:rPr>
                  </w:pPr>
                  <w:r>
                    <w:rPr>
                      <w:rFonts w:hint="default" w:ascii="Times New Roman" w:hAnsi="Times New Roman" w:cs="Times New Roman"/>
                      <w:color w:val="auto"/>
                    </w:rPr>
                    <w:t>≤1</w:t>
                  </w:r>
                </w:p>
              </w:tc>
            </w:tr>
            <w:tr w14:paraId="655DA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vAlign w:val="center"/>
                </w:tcPr>
                <w:p w14:paraId="280573B5">
                  <w:pPr>
                    <w:pStyle w:val="32"/>
                    <w:rPr>
                      <w:rFonts w:hint="default" w:ascii="Times New Roman" w:hAnsi="Times New Roman" w:cs="Times New Roman"/>
                      <w:color w:val="auto"/>
                    </w:rPr>
                  </w:pPr>
                  <w:r>
                    <w:rPr>
                      <w:rFonts w:hint="default" w:ascii="Times New Roman" w:hAnsi="Times New Roman" w:cs="Times New Roman"/>
                      <w:color w:val="auto"/>
                    </w:rPr>
                    <w:t>备注</w:t>
                  </w:r>
                </w:p>
              </w:tc>
              <w:tc>
                <w:tcPr>
                  <w:tcW w:w="4001" w:type="pct"/>
                  <w:gridSpan w:val="8"/>
                  <w:vAlign w:val="center"/>
                </w:tcPr>
                <w:p w14:paraId="252742C4">
                  <w:pPr>
                    <w:pStyle w:val="32"/>
                    <w:rPr>
                      <w:rFonts w:hint="default" w:ascii="Times New Roman" w:hAnsi="Times New Roman" w:cs="Times New Roman"/>
                      <w:color w:val="auto"/>
                    </w:rPr>
                  </w:pPr>
                  <w:r>
                    <w:rPr>
                      <w:rFonts w:hint="default" w:ascii="Times New Roman" w:hAnsi="Times New Roman" w:cs="Times New Roman"/>
                      <w:color w:val="auto"/>
                    </w:rPr>
                    <w:t>锅炉燃料：</w:t>
                  </w:r>
                  <w:r>
                    <w:rPr>
                      <w:rFonts w:hint="eastAsia" w:cs="Times New Roman"/>
                      <w:color w:val="auto"/>
                      <w:lang w:eastAsia="zh-CN"/>
                    </w:rPr>
                    <w:t>烟煤</w:t>
                  </w:r>
                  <w:r>
                    <w:rPr>
                      <w:rFonts w:hint="default" w:ascii="Times New Roman" w:hAnsi="Times New Roman" w:cs="Times New Roman"/>
                      <w:color w:val="auto"/>
                    </w:rPr>
                    <w:t>；排气筒高度：15m。</w:t>
                  </w:r>
                </w:p>
              </w:tc>
              <w:tc>
                <w:tcPr>
                  <w:tcW w:w="715" w:type="pct"/>
                  <w:vAlign w:val="center"/>
                </w:tcPr>
                <w:p w14:paraId="591C1528">
                  <w:pPr>
                    <w:pStyle w:val="32"/>
                    <w:rPr>
                      <w:rFonts w:hint="default" w:ascii="Times New Roman" w:hAnsi="Times New Roman" w:cs="Times New Roman"/>
                      <w:color w:val="auto"/>
                    </w:rPr>
                  </w:pPr>
                </w:p>
              </w:tc>
            </w:tr>
          </w:tbl>
          <w:p w14:paraId="26ADC480">
            <w:pPr>
              <w:pStyle w:val="12"/>
              <w:ind w:firstLine="0" w:firstLineChars="0"/>
              <w:rPr>
                <w:rFonts w:hint="default" w:ascii="Times New Roman" w:hAnsi="Times New Roman" w:cs="Times New Roman"/>
                <w:color w:val="auto"/>
              </w:rPr>
            </w:pPr>
          </w:p>
          <w:p w14:paraId="1E61A815">
            <w:pPr>
              <w:numPr>
                <w:ilvl w:val="0"/>
                <w:numId w:val="3"/>
              </w:num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噪声：按照现有环评报告的噪声污染防治措施进行落实。建设单位于2021年</w:t>
            </w:r>
            <w:r>
              <w:rPr>
                <w:rFonts w:hint="eastAsia" w:cs="Times New Roman"/>
                <w:color w:val="auto"/>
                <w:lang w:val="en-US" w:eastAsia="zh-CN"/>
              </w:rPr>
              <w:t>7</w:t>
            </w:r>
            <w:r>
              <w:rPr>
                <w:rFonts w:hint="default" w:ascii="Times New Roman" w:hAnsi="Times New Roman" w:cs="Times New Roman"/>
                <w:color w:val="auto"/>
              </w:rPr>
              <w:t>月1</w:t>
            </w:r>
            <w:r>
              <w:rPr>
                <w:rFonts w:hint="eastAsia" w:cs="Times New Roman"/>
                <w:color w:val="auto"/>
                <w:lang w:val="en-US" w:eastAsia="zh-CN"/>
              </w:rPr>
              <w:t>2</w:t>
            </w:r>
            <w:r>
              <w:rPr>
                <w:rFonts w:hint="default" w:ascii="Times New Roman" w:hAnsi="Times New Roman" w:cs="Times New Roman"/>
                <w:color w:val="auto"/>
              </w:rPr>
              <w:t>日~</w:t>
            </w:r>
            <w:r>
              <w:rPr>
                <w:rFonts w:hint="eastAsia" w:cs="Times New Roman"/>
                <w:color w:val="auto"/>
                <w:lang w:val="en-US" w:eastAsia="zh-CN"/>
              </w:rPr>
              <w:t>7</w:t>
            </w:r>
            <w:r>
              <w:rPr>
                <w:rFonts w:hint="default" w:ascii="Times New Roman" w:hAnsi="Times New Roman" w:cs="Times New Roman"/>
                <w:color w:val="auto"/>
              </w:rPr>
              <w:t>月</w:t>
            </w:r>
            <w:r>
              <w:rPr>
                <w:rFonts w:hint="eastAsia" w:cs="Times New Roman"/>
                <w:color w:val="auto"/>
                <w:lang w:val="en-US" w:eastAsia="zh-CN"/>
              </w:rPr>
              <w:t>1</w:t>
            </w:r>
            <w:r>
              <w:rPr>
                <w:rFonts w:hint="default" w:ascii="Times New Roman" w:hAnsi="Times New Roman" w:cs="Times New Roman"/>
                <w:color w:val="auto"/>
              </w:rPr>
              <w:t>7日委托福建拓普检测技术有限公司对现有工程进行自行检测，检测报告编号为：CTPF20HJ0343-</w:t>
            </w:r>
            <w:r>
              <w:rPr>
                <w:rFonts w:hint="eastAsia" w:cs="Times New Roman"/>
                <w:color w:val="auto"/>
                <w:lang w:val="en-US" w:eastAsia="zh-CN"/>
              </w:rPr>
              <w:t>6</w:t>
            </w:r>
            <w:r>
              <w:rPr>
                <w:rFonts w:hint="default" w:ascii="Times New Roman" w:hAnsi="Times New Roman" w:cs="Times New Roman"/>
                <w:color w:val="auto"/>
              </w:rPr>
              <w:t>，则检测报告中有组织废气排放情况详见表</w:t>
            </w:r>
            <w:r>
              <w:rPr>
                <w:rFonts w:hint="eastAsia" w:cs="Times New Roman"/>
                <w:color w:val="auto"/>
                <w:lang w:val="en-US" w:eastAsia="zh-CN"/>
              </w:rPr>
              <w:t>2.7-2</w:t>
            </w:r>
            <w:r>
              <w:rPr>
                <w:rFonts w:hint="default" w:ascii="Times New Roman" w:hAnsi="Times New Roman" w:cs="Times New Roman"/>
                <w:color w:val="auto"/>
              </w:rPr>
              <w:t>），项目厂界噪声能满足《工业企业厂界环境噪声排放标准》（GB12348-2008）中3类标准（昼间≤65dB，夜间≤55dB）排放限值要求。</w:t>
            </w:r>
          </w:p>
          <w:p w14:paraId="18DCBEC0">
            <w:pPr>
              <w:pStyle w:val="28"/>
              <w:rPr>
                <w:rFonts w:hint="default" w:ascii="Times New Roman" w:hAnsi="Times New Roman" w:cs="Times New Roman"/>
                <w:color w:val="auto"/>
              </w:rPr>
            </w:pPr>
            <w:r>
              <w:rPr>
                <w:rFonts w:hint="default" w:ascii="Times New Roman" w:hAnsi="Times New Roman" w:cs="Times New Roman"/>
                <w:color w:val="auto"/>
              </w:rPr>
              <w:t>表</w:t>
            </w:r>
            <w:r>
              <w:rPr>
                <w:rFonts w:hint="eastAsia" w:cs="Times New Roman"/>
                <w:color w:val="auto"/>
                <w:lang w:val="en-US" w:eastAsia="zh-CN"/>
              </w:rPr>
              <w:t>2.7-2</w:t>
            </w:r>
            <w:r>
              <w:rPr>
                <w:rFonts w:hint="default" w:ascii="Times New Roman" w:hAnsi="Times New Roman" w:cs="Times New Roman"/>
                <w:color w:val="auto"/>
              </w:rPr>
              <w:t xml:space="preserve"> </w:t>
            </w:r>
            <w:r>
              <w:rPr>
                <w:rFonts w:hint="eastAsia" w:cs="Times New Roman"/>
                <w:color w:val="auto"/>
                <w:lang w:val="en-US" w:eastAsia="zh-CN"/>
              </w:rPr>
              <w:t xml:space="preserve"> </w:t>
            </w:r>
            <w:r>
              <w:rPr>
                <w:rFonts w:hint="default" w:ascii="Times New Roman" w:hAnsi="Times New Roman" w:cs="Times New Roman"/>
                <w:color w:val="auto"/>
              </w:rPr>
              <w:t>项目环境噪声检测结果一览表</w:t>
            </w:r>
          </w:p>
          <w:tbl>
            <w:tblPr>
              <w:tblStyle w:val="22"/>
              <w:tblW w:w="81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952"/>
              <w:gridCol w:w="1595"/>
              <w:gridCol w:w="1850"/>
              <w:gridCol w:w="1980"/>
            </w:tblGrid>
            <w:tr w14:paraId="172BF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Merge w:val="restart"/>
                  <w:vAlign w:val="center"/>
                </w:tcPr>
                <w:p w14:paraId="34378991">
                  <w:pPr>
                    <w:pStyle w:val="32"/>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测点编号</w:t>
                  </w:r>
                </w:p>
              </w:tc>
              <w:tc>
                <w:tcPr>
                  <w:tcW w:w="1952" w:type="dxa"/>
                  <w:vMerge w:val="restart"/>
                  <w:vAlign w:val="center"/>
                </w:tcPr>
                <w:p w14:paraId="609027C3">
                  <w:pPr>
                    <w:pStyle w:val="32"/>
                    <w:jc w:val="center"/>
                    <w:rPr>
                      <w:rFonts w:hint="eastAsia" w:ascii="Times New Roman" w:hAnsi="Times New Roman" w:eastAsia="宋体" w:cs="Times New Roman"/>
                      <w:b/>
                      <w:bCs/>
                      <w:color w:val="auto"/>
                      <w:sz w:val="21"/>
                      <w:szCs w:val="21"/>
                      <w:lang w:eastAsia="zh-CN"/>
                    </w:rPr>
                  </w:pPr>
                  <w:r>
                    <w:rPr>
                      <w:rFonts w:hint="eastAsia" w:ascii="Times New Roman" w:hAnsi="Times New Roman" w:cs="Times New Roman"/>
                      <w:b/>
                      <w:bCs/>
                      <w:color w:val="auto"/>
                      <w:sz w:val="21"/>
                      <w:szCs w:val="21"/>
                      <w:lang w:eastAsia="zh-CN"/>
                    </w:rPr>
                    <w:t>测点名称</w:t>
                  </w:r>
                </w:p>
              </w:tc>
              <w:tc>
                <w:tcPr>
                  <w:tcW w:w="1595" w:type="dxa"/>
                  <w:vMerge w:val="restart"/>
                  <w:vAlign w:val="center"/>
                </w:tcPr>
                <w:p w14:paraId="48ED7EE4">
                  <w:pPr>
                    <w:pStyle w:val="32"/>
                    <w:jc w:val="center"/>
                    <w:rPr>
                      <w:rFonts w:hint="eastAsia" w:ascii="Times New Roman" w:hAnsi="Times New Roman" w:cs="Times New Roman"/>
                      <w:b/>
                      <w:bCs/>
                      <w:color w:val="auto"/>
                      <w:sz w:val="21"/>
                      <w:szCs w:val="21"/>
                      <w:lang w:eastAsia="zh-CN"/>
                    </w:rPr>
                  </w:pPr>
                  <w:r>
                    <w:rPr>
                      <w:rFonts w:hint="eastAsia" w:ascii="Times New Roman" w:hAnsi="Times New Roman" w:cs="Times New Roman"/>
                      <w:b/>
                      <w:bCs/>
                      <w:color w:val="auto"/>
                      <w:sz w:val="21"/>
                      <w:szCs w:val="21"/>
                      <w:lang w:eastAsia="zh-CN"/>
                    </w:rPr>
                    <w:t>主要声源</w:t>
                  </w:r>
                </w:p>
              </w:tc>
              <w:tc>
                <w:tcPr>
                  <w:tcW w:w="3830" w:type="dxa"/>
                  <w:gridSpan w:val="2"/>
                  <w:vAlign w:val="center"/>
                </w:tcPr>
                <w:p w14:paraId="446D0D6E">
                  <w:pPr>
                    <w:pStyle w:val="32"/>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Leq（dB(A)）</w:t>
                  </w:r>
                </w:p>
              </w:tc>
            </w:tr>
            <w:tr w14:paraId="1FCCF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Merge w:val="continue"/>
                  <w:vAlign w:val="center"/>
                </w:tcPr>
                <w:p w14:paraId="07302A30">
                  <w:pPr>
                    <w:pStyle w:val="32"/>
                    <w:jc w:val="center"/>
                    <w:rPr>
                      <w:rFonts w:hint="default" w:ascii="Times New Roman" w:hAnsi="Times New Roman" w:cs="Times New Roman"/>
                      <w:b/>
                      <w:bCs/>
                      <w:color w:val="auto"/>
                      <w:sz w:val="21"/>
                      <w:szCs w:val="21"/>
                    </w:rPr>
                  </w:pPr>
                </w:p>
              </w:tc>
              <w:tc>
                <w:tcPr>
                  <w:tcW w:w="1952" w:type="dxa"/>
                  <w:vMerge w:val="continue"/>
                  <w:vAlign w:val="center"/>
                </w:tcPr>
                <w:p w14:paraId="0525B517">
                  <w:pPr>
                    <w:pStyle w:val="32"/>
                    <w:jc w:val="center"/>
                    <w:rPr>
                      <w:rFonts w:hint="default" w:ascii="Times New Roman" w:hAnsi="Times New Roman" w:cs="Times New Roman"/>
                      <w:b/>
                      <w:bCs/>
                      <w:color w:val="auto"/>
                      <w:sz w:val="21"/>
                      <w:szCs w:val="21"/>
                    </w:rPr>
                  </w:pPr>
                </w:p>
              </w:tc>
              <w:tc>
                <w:tcPr>
                  <w:tcW w:w="1595" w:type="dxa"/>
                  <w:vMerge w:val="continue"/>
                  <w:vAlign w:val="center"/>
                </w:tcPr>
                <w:p w14:paraId="5E94FA66">
                  <w:pPr>
                    <w:pStyle w:val="32"/>
                    <w:jc w:val="center"/>
                    <w:rPr>
                      <w:rFonts w:hint="default" w:ascii="Times New Roman" w:hAnsi="Times New Roman" w:cs="Times New Roman"/>
                      <w:b/>
                      <w:bCs/>
                      <w:color w:val="auto"/>
                      <w:sz w:val="21"/>
                      <w:szCs w:val="21"/>
                    </w:rPr>
                  </w:pPr>
                </w:p>
              </w:tc>
              <w:tc>
                <w:tcPr>
                  <w:tcW w:w="1850" w:type="dxa"/>
                  <w:vAlign w:val="center"/>
                </w:tcPr>
                <w:p w14:paraId="402257FB">
                  <w:pPr>
                    <w:pStyle w:val="32"/>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昼间测量值</w:t>
                  </w:r>
                </w:p>
              </w:tc>
              <w:tc>
                <w:tcPr>
                  <w:tcW w:w="1980" w:type="dxa"/>
                  <w:vAlign w:val="center"/>
                </w:tcPr>
                <w:p w14:paraId="00089AE5">
                  <w:pPr>
                    <w:pStyle w:val="32"/>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夜间测量值</w:t>
                  </w:r>
                </w:p>
              </w:tc>
            </w:tr>
            <w:tr w14:paraId="4A166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Align w:val="center"/>
                </w:tcPr>
                <w:p w14:paraId="56E97C71">
                  <w:pPr>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ZS-01</w:t>
                  </w:r>
                </w:p>
              </w:tc>
              <w:tc>
                <w:tcPr>
                  <w:tcW w:w="1952" w:type="dxa"/>
                  <w:vAlign w:val="center"/>
                </w:tcPr>
                <w:p w14:paraId="73455BDC">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东侧厂界外</w:t>
                  </w:r>
                  <w:r>
                    <w:rPr>
                      <w:rFonts w:hint="eastAsia" w:ascii="Times New Roman" w:hAnsi="Times New Roman" w:cs="Times New Roman"/>
                      <w:color w:val="auto"/>
                      <w:sz w:val="21"/>
                      <w:szCs w:val="21"/>
                      <w:lang w:val="en-US" w:eastAsia="zh-CN"/>
                    </w:rPr>
                    <w:t>1米1#</w:t>
                  </w:r>
                </w:p>
              </w:tc>
              <w:tc>
                <w:tcPr>
                  <w:tcW w:w="1595" w:type="dxa"/>
                  <w:vAlign w:val="center"/>
                </w:tcPr>
                <w:p w14:paraId="5C252E37">
                  <w:pPr>
                    <w:spacing w:line="240" w:lineRule="auto"/>
                    <w:ind w:left="0" w:leftChars="0" w:firstLine="0" w:firstLineChars="0"/>
                    <w:jc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生产噪声</w:t>
                  </w:r>
                </w:p>
              </w:tc>
              <w:tc>
                <w:tcPr>
                  <w:tcW w:w="1850" w:type="dxa"/>
                  <w:vAlign w:val="center"/>
                </w:tcPr>
                <w:p w14:paraId="38445536">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59.0</w:t>
                  </w:r>
                </w:p>
              </w:tc>
              <w:tc>
                <w:tcPr>
                  <w:tcW w:w="1980" w:type="dxa"/>
                  <w:vAlign w:val="center"/>
                </w:tcPr>
                <w:p w14:paraId="50BF5076">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50.3</w:t>
                  </w:r>
                </w:p>
              </w:tc>
            </w:tr>
            <w:tr w14:paraId="314C7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Align w:val="center"/>
                </w:tcPr>
                <w:p w14:paraId="6E22E21E">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ZS-0</w:t>
                  </w:r>
                  <w:r>
                    <w:rPr>
                      <w:rFonts w:hint="eastAsia" w:ascii="Times New Roman" w:hAnsi="Times New Roman" w:eastAsia="宋体" w:cs="Times New Roman"/>
                      <w:color w:val="auto"/>
                      <w:sz w:val="21"/>
                      <w:szCs w:val="21"/>
                      <w:lang w:val="en-US" w:eastAsia="zh-CN"/>
                    </w:rPr>
                    <w:t>2</w:t>
                  </w:r>
                </w:p>
              </w:tc>
              <w:tc>
                <w:tcPr>
                  <w:tcW w:w="1952" w:type="dxa"/>
                  <w:vAlign w:val="center"/>
                </w:tcPr>
                <w:p w14:paraId="144622CF">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东侧厂界外1米2#</w:t>
                  </w:r>
                </w:p>
              </w:tc>
              <w:tc>
                <w:tcPr>
                  <w:tcW w:w="1595" w:type="dxa"/>
                  <w:vAlign w:val="center"/>
                </w:tcPr>
                <w:p w14:paraId="79165552">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生产噪声</w:t>
                  </w:r>
                </w:p>
              </w:tc>
              <w:tc>
                <w:tcPr>
                  <w:tcW w:w="1850" w:type="dxa"/>
                  <w:vAlign w:val="center"/>
                </w:tcPr>
                <w:p w14:paraId="75AB2A14">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59.8</w:t>
                  </w:r>
                </w:p>
              </w:tc>
              <w:tc>
                <w:tcPr>
                  <w:tcW w:w="1980" w:type="dxa"/>
                  <w:vAlign w:val="center"/>
                </w:tcPr>
                <w:p w14:paraId="2499654F">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49.1</w:t>
                  </w:r>
                </w:p>
              </w:tc>
            </w:tr>
            <w:tr w14:paraId="1B2C6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Align w:val="center"/>
                </w:tcPr>
                <w:p w14:paraId="7F402CF2">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ZS-0</w:t>
                  </w:r>
                  <w:r>
                    <w:rPr>
                      <w:rFonts w:hint="eastAsia" w:ascii="Times New Roman" w:hAnsi="Times New Roman" w:eastAsia="宋体" w:cs="Times New Roman"/>
                      <w:color w:val="auto"/>
                      <w:sz w:val="21"/>
                      <w:szCs w:val="21"/>
                      <w:lang w:val="en-US" w:eastAsia="zh-CN"/>
                    </w:rPr>
                    <w:t>3</w:t>
                  </w:r>
                </w:p>
              </w:tc>
              <w:tc>
                <w:tcPr>
                  <w:tcW w:w="1952" w:type="dxa"/>
                  <w:vAlign w:val="center"/>
                </w:tcPr>
                <w:p w14:paraId="7C8C718C">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东侧厂界外1米3#</w:t>
                  </w:r>
                </w:p>
              </w:tc>
              <w:tc>
                <w:tcPr>
                  <w:tcW w:w="1595" w:type="dxa"/>
                  <w:vAlign w:val="center"/>
                </w:tcPr>
                <w:p w14:paraId="6815FFD7">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生产噪声</w:t>
                  </w:r>
                </w:p>
              </w:tc>
              <w:tc>
                <w:tcPr>
                  <w:tcW w:w="1850" w:type="dxa"/>
                  <w:vAlign w:val="center"/>
                </w:tcPr>
                <w:p w14:paraId="3102D783">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59.9</w:t>
                  </w:r>
                </w:p>
              </w:tc>
              <w:tc>
                <w:tcPr>
                  <w:tcW w:w="1980" w:type="dxa"/>
                  <w:vAlign w:val="center"/>
                </w:tcPr>
                <w:p w14:paraId="49FB6897">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51.6</w:t>
                  </w:r>
                </w:p>
              </w:tc>
            </w:tr>
            <w:tr w14:paraId="766BD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Align w:val="center"/>
                </w:tcPr>
                <w:p w14:paraId="0958BA46">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ZS-0</w:t>
                  </w:r>
                  <w:r>
                    <w:rPr>
                      <w:rFonts w:hint="eastAsia" w:ascii="Times New Roman" w:hAnsi="Times New Roman" w:eastAsia="宋体" w:cs="Times New Roman"/>
                      <w:color w:val="auto"/>
                      <w:sz w:val="21"/>
                      <w:szCs w:val="21"/>
                      <w:lang w:val="en-US" w:eastAsia="zh-CN"/>
                    </w:rPr>
                    <w:t>4</w:t>
                  </w:r>
                </w:p>
              </w:tc>
              <w:tc>
                <w:tcPr>
                  <w:tcW w:w="1952" w:type="dxa"/>
                  <w:vAlign w:val="center"/>
                </w:tcPr>
                <w:p w14:paraId="794B443B">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北面厂界外1米1#</w:t>
                  </w:r>
                </w:p>
              </w:tc>
              <w:tc>
                <w:tcPr>
                  <w:tcW w:w="1595" w:type="dxa"/>
                  <w:vAlign w:val="center"/>
                </w:tcPr>
                <w:p w14:paraId="2EA281FE">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生产噪声</w:t>
                  </w:r>
                </w:p>
              </w:tc>
              <w:tc>
                <w:tcPr>
                  <w:tcW w:w="1850" w:type="dxa"/>
                  <w:vAlign w:val="center"/>
                </w:tcPr>
                <w:p w14:paraId="5F0AF1A0">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59.6</w:t>
                  </w:r>
                </w:p>
              </w:tc>
              <w:tc>
                <w:tcPr>
                  <w:tcW w:w="1980" w:type="dxa"/>
                  <w:vAlign w:val="center"/>
                </w:tcPr>
                <w:p w14:paraId="50567534">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51.2</w:t>
                  </w:r>
                </w:p>
              </w:tc>
            </w:tr>
            <w:tr w14:paraId="1ED18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Align w:val="center"/>
                </w:tcPr>
                <w:p w14:paraId="76113AF0">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ZS-0</w:t>
                  </w:r>
                  <w:r>
                    <w:rPr>
                      <w:rFonts w:hint="eastAsia" w:ascii="Times New Roman" w:hAnsi="Times New Roman" w:eastAsia="宋体" w:cs="Times New Roman"/>
                      <w:color w:val="auto"/>
                      <w:sz w:val="21"/>
                      <w:szCs w:val="21"/>
                      <w:lang w:val="en-US" w:eastAsia="zh-CN"/>
                    </w:rPr>
                    <w:t>5</w:t>
                  </w:r>
                </w:p>
              </w:tc>
              <w:tc>
                <w:tcPr>
                  <w:tcW w:w="1952" w:type="dxa"/>
                  <w:vAlign w:val="center"/>
                </w:tcPr>
                <w:p w14:paraId="47166536">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北面厂界外1米2#</w:t>
                  </w:r>
                </w:p>
              </w:tc>
              <w:tc>
                <w:tcPr>
                  <w:tcW w:w="1595" w:type="dxa"/>
                  <w:vAlign w:val="center"/>
                </w:tcPr>
                <w:p w14:paraId="7E6E7F7C">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生产噪声</w:t>
                  </w:r>
                </w:p>
              </w:tc>
              <w:tc>
                <w:tcPr>
                  <w:tcW w:w="1850" w:type="dxa"/>
                  <w:vAlign w:val="center"/>
                </w:tcPr>
                <w:p w14:paraId="6FFA8468">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56.4</w:t>
                  </w:r>
                </w:p>
              </w:tc>
              <w:tc>
                <w:tcPr>
                  <w:tcW w:w="1980" w:type="dxa"/>
                  <w:vAlign w:val="center"/>
                </w:tcPr>
                <w:p w14:paraId="5CEB07FB">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49.0</w:t>
                  </w:r>
                </w:p>
              </w:tc>
            </w:tr>
            <w:tr w14:paraId="4AF60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Align w:val="center"/>
                </w:tcPr>
                <w:p w14:paraId="1BB5B799">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ZS-0</w:t>
                  </w:r>
                  <w:r>
                    <w:rPr>
                      <w:rFonts w:hint="eastAsia" w:ascii="Times New Roman" w:hAnsi="Times New Roman" w:eastAsia="宋体" w:cs="Times New Roman"/>
                      <w:color w:val="auto"/>
                      <w:sz w:val="21"/>
                      <w:szCs w:val="21"/>
                      <w:lang w:val="en-US" w:eastAsia="zh-CN"/>
                    </w:rPr>
                    <w:t>6</w:t>
                  </w:r>
                </w:p>
              </w:tc>
              <w:tc>
                <w:tcPr>
                  <w:tcW w:w="1952" w:type="dxa"/>
                  <w:vAlign w:val="center"/>
                </w:tcPr>
                <w:p w14:paraId="13D0E24F">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西面厂界外1米1#</w:t>
                  </w:r>
                </w:p>
              </w:tc>
              <w:tc>
                <w:tcPr>
                  <w:tcW w:w="1595" w:type="dxa"/>
                  <w:vAlign w:val="center"/>
                </w:tcPr>
                <w:p w14:paraId="76FCC2B1">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生产噪声</w:t>
                  </w:r>
                </w:p>
              </w:tc>
              <w:tc>
                <w:tcPr>
                  <w:tcW w:w="1850" w:type="dxa"/>
                  <w:vAlign w:val="center"/>
                </w:tcPr>
                <w:p w14:paraId="1C9385BE">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60.9</w:t>
                  </w:r>
                </w:p>
              </w:tc>
              <w:tc>
                <w:tcPr>
                  <w:tcW w:w="1980" w:type="dxa"/>
                  <w:vAlign w:val="center"/>
                </w:tcPr>
                <w:p w14:paraId="12A372BA">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51.5</w:t>
                  </w:r>
                </w:p>
              </w:tc>
            </w:tr>
            <w:tr w14:paraId="12190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Align w:val="center"/>
                </w:tcPr>
                <w:p w14:paraId="08C0B66B">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ZS-0</w:t>
                  </w:r>
                  <w:r>
                    <w:rPr>
                      <w:rFonts w:hint="eastAsia" w:ascii="Times New Roman" w:hAnsi="Times New Roman" w:eastAsia="宋体" w:cs="Times New Roman"/>
                      <w:color w:val="auto"/>
                      <w:sz w:val="21"/>
                      <w:szCs w:val="21"/>
                      <w:lang w:val="en-US" w:eastAsia="zh-CN"/>
                    </w:rPr>
                    <w:t>7</w:t>
                  </w:r>
                </w:p>
              </w:tc>
              <w:tc>
                <w:tcPr>
                  <w:tcW w:w="1952" w:type="dxa"/>
                  <w:vAlign w:val="center"/>
                </w:tcPr>
                <w:p w14:paraId="67489D63">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西面厂界外1米2#</w:t>
                  </w:r>
                </w:p>
              </w:tc>
              <w:tc>
                <w:tcPr>
                  <w:tcW w:w="1595" w:type="dxa"/>
                  <w:vAlign w:val="center"/>
                </w:tcPr>
                <w:p w14:paraId="58AF3509">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生产噪声</w:t>
                  </w:r>
                </w:p>
              </w:tc>
              <w:tc>
                <w:tcPr>
                  <w:tcW w:w="1850" w:type="dxa"/>
                  <w:vAlign w:val="center"/>
                </w:tcPr>
                <w:p w14:paraId="381BA73C">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61.7</w:t>
                  </w:r>
                </w:p>
              </w:tc>
              <w:tc>
                <w:tcPr>
                  <w:tcW w:w="1980" w:type="dxa"/>
                  <w:vAlign w:val="center"/>
                </w:tcPr>
                <w:p w14:paraId="0DFE7123">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49.2</w:t>
                  </w:r>
                </w:p>
              </w:tc>
            </w:tr>
            <w:tr w14:paraId="7B8A6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dxa"/>
                  <w:vAlign w:val="center"/>
                </w:tcPr>
                <w:p w14:paraId="3529999B">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ZS-0</w:t>
                  </w:r>
                  <w:r>
                    <w:rPr>
                      <w:rFonts w:hint="eastAsia" w:ascii="Times New Roman" w:hAnsi="Times New Roman" w:eastAsia="宋体" w:cs="Times New Roman"/>
                      <w:color w:val="auto"/>
                      <w:sz w:val="21"/>
                      <w:szCs w:val="21"/>
                      <w:lang w:val="en-US" w:eastAsia="zh-CN"/>
                    </w:rPr>
                    <w:t>8</w:t>
                  </w:r>
                </w:p>
              </w:tc>
              <w:tc>
                <w:tcPr>
                  <w:tcW w:w="1952" w:type="dxa"/>
                  <w:vAlign w:val="center"/>
                </w:tcPr>
                <w:p w14:paraId="47B084BD">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南面厂界外1米</w:t>
                  </w:r>
                </w:p>
              </w:tc>
              <w:tc>
                <w:tcPr>
                  <w:tcW w:w="1595" w:type="dxa"/>
                  <w:vAlign w:val="center"/>
                </w:tcPr>
                <w:p w14:paraId="4FBECE29">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生产</w:t>
                  </w:r>
                  <w:r>
                    <w:rPr>
                      <w:rFonts w:hint="eastAsia" w:ascii="Times New Roman" w:hAnsi="Times New Roman" w:cs="Times New Roman"/>
                      <w:color w:val="auto"/>
                      <w:sz w:val="21"/>
                      <w:szCs w:val="21"/>
                      <w:lang w:val="en-US" w:eastAsia="zh-CN"/>
                    </w:rPr>
                    <w:t>+交通</w:t>
                  </w:r>
                  <w:r>
                    <w:rPr>
                      <w:rFonts w:hint="eastAsia" w:ascii="Times New Roman" w:hAnsi="Times New Roman" w:cs="Times New Roman"/>
                      <w:color w:val="auto"/>
                      <w:sz w:val="21"/>
                      <w:szCs w:val="21"/>
                      <w:lang w:eastAsia="zh-CN"/>
                    </w:rPr>
                    <w:t>噪声</w:t>
                  </w:r>
                </w:p>
              </w:tc>
              <w:tc>
                <w:tcPr>
                  <w:tcW w:w="1850" w:type="dxa"/>
                  <w:vAlign w:val="center"/>
                </w:tcPr>
                <w:p w14:paraId="349D348D">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56.5</w:t>
                  </w:r>
                </w:p>
              </w:tc>
              <w:tc>
                <w:tcPr>
                  <w:tcW w:w="1980" w:type="dxa"/>
                  <w:vAlign w:val="center"/>
                </w:tcPr>
                <w:p w14:paraId="0CFBA8F5">
                  <w:pPr>
                    <w:pStyle w:val="32"/>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51.7</w:t>
                  </w:r>
                </w:p>
              </w:tc>
            </w:tr>
          </w:tbl>
          <w:p w14:paraId="64DEE01C">
            <w:pPr>
              <w:ind w:firstLine="0" w:firstLineChars="0"/>
              <w:rPr>
                <w:rFonts w:hint="default" w:ascii="Times New Roman" w:hAnsi="Times New Roman" w:cs="Times New Roman"/>
                <w:color w:val="auto"/>
              </w:rPr>
            </w:pPr>
            <w:r>
              <w:drawing>
                <wp:inline distT="0" distB="0" distL="114300" distR="114300">
                  <wp:extent cx="4867275" cy="5114925"/>
                  <wp:effectExtent l="0" t="0" r="9525" b="952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13"/>
                          <a:stretch>
                            <a:fillRect/>
                          </a:stretch>
                        </pic:blipFill>
                        <pic:spPr>
                          <a:xfrm>
                            <a:off x="0" y="0"/>
                            <a:ext cx="4867275" cy="5114925"/>
                          </a:xfrm>
                          <a:prstGeom prst="rect">
                            <a:avLst/>
                          </a:prstGeom>
                          <a:noFill/>
                          <a:ln>
                            <a:noFill/>
                          </a:ln>
                        </pic:spPr>
                      </pic:pic>
                    </a:graphicData>
                  </a:graphic>
                </wp:inline>
              </w:drawing>
            </w:r>
          </w:p>
          <w:p w14:paraId="21EE0BC7">
            <w:pPr>
              <w:pStyle w:val="12"/>
              <w:ind w:firstLine="0" w:firstLineChars="0"/>
              <w:rPr>
                <w:rFonts w:hint="default" w:ascii="Times New Roman" w:hAnsi="Times New Roman" w:cs="Times New Roman"/>
                <w:color w:val="auto"/>
              </w:rPr>
            </w:pPr>
          </w:p>
          <w:p w14:paraId="0D0D4AA7">
            <w:pPr>
              <w:ind w:firstLine="482"/>
              <w:jc w:val="center"/>
              <w:rPr>
                <w:rFonts w:hint="default" w:ascii="Times New Roman" w:hAnsi="Times New Roman" w:cs="Times New Roman"/>
                <w:b/>
                <w:color w:val="auto"/>
              </w:rPr>
            </w:pPr>
            <w:r>
              <w:rPr>
                <w:rFonts w:hint="default" w:ascii="Times New Roman" w:hAnsi="Times New Roman" w:cs="Times New Roman"/>
                <w:b/>
                <w:color w:val="auto"/>
              </w:rPr>
              <w:t>图</w:t>
            </w:r>
            <w:r>
              <w:rPr>
                <w:rFonts w:hint="eastAsia" w:cs="Times New Roman"/>
                <w:b/>
                <w:color w:val="auto"/>
                <w:lang w:val="en-US" w:eastAsia="zh-CN"/>
              </w:rPr>
              <w:t>2.7-1</w:t>
            </w:r>
            <w:r>
              <w:rPr>
                <w:rFonts w:hint="default" w:ascii="Times New Roman" w:hAnsi="Times New Roman" w:cs="Times New Roman"/>
                <w:b/>
                <w:color w:val="auto"/>
              </w:rPr>
              <w:t xml:space="preserve"> </w:t>
            </w:r>
            <w:r>
              <w:rPr>
                <w:rFonts w:hint="eastAsia" w:cs="Times New Roman"/>
                <w:b/>
                <w:color w:val="auto"/>
                <w:lang w:eastAsia="zh-CN"/>
              </w:rPr>
              <w:t>噪声及废气</w:t>
            </w:r>
            <w:r>
              <w:rPr>
                <w:rFonts w:hint="default" w:ascii="Times New Roman" w:hAnsi="Times New Roman" w:cs="Times New Roman"/>
                <w:b/>
                <w:color w:val="auto"/>
              </w:rPr>
              <w:t>监测点位图</w:t>
            </w:r>
          </w:p>
          <w:p w14:paraId="07427994">
            <w:pPr>
              <w:pBdr>
                <w:top w:val="none" w:color="auto" w:sz="0" w:space="1"/>
                <w:left w:val="none" w:color="auto" w:sz="0" w:space="4"/>
                <w:bottom w:val="none" w:color="auto" w:sz="0" w:space="1"/>
                <w:right w:val="none" w:color="auto" w:sz="0" w:space="4"/>
              </w:pBdr>
              <w:ind w:firstLine="720" w:firstLineChars="300"/>
              <w:rPr>
                <w:rFonts w:hint="default" w:ascii="Times New Roman" w:hAnsi="Times New Roman" w:cs="Times New Roman"/>
                <w:color w:val="auto"/>
              </w:rPr>
            </w:pPr>
            <w:r>
              <w:rPr>
                <w:rFonts w:hint="default" w:ascii="Times New Roman" w:hAnsi="Times New Roman" w:cs="Times New Roman"/>
                <w:color w:val="auto"/>
              </w:rPr>
              <w:t>（4）固体废物：</w:t>
            </w:r>
            <w:r>
              <w:rPr>
                <w:rFonts w:hint="eastAsia" w:cs="Times New Roman"/>
                <w:color w:val="auto"/>
                <w:lang w:eastAsia="zh-CN"/>
              </w:rPr>
              <w:t>生产固废包括酿造环节产生的酒糟、包装过程中产生的废坛、破酒瓶和锅炉运行时产生的炉渣以及水处理污泥等。锅炉运行时产生的炉渣和酒糟外售</w:t>
            </w:r>
            <w:r>
              <w:rPr>
                <w:rFonts w:hint="default" w:ascii="Times New Roman" w:hAnsi="Times New Roman" w:cs="Times New Roman"/>
                <w:color w:val="auto"/>
              </w:rPr>
              <w:t>；</w:t>
            </w:r>
            <w:r>
              <w:rPr>
                <w:rFonts w:hint="eastAsia" w:cs="Times New Roman"/>
                <w:color w:val="auto"/>
                <w:lang w:eastAsia="zh-CN"/>
              </w:rPr>
              <w:t>废坛、破酒瓶和水处理污泥等用于填埋；</w:t>
            </w:r>
            <w:r>
              <w:rPr>
                <w:rFonts w:hint="default" w:ascii="Times New Roman" w:hAnsi="Times New Roman" w:cs="Times New Roman"/>
                <w:color w:val="auto"/>
              </w:rPr>
              <w:t>生活垃圾收集后由当地环卫部门清运处理。</w:t>
            </w:r>
          </w:p>
          <w:p w14:paraId="1FC6C034">
            <w:pPr>
              <w:pStyle w:val="4"/>
              <w:rPr>
                <w:rFonts w:hint="default" w:ascii="Times New Roman" w:hAnsi="Times New Roman" w:cs="Times New Roman"/>
                <w:color w:val="auto"/>
              </w:rPr>
            </w:pPr>
            <w:bookmarkStart w:id="23" w:name="_Toc12259"/>
            <w:r>
              <w:rPr>
                <w:rFonts w:hint="default" w:ascii="Times New Roman" w:hAnsi="Times New Roman" w:cs="Times New Roman"/>
                <w:color w:val="auto"/>
              </w:rPr>
              <w:t>现有项目存在的问题</w:t>
            </w:r>
            <w:bookmarkEnd w:id="23"/>
          </w:p>
          <w:p w14:paraId="05E34509">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eastAsia="宋体" w:cs="Times New Roman"/>
                <w:b/>
                <w:color w:val="auto"/>
                <w:sz w:val="30"/>
                <w:szCs w:val="30"/>
                <w:lang w:val="en-US" w:eastAsia="zh-CN"/>
              </w:rPr>
            </w:pPr>
            <w:r>
              <w:rPr>
                <w:rFonts w:hint="eastAsia" w:ascii="Times New Roman" w:hAnsi="Times New Roman" w:eastAsia="宋体" w:cs="Times New Roman"/>
                <w:b/>
                <w:color w:val="auto"/>
                <w:sz w:val="30"/>
                <w:szCs w:val="30"/>
                <w:lang w:val="en-US" w:eastAsia="zh-CN"/>
              </w:rPr>
              <w:t>2.8.1原有工程</w:t>
            </w:r>
            <w:r>
              <w:rPr>
                <w:rFonts w:hint="default" w:ascii="Times New Roman" w:hAnsi="Times New Roman" w:eastAsia="宋体" w:cs="Times New Roman"/>
                <w:b/>
                <w:color w:val="auto"/>
                <w:sz w:val="30"/>
                <w:szCs w:val="30"/>
                <w:lang w:val="en-US" w:eastAsia="zh-CN"/>
              </w:rPr>
              <w:t>的环保投诉情况、事故和处罚情况</w:t>
            </w:r>
          </w:p>
          <w:p w14:paraId="24704A8B">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u w:val="none"/>
                <w:lang w:val="en-GB"/>
              </w:rPr>
            </w:pPr>
            <w:r>
              <w:rPr>
                <w:rFonts w:hint="default" w:ascii="Times New Roman" w:hAnsi="Times New Roman" w:cs="Times New Roman"/>
                <w:color w:val="auto"/>
                <w:sz w:val="24"/>
                <w:u w:val="none"/>
              </w:rPr>
              <w:t>根据建设单位了解的情况和网络查询，</w:t>
            </w:r>
            <w:r>
              <w:rPr>
                <w:rFonts w:hint="default" w:ascii="Times New Roman" w:hAnsi="Times New Roman" w:cs="Times New Roman"/>
                <w:color w:val="auto"/>
                <w:sz w:val="24"/>
                <w:szCs w:val="24"/>
                <w:highlight w:val="none"/>
                <w:u w:val="none"/>
                <w:lang w:val="en-US" w:eastAsia="zh-CN"/>
              </w:rPr>
              <w:t>项目</w:t>
            </w:r>
            <w:r>
              <w:rPr>
                <w:rFonts w:hint="default" w:ascii="Times New Roman" w:hAnsi="Times New Roman" w:eastAsia="宋体" w:cs="Times New Roman"/>
                <w:color w:val="auto"/>
                <w:sz w:val="24"/>
                <w:szCs w:val="24"/>
                <w:highlight w:val="none"/>
                <w:u w:val="none"/>
                <w:lang w:eastAsia="zh-CN"/>
              </w:rPr>
              <w:t>投产</w:t>
            </w:r>
            <w:r>
              <w:rPr>
                <w:rFonts w:hint="default" w:ascii="Times New Roman" w:hAnsi="Times New Roman" w:cs="Times New Roman"/>
                <w:color w:val="auto"/>
                <w:sz w:val="24"/>
                <w:szCs w:val="24"/>
                <w:highlight w:val="none"/>
                <w:u w:val="none"/>
                <w:lang w:val="en-US" w:eastAsia="zh-CN"/>
              </w:rPr>
              <w:t>以来，未收到周边居民及企业的环境污染投诉事件，也未受到</w:t>
            </w:r>
            <w:r>
              <w:rPr>
                <w:rFonts w:hint="default" w:ascii="Times New Roman" w:hAnsi="Times New Roman" w:cs="Times New Roman"/>
                <w:color w:val="auto"/>
                <w:sz w:val="24"/>
                <w:highlight w:val="none"/>
                <w:u w:val="none"/>
                <w:lang w:eastAsia="zh-CN"/>
              </w:rPr>
              <w:t>生态环境行政主管部门的</w:t>
            </w:r>
            <w:r>
              <w:rPr>
                <w:rFonts w:hint="default" w:ascii="Times New Roman" w:hAnsi="Times New Roman" w:cs="Times New Roman"/>
                <w:color w:val="auto"/>
                <w:sz w:val="24"/>
                <w:highlight w:val="none"/>
                <w:u w:val="none"/>
              </w:rPr>
              <w:t>处罚</w:t>
            </w:r>
            <w:r>
              <w:rPr>
                <w:rFonts w:hint="default" w:ascii="Times New Roman" w:hAnsi="Times New Roman" w:cs="Times New Roman"/>
                <w:color w:val="auto"/>
                <w:sz w:val="24"/>
                <w:u w:val="none"/>
              </w:rPr>
              <w:t>，</w:t>
            </w:r>
            <w:r>
              <w:rPr>
                <w:rFonts w:hint="default" w:ascii="Times New Roman" w:hAnsi="Times New Roman" w:cs="Times New Roman"/>
                <w:color w:val="auto"/>
                <w:sz w:val="24"/>
                <w:u w:val="none"/>
                <w:lang w:eastAsia="zh-CN"/>
              </w:rPr>
              <w:t>未发生环境风险事故等</w:t>
            </w:r>
            <w:r>
              <w:rPr>
                <w:rFonts w:hint="default" w:ascii="Times New Roman" w:hAnsi="Times New Roman" w:cs="Times New Roman"/>
                <w:color w:val="auto"/>
                <w:sz w:val="24"/>
                <w:u w:val="none"/>
                <w:lang w:val="en-GB"/>
              </w:rPr>
              <w:t>。</w:t>
            </w:r>
          </w:p>
          <w:p w14:paraId="74A33B4E">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eastAsia="宋体" w:cs="Times New Roman"/>
                <w:b/>
                <w:color w:val="auto"/>
                <w:sz w:val="30"/>
                <w:szCs w:val="30"/>
                <w:lang w:eastAsia="zh-CN"/>
              </w:rPr>
            </w:pPr>
            <w:r>
              <w:rPr>
                <w:rFonts w:hint="eastAsia" w:ascii="Times New Roman" w:hAnsi="Times New Roman" w:eastAsia="宋体" w:cs="Times New Roman"/>
                <w:b/>
                <w:color w:val="auto"/>
                <w:sz w:val="30"/>
                <w:szCs w:val="30"/>
                <w:lang w:val="en-US" w:eastAsia="zh-CN"/>
              </w:rPr>
              <w:t>2.8.2</w:t>
            </w:r>
            <w:r>
              <w:rPr>
                <w:rFonts w:hint="default" w:ascii="Times New Roman" w:hAnsi="Times New Roman" w:eastAsia="宋体" w:cs="Times New Roman"/>
                <w:b/>
                <w:color w:val="auto"/>
                <w:sz w:val="30"/>
                <w:szCs w:val="30"/>
                <w:lang w:val="en-US" w:eastAsia="zh-CN"/>
              </w:rPr>
              <w:t>现有项目和环评批复落实情况</w:t>
            </w:r>
            <w:r>
              <w:rPr>
                <w:rFonts w:hint="default" w:ascii="Times New Roman" w:hAnsi="Times New Roman" w:eastAsia="宋体" w:cs="Times New Roman"/>
                <w:b/>
                <w:color w:val="auto"/>
                <w:sz w:val="30"/>
                <w:szCs w:val="30"/>
                <w:lang w:eastAsia="zh-CN"/>
              </w:rPr>
              <w:t>存在的问题</w:t>
            </w:r>
          </w:p>
          <w:p w14:paraId="567F951E">
            <w:pPr>
              <w:ind w:firstLine="480"/>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rPr>
              <w:t>现有工程已通过环评审批，完成排污许可登记管理申报，废水、废气防治设施正常运行，现项目已通过环境保护竣工验收，符合“三同时”制度</w:t>
            </w:r>
            <w:r>
              <w:rPr>
                <w:rFonts w:hint="eastAsia" w:ascii="Times New Roman" w:hAnsi="Times New Roman" w:cs="Times New Roman"/>
                <w:color w:val="auto"/>
                <w:lang w:eastAsia="zh-CN"/>
              </w:rPr>
              <w:t>，</w:t>
            </w:r>
            <w:r>
              <w:rPr>
                <w:rFonts w:hint="eastAsia" w:ascii="Times New Roman" w:hAnsi="Times New Roman" w:cs="Times New Roman"/>
                <w:color w:val="auto"/>
                <w:spacing w:val="0"/>
                <w:kern w:val="2"/>
                <w:sz w:val="24"/>
                <w:szCs w:val="24"/>
                <w:highlight w:val="none"/>
                <w:lang w:val="en-US" w:eastAsia="zh-CN" w:bidi="ar-SA"/>
              </w:rPr>
              <w:t>现有</w:t>
            </w:r>
            <w:r>
              <w:rPr>
                <w:rFonts w:hint="default" w:ascii="Times New Roman" w:hAnsi="Times New Roman" w:cs="Times New Roman"/>
                <w:color w:val="auto"/>
                <w:spacing w:val="0"/>
                <w:kern w:val="2"/>
                <w:sz w:val="24"/>
                <w:szCs w:val="24"/>
                <w:highlight w:val="none"/>
                <w:lang w:val="en-US" w:eastAsia="zh-CN" w:bidi="ar-SA"/>
              </w:rPr>
              <w:t>项目</w:t>
            </w:r>
            <w:r>
              <w:rPr>
                <w:rFonts w:hint="eastAsia" w:ascii="Times New Roman" w:hAnsi="Times New Roman" w:cs="Times New Roman"/>
                <w:color w:val="auto"/>
                <w:spacing w:val="0"/>
                <w:kern w:val="2"/>
                <w:sz w:val="24"/>
                <w:szCs w:val="24"/>
                <w:highlight w:val="none"/>
                <w:lang w:val="en-US" w:eastAsia="zh-CN" w:bidi="ar-SA"/>
              </w:rPr>
              <w:t>符合环保要求</w:t>
            </w:r>
            <w:r>
              <w:rPr>
                <w:rFonts w:hint="default" w:ascii="Times New Roman" w:hAnsi="Times New Roman" w:cs="Times New Roman"/>
                <w:color w:val="auto"/>
                <w:spacing w:val="0"/>
                <w:kern w:val="2"/>
                <w:sz w:val="24"/>
                <w:szCs w:val="24"/>
                <w:highlight w:val="none"/>
                <w:lang w:val="en-US" w:eastAsia="zh-CN" w:bidi="ar-SA"/>
              </w:rPr>
              <w:t>。</w:t>
            </w:r>
          </w:p>
          <w:p w14:paraId="760917E7">
            <w:pPr>
              <w:pStyle w:val="12"/>
              <w:rPr>
                <w:rFonts w:hint="default" w:ascii="Times New Roman" w:hAnsi="Times New Roman" w:cs="Times New Roman"/>
                <w:color w:val="auto"/>
              </w:rPr>
            </w:pPr>
          </w:p>
          <w:p w14:paraId="55BF7896">
            <w:pPr>
              <w:pStyle w:val="12"/>
              <w:rPr>
                <w:rFonts w:hint="default" w:ascii="Times New Roman" w:hAnsi="Times New Roman" w:cs="Times New Roman"/>
                <w:color w:val="auto"/>
              </w:rPr>
            </w:pPr>
          </w:p>
          <w:p w14:paraId="57968612">
            <w:pPr>
              <w:pStyle w:val="12"/>
              <w:rPr>
                <w:rFonts w:hint="default" w:ascii="Times New Roman" w:hAnsi="Times New Roman" w:cs="Times New Roman"/>
                <w:color w:val="auto"/>
              </w:rPr>
            </w:pPr>
          </w:p>
          <w:p w14:paraId="4E12DB5B">
            <w:pPr>
              <w:pStyle w:val="12"/>
              <w:rPr>
                <w:rFonts w:hint="default" w:ascii="Times New Roman" w:hAnsi="Times New Roman" w:cs="Times New Roman"/>
                <w:color w:val="auto"/>
              </w:rPr>
            </w:pPr>
          </w:p>
          <w:p w14:paraId="48DA2DD3">
            <w:pPr>
              <w:pStyle w:val="12"/>
              <w:rPr>
                <w:rFonts w:hint="default" w:ascii="Times New Roman" w:hAnsi="Times New Roman" w:cs="Times New Roman"/>
                <w:color w:val="auto"/>
              </w:rPr>
            </w:pPr>
          </w:p>
          <w:p w14:paraId="534CB005">
            <w:pPr>
              <w:pStyle w:val="12"/>
              <w:rPr>
                <w:rFonts w:hint="default" w:ascii="Times New Roman" w:hAnsi="Times New Roman" w:cs="Times New Roman"/>
                <w:color w:val="auto"/>
              </w:rPr>
            </w:pPr>
          </w:p>
          <w:p w14:paraId="003F8BBD">
            <w:pPr>
              <w:pStyle w:val="12"/>
              <w:rPr>
                <w:rFonts w:hint="default" w:ascii="Times New Roman" w:hAnsi="Times New Roman" w:cs="Times New Roman"/>
                <w:color w:val="auto"/>
              </w:rPr>
            </w:pPr>
          </w:p>
          <w:p w14:paraId="0B50D408">
            <w:pPr>
              <w:pBdr>
                <w:top w:val="none" w:color="auto" w:sz="0" w:space="1"/>
                <w:left w:val="none" w:color="auto" w:sz="0" w:space="4"/>
                <w:bottom w:val="none" w:color="auto" w:sz="0" w:space="1"/>
                <w:right w:val="none" w:color="auto" w:sz="0" w:space="4"/>
              </w:pBdr>
              <w:rPr>
                <w:rFonts w:hint="default" w:ascii="Times New Roman" w:hAnsi="Times New Roman" w:cs="Times New Roman"/>
                <w:color w:val="auto"/>
              </w:rPr>
            </w:pPr>
          </w:p>
        </w:tc>
      </w:tr>
      <w:bookmarkEnd w:id="20"/>
    </w:tbl>
    <w:p w14:paraId="072B67FC">
      <w:pPr>
        <w:ind w:firstLine="480"/>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14:paraId="77971F18">
      <w:pPr>
        <w:pStyle w:val="3"/>
        <w:ind w:firstLineChars="0"/>
        <w:rPr>
          <w:rFonts w:hint="default" w:ascii="Times New Roman" w:hAnsi="Times New Roman" w:cs="Times New Roman"/>
          <w:color w:val="auto"/>
        </w:rPr>
      </w:pPr>
      <w:bookmarkStart w:id="24" w:name="_Toc5875"/>
      <w:r>
        <w:rPr>
          <w:rFonts w:hint="default" w:ascii="Times New Roman" w:hAnsi="Times New Roman" w:cs="Times New Roman"/>
          <w:color w:val="auto"/>
        </w:rPr>
        <w:t>区域环境质量现状、环境保护目标及评价标准</w:t>
      </w:r>
      <w:bookmarkEnd w:id="17"/>
      <w:bookmarkEnd w:id="24"/>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113" w:type="dxa"/>
          <w:left w:w="108" w:type="dxa"/>
          <w:bottom w:w="113" w:type="dxa"/>
          <w:right w:w="108" w:type="dxa"/>
        </w:tblCellMar>
      </w:tblPr>
      <w:tblGrid>
        <w:gridCol w:w="724"/>
        <w:gridCol w:w="8337"/>
      </w:tblGrid>
      <w:tr w14:paraId="58D57A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724" w:type="dxa"/>
            <w:vAlign w:val="center"/>
          </w:tcPr>
          <w:p w14:paraId="3DE50C6C">
            <w:pPr>
              <w:pStyle w:val="4"/>
              <w:numPr>
                <w:ilvl w:val="1"/>
                <w:numId w:val="0"/>
              </w:numPr>
              <w:jc w:val="both"/>
              <w:rPr>
                <w:rFonts w:hint="default" w:ascii="Times New Roman" w:hAnsi="Times New Roman" w:cs="Times New Roman"/>
                <w:color w:val="auto"/>
                <w:kern w:val="0"/>
                <w:szCs w:val="21"/>
              </w:rPr>
            </w:pPr>
            <w:bookmarkStart w:id="25" w:name="_Toc28711"/>
            <w:r>
              <w:rPr>
                <w:rFonts w:hint="default" w:ascii="Times New Roman" w:hAnsi="Times New Roman" w:cs="Times New Roman"/>
                <w:b w:val="0"/>
                <w:bCs/>
                <w:color w:val="auto"/>
                <w:sz w:val="24"/>
              </w:rPr>
              <w:t>区域环境质量现状</w:t>
            </w:r>
            <w:bookmarkEnd w:id="25"/>
          </w:p>
        </w:tc>
        <w:tc>
          <w:tcPr>
            <w:tcW w:w="8337" w:type="dxa"/>
          </w:tcPr>
          <w:p w14:paraId="7E60124A">
            <w:pPr>
              <w:pStyle w:val="4"/>
              <w:spacing w:before="140"/>
              <w:rPr>
                <w:rFonts w:hint="default" w:ascii="Times New Roman" w:hAnsi="Times New Roman" w:cs="Times New Roman"/>
                <w:color w:val="auto"/>
              </w:rPr>
            </w:pPr>
            <w:bookmarkStart w:id="26" w:name="_Toc15439"/>
            <w:bookmarkStart w:id="27" w:name="_Toc23393"/>
            <w:r>
              <w:rPr>
                <w:rFonts w:hint="default" w:ascii="Times New Roman" w:hAnsi="Times New Roman" w:cs="Times New Roman"/>
                <w:color w:val="auto"/>
              </w:rPr>
              <w:t>环境质量现状</w:t>
            </w:r>
            <w:bookmarkEnd w:id="26"/>
          </w:p>
          <w:p w14:paraId="03D7CC9C">
            <w:pPr>
              <w:ind w:firstLine="0" w:firstLineChars="0"/>
              <w:outlineLvl w:val="2"/>
              <w:rPr>
                <w:rFonts w:hint="default" w:ascii="Times New Roman" w:hAnsi="Times New Roman" w:cs="Times New Roman"/>
                <w:b/>
                <w:color w:val="auto"/>
                <w:sz w:val="30"/>
                <w:szCs w:val="30"/>
              </w:rPr>
            </w:pPr>
            <w:bookmarkStart w:id="28" w:name="_Toc1980"/>
            <w:r>
              <w:rPr>
                <w:rFonts w:hint="default" w:ascii="Times New Roman" w:hAnsi="Times New Roman" w:cs="Times New Roman"/>
                <w:b/>
                <w:color w:val="auto"/>
                <w:sz w:val="30"/>
                <w:szCs w:val="30"/>
              </w:rPr>
              <w:t>3.1.1大气环境质量现状</w:t>
            </w:r>
            <w:bookmarkEnd w:id="28"/>
          </w:p>
          <w:p w14:paraId="6BA30508">
            <w:pPr>
              <w:ind w:firstLine="480"/>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本评价根据福州市闽侯县人民政府网站公布的</w:t>
            </w:r>
            <w:r>
              <w:rPr>
                <w:rFonts w:hint="default" w:ascii="Times New Roman" w:hAnsi="Times New Roman" w:cs="Times New Roman"/>
                <w:color w:val="auto"/>
                <w:szCs w:val="20"/>
              </w:rPr>
              <w:t>《闽侯县县城2021年03月空气质量月报》</w:t>
            </w:r>
            <w:r>
              <w:rPr>
                <w:rFonts w:hint="default" w:ascii="Times New Roman" w:hAnsi="Times New Roman" w:cs="Times New Roman"/>
                <w:color w:val="auto"/>
                <w:kern w:val="0"/>
                <w:szCs w:val="20"/>
              </w:rPr>
              <w:t>，对闽侯县进行大气监测的数据来说明项目所在地空气质量现状，详见</w:t>
            </w:r>
            <w:r>
              <w:rPr>
                <w:rFonts w:hint="default" w:ascii="Times New Roman" w:hAnsi="Times New Roman" w:cs="Times New Roman"/>
                <w:color w:val="auto"/>
                <w:szCs w:val="20"/>
              </w:rPr>
              <w:t>图3.1-1网站截图</w:t>
            </w:r>
            <w:r>
              <w:rPr>
                <w:rFonts w:hint="default" w:ascii="Times New Roman" w:hAnsi="Times New Roman" w:cs="Times New Roman"/>
                <w:color w:val="auto"/>
                <w:kern w:val="0"/>
                <w:szCs w:val="20"/>
              </w:rPr>
              <w:t>。</w:t>
            </w:r>
          </w:p>
          <w:p w14:paraId="07D690F2">
            <w:pPr>
              <w:ind w:firstLine="0" w:firstLineChars="0"/>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drawing>
                <wp:inline distT="0" distB="0" distL="0" distR="0">
                  <wp:extent cx="5069205" cy="2971165"/>
                  <wp:effectExtent l="0" t="0" r="0" b="635"/>
                  <wp:docPr id="33" name="图片 33" descr="微信截图_2021041116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截图_202104111629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078042" cy="2976783"/>
                          </a:xfrm>
                          <a:prstGeom prst="rect">
                            <a:avLst/>
                          </a:prstGeom>
                          <a:noFill/>
                          <a:ln>
                            <a:noFill/>
                          </a:ln>
                          <a:effectLst/>
                        </pic:spPr>
                      </pic:pic>
                    </a:graphicData>
                  </a:graphic>
                </wp:inline>
              </w:drawing>
            </w:r>
          </w:p>
          <w:p w14:paraId="37932F46">
            <w:pPr>
              <w:ind w:firstLine="482"/>
              <w:jc w:val="center"/>
              <w:rPr>
                <w:rFonts w:hint="default" w:ascii="Times New Roman" w:hAnsi="Times New Roman" w:cs="Times New Roman"/>
                <w:b/>
                <w:bCs/>
                <w:color w:val="auto"/>
                <w:kern w:val="0"/>
                <w:szCs w:val="20"/>
              </w:rPr>
            </w:pPr>
            <w:r>
              <w:rPr>
                <w:rFonts w:hint="default" w:ascii="Times New Roman" w:hAnsi="Times New Roman" w:cs="Times New Roman"/>
                <w:b/>
                <w:bCs/>
                <w:color w:val="auto"/>
                <w:kern w:val="44"/>
                <w:szCs w:val="20"/>
              </w:rPr>
              <w:t xml:space="preserve">图3.1-1  </w:t>
            </w:r>
            <w:r>
              <w:rPr>
                <w:rFonts w:hint="default" w:ascii="Times New Roman" w:hAnsi="Times New Roman" w:cs="Times New Roman"/>
                <w:b/>
                <w:bCs/>
                <w:color w:val="auto"/>
                <w:kern w:val="0"/>
                <w:szCs w:val="20"/>
              </w:rPr>
              <w:t>闽侯县人民政府</w:t>
            </w:r>
            <w:r>
              <w:rPr>
                <w:rFonts w:hint="default" w:ascii="Times New Roman" w:hAnsi="Times New Roman" w:cs="Times New Roman"/>
                <w:b/>
                <w:bCs/>
                <w:color w:val="auto"/>
                <w:kern w:val="44"/>
                <w:szCs w:val="20"/>
              </w:rPr>
              <w:t>网站截图</w:t>
            </w:r>
          </w:p>
          <w:p w14:paraId="5E857920">
            <w:pPr>
              <w:shd w:val="clear" w:color="auto" w:fill="FCFCFC"/>
              <w:ind w:firstLine="480"/>
              <w:rPr>
                <w:rFonts w:hint="default" w:ascii="Times New Roman" w:hAnsi="Times New Roman" w:cs="Times New Roman"/>
                <w:color w:val="auto"/>
              </w:rPr>
            </w:pPr>
            <w:r>
              <w:rPr>
                <w:rFonts w:hint="default" w:ascii="Times New Roman" w:hAnsi="Times New Roman" w:cs="Times New Roman"/>
                <w:color w:val="auto"/>
                <w:shd w:val="clear" w:color="auto" w:fill="FCFCFC"/>
                <w:lang w:bidi="ar"/>
              </w:rPr>
              <w:t>据县环境监测站公益性常规监测数据统计，2021年03月份我县县城环境空气质量继续保持良好，达到规定的相应功能区标准。</w:t>
            </w:r>
          </w:p>
          <w:p w14:paraId="151DA0E8">
            <w:pPr>
              <w:shd w:val="clear" w:color="auto" w:fill="FCFCFC"/>
              <w:ind w:firstLine="480"/>
              <w:rPr>
                <w:rFonts w:hint="default" w:ascii="Times New Roman" w:hAnsi="Times New Roman" w:cs="Times New Roman"/>
                <w:color w:val="auto"/>
                <w:shd w:val="clear" w:color="auto" w:fill="FCFCFC"/>
                <w:lang w:bidi="ar"/>
              </w:rPr>
            </w:pPr>
            <w:r>
              <w:rPr>
                <w:rFonts w:hint="default" w:ascii="Times New Roman" w:hAnsi="Times New Roman" w:cs="Times New Roman"/>
                <w:color w:val="auto"/>
                <w:shd w:val="clear" w:color="auto" w:fill="FCFCFC"/>
                <w:lang w:bidi="ar"/>
              </w:rPr>
              <w:t>闽侯县2021年03月份县城空气质量SO</w:t>
            </w:r>
            <w:r>
              <w:rPr>
                <w:rFonts w:hint="default" w:ascii="Times New Roman" w:hAnsi="Times New Roman" w:cs="Times New Roman"/>
                <w:color w:val="auto"/>
                <w:shd w:val="clear" w:color="auto" w:fill="FCFCFC"/>
                <w:vertAlign w:val="subscript"/>
                <w:lang w:bidi="ar"/>
              </w:rPr>
              <w:t>2</w:t>
            </w:r>
            <w:r>
              <w:rPr>
                <w:rFonts w:hint="default" w:ascii="Times New Roman" w:hAnsi="Times New Roman" w:cs="Times New Roman"/>
                <w:color w:val="auto"/>
                <w:shd w:val="clear" w:color="auto" w:fill="FCFCFC"/>
                <w:lang w:bidi="ar"/>
              </w:rPr>
              <w:t>、NO</w:t>
            </w:r>
            <w:r>
              <w:rPr>
                <w:rFonts w:hint="default" w:ascii="Times New Roman" w:hAnsi="Times New Roman" w:cs="Times New Roman"/>
                <w:color w:val="auto"/>
                <w:shd w:val="clear" w:color="auto" w:fill="FCFCFC"/>
                <w:vertAlign w:val="subscript"/>
                <w:lang w:bidi="ar"/>
              </w:rPr>
              <w:t>2</w:t>
            </w:r>
            <w:r>
              <w:rPr>
                <w:rFonts w:hint="default" w:ascii="Times New Roman" w:hAnsi="Times New Roman" w:cs="Times New Roman"/>
                <w:color w:val="auto"/>
                <w:shd w:val="clear" w:color="auto" w:fill="FCFCFC"/>
                <w:lang w:bidi="ar"/>
              </w:rPr>
              <w:t>、PM</w:t>
            </w:r>
            <w:r>
              <w:rPr>
                <w:rFonts w:hint="default" w:ascii="Times New Roman" w:hAnsi="Times New Roman" w:cs="Times New Roman"/>
                <w:color w:val="auto"/>
                <w:shd w:val="clear" w:color="auto" w:fill="FCFCFC"/>
                <w:vertAlign w:val="subscript"/>
                <w:lang w:bidi="ar"/>
              </w:rPr>
              <w:t>10</w:t>
            </w:r>
            <w:r>
              <w:rPr>
                <w:rFonts w:hint="default" w:ascii="Times New Roman" w:hAnsi="Times New Roman" w:cs="Times New Roman"/>
                <w:color w:val="auto"/>
                <w:shd w:val="clear" w:color="auto" w:fill="FCFCFC"/>
                <w:lang w:bidi="ar"/>
              </w:rPr>
              <w:t>、CO、O</w:t>
            </w:r>
            <w:r>
              <w:rPr>
                <w:rFonts w:hint="default" w:ascii="Times New Roman" w:hAnsi="Times New Roman" w:cs="Times New Roman"/>
                <w:color w:val="auto"/>
                <w:shd w:val="clear" w:color="auto" w:fill="FCFCFC"/>
                <w:vertAlign w:val="subscript"/>
                <w:lang w:bidi="ar"/>
              </w:rPr>
              <w:t>3</w:t>
            </w:r>
            <w:r>
              <w:rPr>
                <w:rFonts w:hint="default" w:ascii="Times New Roman" w:hAnsi="Times New Roman" w:cs="Times New Roman"/>
                <w:color w:val="auto"/>
                <w:shd w:val="clear" w:color="auto" w:fill="FCFCFC"/>
                <w:lang w:bidi="ar"/>
              </w:rPr>
              <w:t>、PM</w:t>
            </w:r>
            <w:r>
              <w:rPr>
                <w:rFonts w:hint="default" w:ascii="Times New Roman" w:hAnsi="Times New Roman" w:cs="Times New Roman"/>
                <w:color w:val="auto"/>
                <w:shd w:val="clear" w:color="auto" w:fill="FCFCFC"/>
                <w:vertAlign w:val="subscript"/>
                <w:lang w:bidi="ar"/>
              </w:rPr>
              <w:t>2.5</w:t>
            </w:r>
            <w:r>
              <w:rPr>
                <w:rFonts w:hint="default" w:ascii="Times New Roman" w:hAnsi="Times New Roman" w:cs="Times New Roman"/>
                <w:color w:val="auto"/>
                <w:shd w:val="clear" w:color="auto" w:fill="FCFCFC"/>
                <w:lang w:bidi="ar"/>
              </w:rPr>
              <w:t>等6项污染物浓度指标的24小时均值（其中O</w:t>
            </w:r>
            <w:r>
              <w:rPr>
                <w:rFonts w:hint="default" w:ascii="Times New Roman" w:hAnsi="Times New Roman" w:cs="Times New Roman"/>
                <w:color w:val="auto"/>
                <w:shd w:val="clear" w:color="auto" w:fill="FCFCFC"/>
                <w:vertAlign w:val="subscript"/>
                <w:lang w:bidi="ar"/>
              </w:rPr>
              <w:t>3</w:t>
            </w:r>
            <w:r>
              <w:rPr>
                <w:rFonts w:hint="default" w:ascii="Times New Roman" w:hAnsi="Times New Roman" w:cs="Times New Roman"/>
                <w:color w:val="auto"/>
                <w:shd w:val="clear" w:color="auto" w:fill="FCFCFC"/>
                <w:lang w:bidi="ar"/>
              </w:rPr>
              <w:t>为日最大8小时平均）达到国家环境空气质量标准（GB 3095-2012）二级水平, 2021年3月份县城首要污染物为O</w:t>
            </w:r>
            <w:r>
              <w:rPr>
                <w:rFonts w:hint="default" w:ascii="Times New Roman" w:hAnsi="Times New Roman" w:cs="Times New Roman"/>
                <w:color w:val="auto"/>
                <w:shd w:val="clear" w:color="auto" w:fill="FCFCFC"/>
                <w:vertAlign w:val="subscript"/>
                <w:lang w:bidi="ar"/>
              </w:rPr>
              <w:t>3</w:t>
            </w:r>
            <w:r>
              <w:rPr>
                <w:rFonts w:hint="default" w:ascii="Times New Roman" w:hAnsi="Times New Roman" w:cs="Times New Roman"/>
                <w:color w:val="auto"/>
                <w:shd w:val="clear" w:color="auto" w:fill="FCFCFC"/>
                <w:lang w:bidi="ar"/>
              </w:rPr>
              <w:t>。</w:t>
            </w:r>
          </w:p>
          <w:p w14:paraId="456D8B0D">
            <w:pPr>
              <w:shd w:val="clear" w:color="auto" w:fill="FCFCFC"/>
              <w:ind w:firstLine="480"/>
              <w:rPr>
                <w:rFonts w:hint="default" w:ascii="Times New Roman" w:hAnsi="Times New Roman" w:cs="Times New Roman"/>
                <w:color w:val="auto"/>
              </w:rPr>
            </w:pPr>
            <w:r>
              <w:rPr>
                <w:rFonts w:hint="default" w:ascii="Times New Roman" w:hAnsi="Times New Roman" w:cs="Times New Roman"/>
                <w:color w:val="auto"/>
              </w:rPr>
              <w:t>由此可分析，评价区域环境空气质量现状良好，可满足《环境空气质量标准》(GB3095-2012)中二级标准限值要求和相关标准要求。</w:t>
            </w:r>
          </w:p>
          <w:p w14:paraId="4529A3AA">
            <w:pPr>
              <w:ind w:firstLine="0" w:firstLineChars="0"/>
              <w:outlineLvl w:val="2"/>
              <w:rPr>
                <w:rFonts w:hint="default" w:ascii="Times New Roman" w:hAnsi="Times New Roman" w:cs="Times New Roman"/>
                <w:b/>
                <w:color w:val="auto"/>
                <w:sz w:val="30"/>
                <w:szCs w:val="30"/>
              </w:rPr>
            </w:pPr>
            <w:bookmarkStart w:id="29" w:name="_Toc12345"/>
            <w:r>
              <w:rPr>
                <w:rFonts w:hint="default" w:ascii="Times New Roman" w:hAnsi="Times New Roman" w:cs="Times New Roman"/>
                <w:b/>
                <w:color w:val="auto"/>
                <w:sz w:val="30"/>
                <w:szCs w:val="30"/>
              </w:rPr>
              <w:t>3.1.2水环境质量现状</w:t>
            </w:r>
            <w:bookmarkEnd w:id="29"/>
          </w:p>
          <w:p w14:paraId="76A13214">
            <w:pPr>
              <w:ind w:firstLine="480"/>
              <w:rPr>
                <w:rFonts w:hint="default" w:ascii="Times New Roman" w:hAnsi="Times New Roman" w:cs="Times New Roman"/>
                <w:color w:val="auto"/>
              </w:rPr>
            </w:pPr>
            <w:r>
              <w:rPr>
                <w:rFonts w:hint="default" w:ascii="Times New Roman" w:hAnsi="Times New Roman" w:cs="Times New Roman"/>
                <w:color w:val="auto"/>
              </w:rPr>
              <w:t>本项目附近主要地表水体为闽江（闽侯竹岐段）。根据福州市环保局网站公布的《2018年12月福州市重点河流断面水质状况》，闽江（闽侯竹岐段）的断面现状水质达到Ⅱ类水质标准。详见网站截图3.1-2。</w:t>
            </w:r>
          </w:p>
          <w:p w14:paraId="5BE2AFA6">
            <w:pPr>
              <w:widowControl/>
              <w:ind w:firstLine="0" w:firstLineChars="0"/>
              <w:jc w:val="left"/>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661312" behindDoc="0" locked="0" layoutInCell="1" allowOverlap="1">
                      <wp:simplePos x="0" y="0"/>
                      <wp:positionH relativeFrom="column">
                        <wp:posOffset>396240</wp:posOffset>
                      </wp:positionH>
                      <wp:positionV relativeFrom="paragraph">
                        <wp:posOffset>2196465</wp:posOffset>
                      </wp:positionV>
                      <wp:extent cx="3949065" cy="243840"/>
                      <wp:effectExtent l="0" t="0" r="13335" b="22860"/>
                      <wp:wrapNone/>
                      <wp:docPr id="34" name="流程图: 过程 34"/>
                      <wp:cNvGraphicFramePr/>
                      <a:graphic xmlns:a="http://schemas.openxmlformats.org/drawingml/2006/main">
                        <a:graphicData uri="http://schemas.microsoft.com/office/word/2010/wordprocessingShape">
                          <wps:wsp>
                            <wps:cNvSpPr>
                              <a:spLocks noChangeArrowheads="1"/>
                            </wps:cNvSpPr>
                            <wps:spPr bwMode="auto">
                              <a:xfrm>
                                <a:off x="0" y="0"/>
                                <a:ext cx="3949065" cy="243840"/>
                              </a:xfrm>
                              <a:prstGeom prst="flowChartProcess">
                                <a:avLst/>
                              </a:prstGeom>
                              <a:noFill/>
                              <a:ln w="19050">
                                <a:solidFill>
                                  <a:srgbClr val="C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31.2pt;margin-top:172.95pt;height:19.2pt;width:310.95pt;z-index:251661312;mso-width-relative:page;mso-height-relative:page;" filled="f" stroked="t" coordsize="21600,21600" o:gfxdata="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8Soth2gAAAAoBAAAPAAAAAAAA&#10;AAEAIAAAACIAAABkcnMvZG93bnJldi54bWxQSwECFAAUAAAACACHTuJALJuhZkkCAABgBAAADgAA&#10;AAAAAAABACAAAAApAQAAZHJzL2Uyb0RvYy54bWxQSwUGAAAAAAYABgBZAQAA5AUAAAAA&#10;">
                      <v:fill on="f" focussize="0,0"/>
                      <v:stroke weight="1.5pt" color="#C00000" miterlimit="8" joinstyle="miter"/>
                      <v:imagedata o:title=""/>
                      <o:lock v:ext="edit" aspectratio="f"/>
                    </v:shape>
                  </w:pict>
                </mc:Fallback>
              </mc:AlternateContent>
            </w:r>
            <w:r>
              <w:rPr>
                <w:rFonts w:hint="default" w:ascii="Times New Roman" w:hAnsi="Times New Roman" w:cs="Times New Roman"/>
                <w:color w:val="auto"/>
                <w:kern w:val="0"/>
              </w:rPr>
              <w:fldChar w:fldCharType="begin"/>
            </w:r>
            <w:r>
              <w:rPr>
                <w:rFonts w:hint="default" w:ascii="Times New Roman" w:hAnsi="Times New Roman" w:cs="Times New Roman"/>
                <w:color w:val="auto"/>
                <w:kern w:val="0"/>
              </w:rPr>
              <w:instrText xml:space="preserve"> INCLUDEPICTURE  "F:\\91、众安药业锅炉改建\\Users\\Administrator\\AppData\\Roaming\\Tencent\\Users\\349206422\\QQ\\WinTemp\\RichOle\\F{UPVYU@3B3EFUPUV{80)XT.png" \* MERGEFORMATINET </w:instrText>
            </w:r>
            <w:r>
              <w:rPr>
                <w:rFonts w:hint="default" w:ascii="Times New Roman" w:hAnsi="Times New Roman" w:cs="Times New Roman"/>
                <w:color w:val="auto"/>
                <w:kern w:val="0"/>
              </w:rPr>
              <w:fldChar w:fldCharType="separate"/>
            </w:r>
            <w:r>
              <w:rPr>
                <w:rFonts w:hint="default" w:ascii="Times New Roman" w:hAnsi="Times New Roman" w:cs="Times New Roman"/>
                <w:color w:val="auto"/>
                <w:kern w:val="0"/>
              </w:rPr>
              <w:pict>
                <v:shape id="_x0000_i1025" o:spt="75" type="#_x0000_t75" style="height:307.35pt;width:408.35pt;" filled="f" o:preferrelative="t" stroked="f" coordsize="21600,21600">
                  <v:path/>
                  <v:fill on="f" focussize="0,0"/>
                  <v:stroke on="f" joinstyle="miter"/>
                  <v:imagedata r:id="rId15" r:href="rId16" o:title=""/>
                  <o:lock v:ext="edit" aspectratio="t"/>
                  <w10:wrap type="none"/>
                  <w10:anchorlock/>
                </v:shape>
              </w:pict>
            </w:r>
            <w:r>
              <w:rPr>
                <w:rFonts w:hint="default" w:ascii="Times New Roman" w:hAnsi="Times New Roman" w:cs="Times New Roman"/>
                <w:color w:val="auto"/>
                <w:kern w:val="0"/>
              </w:rPr>
              <w:fldChar w:fldCharType="end"/>
            </w:r>
          </w:p>
          <w:p w14:paraId="02A22893">
            <w:pPr>
              <w:ind w:firstLine="482"/>
              <w:jc w:val="center"/>
              <w:rPr>
                <w:rFonts w:hint="default" w:ascii="Times New Roman" w:hAnsi="Times New Roman" w:cs="Times New Roman"/>
                <w:b/>
                <w:bCs/>
                <w:color w:val="auto"/>
              </w:rPr>
            </w:pPr>
            <w:r>
              <w:rPr>
                <w:rFonts w:hint="default" w:ascii="Times New Roman" w:hAnsi="Times New Roman" w:cs="Times New Roman"/>
                <w:b/>
                <w:bCs/>
                <w:color w:val="auto"/>
              </w:rPr>
              <w:t>图3.1-2  闽江（闽侯竹岐段）水质状况</w:t>
            </w:r>
          </w:p>
          <w:p w14:paraId="051C2FAB">
            <w:pPr>
              <w:ind w:firstLine="0" w:firstLineChars="0"/>
              <w:outlineLvl w:val="2"/>
              <w:rPr>
                <w:rFonts w:hint="default" w:ascii="Times New Roman" w:hAnsi="Times New Roman" w:cs="Times New Roman"/>
                <w:b/>
                <w:color w:val="auto"/>
                <w:sz w:val="30"/>
                <w:szCs w:val="30"/>
              </w:rPr>
            </w:pPr>
            <w:bookmarkStart w:id="30" w:name="_Toc1829"/>
            <w:r>
              <w:rPr>
                <w:rFonts w:hint="default" w:ascii="Times New Roman" w:hAnsi="Times New Roman" w:cs="Times New Roman"/>
                <w:b/>
                <w:color w:val="auto"/>
                <w:sz w:val="30"/>
                <w:szCs w:val="30"/>
              </w:rPr>
              <w:t>3.1.3声环境质量现状</w:t>
            </w:r>
            <w:bookmarkEnd w:id="30"/>
          </w:p>
          <w:p w14:paraId="5BE7D486">
            <w:pPr>
              <w:ind w:firstLine="480"/>
              <w:rPr>
                <w:rFonts w:hint="default" w:ascii="Times New Roman" w:hAnsi="Times New Roman" w:cs="Times New Roman"/>
                <w:color w:val="auto"/>
              </w:rPr>
            </w:pPr>
            <w:r>
              <w:rPr>
                <w:rFonts w:hint="default" w:ascii="Times New Roman" w:hAnsi="Times New Roman" w:cs="Times New Roman"/>
                <w:color w:val="auto"/>
              </w:rPr>
              <w:t>根据《建设项目环境影响报告表编制技术指南（污染影响类）》（试行）中要求，项目需对厂界外周边50米范围的声环境保护目标进行声环境质量现状监测；为此我司技术人员经现场踏勘得知，项目厂界外周边50米范围内无声环境保护目标。</w:t>
            </w:r>
          </w:p>
          <w:p w14:paraId="58814F20">
            <w:pPr>
              <w:ind w:firstLine="480"/>
              <w:rPr>
                <w:rFonts w:hint="default" w:ascii="Times New Roman" w:hAnsi="Times New Roman" w:cs="Times New Roman"/>
                <w:color w:val="auto"/>
              </w:rPr>
            </w:pPr>
            <w:r>
              <w:rPr>
                <w:rFonts w:hint="default" w:ascii="Times New Roman" w:hAnsi="Times New Roman" w:cs="Times New Roman"/>
                <w:color w:val="auto"/>
              </w:rPr>
              <w:t>福建</w:t>
            </w:r>
            <w:r>
              <w:rPr>
                <w:rFonts w:hint="eastAsia" w:cs="Times New Roman"/>
                <w:color w:val="auto"/>
                <w:lang w:eastAsia="zh-CN"/>
              </w:rPr>
              <w:t>省格瑞恩</w:t>
            </w:r>
            <w:r>
              <w:rPr>
                <w:rFonts w:hint="default" w:ascii="Times New Roman" w:hAnsi="Times New Roman" w:cs="Times New Roman"/>
                <w:color w:val="auto"/>
              </w:rPr>
              <w:t>环境检测技术有限公司于2021年</w:t>
            </w:r>
            <w:r>
              <w:rPr>
                <w:rFonts w:hint="eastAsia" w:cs="Times New Roman"/>
                <w:color w:val="auto"/>
                <w:lang w:val="en-US" w:eastAsia="zh-CN"/>
              </w:rPr>
              <w:t>11</w:t>
            </w:r>
            <w:r>
              <w:rPr>
                <w:rFonts w:hint="default" w:ascii="Times New Roman" w:hAnsi="Times New Roman" w:cs="Times New Roman"/>
                <w:color w:val="auto"/>
              </w:rPr>
              <w:t>月</w:t>
            </w:r>
            <w:r>
              <w:rPr>
                <w:rFonts w:hint="eastAsia" w:cs="Times New Roman"/>
                <w:color w:val="auto"/>
                <w:lang w:val="en-US" w:eastAsia="zh-CN"/>
              </w:rPr>
              <w:t>8</w:t>
            </w:r>
            <w:r>
              <w:rPr>
                <w:rFonts w:hint="default" w:ascii="Times New Roman" w:hAnsi="Times New Roman" w:cs="Times New Roman"/>
                <w:color w:val="auto"/>
              </w:rPr>
              <w:t>日对项目区声环境质量现状进行监测，检测报告见附件</w:t>
            </w:r>
            <w:r>
              <w:rPr>
                <w:rFonts w:hint="eastAsia" w:cs="Times New Roman"/>
                <w:color w:val="auto"/>
                <w:lang w:val="en-US" w:eastAsia="zh-CN"/>
              </w:rPr>
              <w:t>11</w:t>
            </w:r>
            <w:r>
              <w:rPr>
                <w:rFonts w:hint="default" w:ascii="Times New Roman" w:hAnsi="Times New Roman" w:cs="Times New Roman"/>
                <w:color w:val="auto"/>
              </w:rPr>
              <w:t>。检测结果详见表3.1-1。</w:t>
            </w:r>
          </w:p>
          <w:p w14:paraId="28E5CB88">
            <w:pPr>
              <w:pStyle w:val="28"/>
              <w:rPr>
                <w:rFonts w:hint="default" w:ascii="Times New Roman" w:hAnsi="Times New Roman" w:cs="Times New Roman"/>
                <w:color w:val="auto"/>
              </w:rPr>
            </w:pPr>
          </w:p>
          <w:p w14:paraId="10565EEE">
            <w:pPr>
              <w:pStyle w:val="28"/>
              <w:rPr>
                <w:rFonts w:hint="default" w:ascii="Times New Roman" w:hAnsi="Times New Roman" w:cs="Times New Roman"/>
                <w:color w:val="auto"/>
              </w:rPr>
            </w:pPr>
          </w:p>
          <w:p w14:paraId="6842C730">
            <w:pPr>
              <w:pStyle w:val="28"/>
              <w:rPr>
                <w:rFonts w:hint="default" w:ascii="Times New Roman" w:hAnsi="Times New Roman" w:eastAsia="宋体" w:cs="Times New Roman"/>
                <w:color w:val="auto"/>
                <w:lang w:val="en-US" w:eastAsia="zh-CN"/>
              </w:rPr>
            </w:pPr>
            <w:r>
              <w:rPr>
                <w:rFonts w:hint="default" w:ascii="Times New Roman" w:hAnsi="Times New Roman" w:cs="Times New Roman"/>
                <w:color w:val="auto"/>
              </w:rPr>
              <w:t>表3.1-1 项目环境噪声检测结果一览表</w:t>
            </w:r>
            <w:r>
              <w:rPr>
                <w:rFonts w:hint="eastAsia" w:cs="Times New Roman"/>
                <w:color w:val="auto"/>
                <w:lang w:val="en-US" w:eastAsia="zh-CN"/>
              </w:rPr>
              <w:t xml:space="preserve">  </w:t>
            </w:r>
            <w:r>
              <w:rPr>
                <w:color w:val="auto"/>
              </w:rPr>
              <w:t>单位：dB(A)</w:t>
            </w:r>
          </w:p>
          <w:tbl>
            <w:tblPr>
              <w:tblStyle w:val="21"/>
              <w:tblW w:w="81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7"/>
              <w:gridCol w:w="1292"/>
              <w:gridCol w:w="2040"/>
              <w:gridCol w:w="2770"/>
            </w:tblGrid>
            <w:tr w14:paraId="4FBC2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1260" w:type="pct"/>
                  <w:noWrap w:val="0"/>
                  <w:vAlign w:val="center"/>
                </w:tcPr>
                <w:p w14:paraId="5F3F82B3">
                  <w:pPr>
                    <w:spacing w:line="240" w:lineRule="auto"/>
                    <w:ind w:firstLine="0" w:firstLineChars="0"/>
                    <w:jc w:val="center"/>
                    <w:rPr>
                      <w:rFonts w:hint="default" w:ascii="Times New Roman" w:hAnsi="Times New Roman" w:eastAsia="宋体" w:cs="Times New Roman"/>
                      <w:b/>
                      <w:bCs/>
                      <w:i w:val="0"/>
                      <w:iCs w:val="0"/>
                      <w:color w:val="auto"/>
                      <w:sz w:val="21"/>
                      <w:szCs w:val="21"/>
                    </w:rPr>
                  </w:pPr>
                  <w:r>
                    <w:rPr>
                      <w:rFonts w:hint="default" w:ascii="Times New Roman" w:hAnsi="Times New Roman" w:eastAsia="宋体" w:cs="Times New Roman"/>
                      <w:b/>
                      <w:bCs/>
                      <w:i w:val="0"/>
                      <w:iCs w:val="0"/>
                      <w:color w:val="auto"/>
                      <w:sz w:val="21"/>
                      <w:szCs w:val="21"/>
                    </w:rPr>
                    <w:t>检测点名称</w:t>
                  </w:r>
                </w:p>
              </w:tc>
              <w:tc>
                <w:tcPr>
                  <w:tcW w:w="2041" w:type="pct"/>
                  <w:gridSpan w:val="2"/>
                  <w:noWrap w:val="0"/>
                  <w:vAlign w:val="center"/>
                </w:tcPr>
                <w:p w14:paraId="0299E895">
                  <w:pPr>
                    <w:spacing w:line="240" w:lineRule="auto"/>
                    <w:ind w:firstLine="0" w:firstLineChars="0"/>
                    <w:jc w:val="center"/>
                    <w:rPr>
                      <w:rFonts w:hint="default" w:ascii="Times New Roman" w:hAnsi="Times New Roman" w:eastAsia="宋体" w:cs="Times New Roman"/>
                      <w:b/>
                      <w:bCs/>
                      <w:i w:val="0"/>
                      <w:iCs w:val="0"/>
                      <w:color w:val="auto"/>
                      <w:sz w:val="21"/>
                      <w:szCs w:val="21"/>
                    </w:rPr>
                  </w:pPr>
                  <w:r>
                    <w:rPr>
                      <w:rFonts w:hint="default" w:ascii="Times New Roman" w:hAnsi="Times New Roman" w:eastAsia="宋体" w:cs="Times New Roman"/>
                      <w:b/>
                      <w:bCs/>
                      <w:i w:val="0"/>
                      <w:iCs w:val="0"/>
                      <w:color w:val="auto"/>
                      <w:sz w:val="21"/>
                      <w:szCs w:val="21"/>
                    </w:rPr>
                    <w:t>检测日期及时间</w:t>
                  </w:r>
                </w:p>
              </w:tc>
              <w:tc>
                <w:tcPr>
                  <w:tcW w:w="1697" w:type="pct"/>
                  <w:noWrap w:val="0"/>
                  <w:vAlign w:val="center"/>
                </w:tcPr>
                <w:p w14:paraId="0DE9A4F9">
                  <w:pPr>
                    <w:spacing w:line="240" w:lineRule="auto"/>
                    <w:ind w:firstLine="0" w:firstLineChars="0"/>
                    <w:jc w:val="center"/>
                    <w:rPr>
                      <w:rFonts w:hint="default" w:ascii="Times New Roman" w:hAnsi="Times New Roman" w:eastAsia="宋体" w:cs="Times New Roman"/>
                      <w:b/>
                      <w:bCs/>
                      <w:i w:val="0"/>
                      <w:iCs w:val="0"/>
                      <w:color w:val="auto"/>
                      <w:sz w:val="21"/>
                      <w:szCs w:val="21"/>
                    </w:rPr>
                  </w:pPr>
                  <w:r>
                    <w:rPr>
                      <w:rFonts w:hint="default" w:ascii="Times New Roman" w:hAnsi="Times New Roman" w:eastAsia="宋体" w:cs="Times New Roman"/>
                      <w:b/>
                      <w:bCs/>
                      <w:i w:val="0"/>
                      <w:iCs w:val="0"/>
                      <w:color w:val="auto"/>
                      <w:sz w:val="21"/>
                      <w:szCs w:val="21"/>
                    </w:rPr>
                    <w:t>检测结果Leq dB（A）</w:t>
                  </w:r>
                </w:p>
              </w:tc>
            </w:tr>
            <w:tr w14:paraId="1219A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260" w:type="pct"/>
                  <w:vMerge w:val="restart"/>
                  <w:noWrap w:val="0"/>
                  <w:vAlign w:val="center"/>
                </w:tcPr>
                <w:p w14:paraId="6F5918A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r>
                    <w:rPr>
                      <w:rFonts w:hint="eastAsia" w:ascii="Times New Roman" w:hAnsi="Times New Roman" w:eastAsia="宋体" w:cs="Times New Roman"/>
                      <w:color w:val="auto"/>
                      <w:sz w:val="21"/>
                      <w:szCs w:val="21"/>
                      <w:lang w:val="en-US" w:eastAsia="zh-CN"/>
                    </w:rPr>
                    <w:t>东</w:t>
                  </w:r>
                  <w:r>
                    <w:rPr>
                      <w:rFonts w:hint="default" w:ascii="Times New Roman" w:hAnsi="Times New Roman" w:eastAsia="宋体" w:cs="Times New Roman"/>
                      <w:color w:val="auto"/>
                      <w:sz w:val="21"/>
                      <w:szCs w:val="21"/>
                    </w:rPr>
                    <w:t>侧N1</w:t>
                  </w:r>
                </w:p>
              </w:tc>
              <w:tc>
                <w:tcPr>
                  <w:tcW w:w="791" w:type="pct"/>
                  <w:vMerge w:val="restart"/>
                  <w:noWrap w:val="0"/>
                  <w:vAlign w:val="center"/>
                </w:tcPr>
                <w:p w14:paraId="08B7D8C0">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202</w:t>
                  </w: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11.8</w:t>
                  </w:r>
                </w:p>
              </w:tc>
              <w:tc>
                <w:tcPr>
                  <w:tcW w:w="1250" w:type="pct"/>
                  <w:noWrap w:val="0"/>
                  <w:vAlign w:val="center"/>
                </w:tcPr>
                <w:p w14:paraId="4F42DE6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09:33~09:43</w:t>
                  </w:r>
                </w:p>
              </w:tc>
              <w:tc>
                <w:tcPr>
                  <w:tcW w:w="1697" w:type="pct"/>
                  <w:noWrap w:val="0"/>
                  <w:vAlign w:val="center"/>
                </w:tcPr>
                <w:p w14:paraId="1B1BC5E2">
                  <w:pPr>
                    <w:spacing w:line="240" w:lineRule="auto"/>
                    <w:ind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58.7</w:t>
                  </w:r>
                </w:p>
              </w:tc>
            </w:tr>
            <w:tr w14:paraId="01802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260" w:type="pct"/>
                  <w:vMerge w:val="continue"/>
                  <w:noWrap w:val="0"/>
                  <w:vAlign w:val="center"/>
                </w:tcPr>
                <w:p w14:paraId="7FAC291A">
                  <w:pPr>
                    <w:spacing w:line="240" w:lineRule="auto"/>
                    <w:ind w:firstLine="0" w:firstLineChars="0"/>
                    <w:jc w:val="center"/>
                    <w:rPr>
                      <w:rFonts w:hint="default" w:ascii="Times New Roman" w:hAnsi="Times New Roman" w:eastAsia="宋体" w:cs="Times New Roman"/>
                      <w:color w:val="auto"/>
                      <w:sz w:val="21"/>
                      <w:szCs w:val="21"/>
                    </w:rPr>
                  </w:pPr>
                </w:p>
              </w:tc>
              <w:tc>
                <w:tcPr>
                  <w:tcW w:w="791" w:type="pct"/>
                  <w:vMerge w:val="continue"/>
                  <w:noWrap w:val="0"/>
                  <w:vAlign w:val="center"/>
                </w:tcPr>
                <w:p w14:paraId="38C7B6D0">
                  <w:pPr>
                    <w:spacing w:line="240" w:lineRule="auto"/>
                    <w:ind w:firstLine="0" w:firstLineChars="0"/>
                    <w:jc w:val="center"/>
                    <w:rPr>
                      <w:rFonts w:hint="default" w:ascii="Times New Roman" w:hAnsi="Times New Roman" w:eastAsia="宋体" w:cs="Times New Roman"/>
                      <w:color w:val="auto"/>
                      <w:sz w:val="21"/>
                      <w:szCs w:val="21"/>
                    </w:rPr>
                  </w:pPr>
                </w:p>
              </w:tc>
              <w:tc>
                <w:tcPr>
                  <w:tcW w:w="1250" w:type="pct"/>
                  <w:noWrap w:val="0"/>
                  <w:vAlign w:val="center"/>
                </w:tcPr>
                <w:p w14:paraId="1296152C">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22:06~22:16</w:t>
                  </w:r>
                </w:p>
              </w:tc>
              <w:tc>
                <w:tcPr>
                  <w:tcW w:w="1697" w:type="pct"/>
                  <w:noWrap w:val="0"/>
                  <w:vAlign w:val="center"/>
                </w:tcPr>
                <w:p w14:paraId="5AEDDF24">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8</w:t>
                  </w:r>
                </w:p>
              </w:tc>
            </w:tr>
            <w:tr w14:paraId="7EDEC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260" w:type="pct"/>
                  <w:vMerge w:val="restart"/>
                  <w:noWrap w:val="0"/>
                  <w:vAlign w:val="center"/>
                </w:tcPr>
                <w:p w14:paraId="1A2F323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r>
                    <w:rPr>
                      <w:rFonts w:hint="eastAsia" w:ascii="Times New Roman" w:hAnsi="Times New Roman" w:eastAsia="宋体" w:cs="Times New Roman"/>
                      <w:color w:val="auto"/>
                      <w:sz w:val="21"/>
                      <w:szCs w:val="21"/>
                      <w:lang w:val="en-US" w:eastAsia="zh-CN"/>
                    </w:rPr>
                    <w:t>南</w:t>
                  </w:r>
                  <w:r>
                    <w:rPr>
                      <w:rFonts w:hint="default" w:ascii="Times New Roman" w:hAnsi="Times New Roman" w:eastAsia="宋体" w:cs="Times New Roman"/>
                      <w:color w:val="auto"/>
                      <w:sz w:val="21"/>
                      <w:szCs w:val="21"/>
                    </w:rPr>
                    <w:t>侧N2</w:t>
                  </w:r>
                </w:p>
              </w:tc>
              <w:tc>
                <w:tcPr>
                  <w:tcW w:w="791" w:type="pct"/>
                  <w:vMerge w:val="continue"/>
                  <w:noWrap w:val="0"/>
                  <w:vAlign w:val="center"/>
                </w:tcPr>
                <w:p w14:paraId="78E51933">
                  <w:pPr>
                    <w:spacing w:line="240" w:lineRule="auto"/>
                    <w:ind w:firstLine="0" w:firstLineChars="0"/>
                    <w:jc w:val="center"/>
                    <w:rPr>
                      <w:rFonts w:hint="default" w:ascii="Times New Roman" w:hAnsi="Times New Roman" w:eastAsia="宋体" w:cs="Times New Roman"/>
                      <w:color w:val="auto"/>
                      <w:sz w:val="21"/>
                      <w:szCs w:val="21"/>
                    </w:rPr>
                  </w:pPr>
                </w:p>
              </w:tc>
              <w:tc>
                <w:tcPr>
                  <w:tcW w:w="1250" w:type="pct"/>
                  <w:noWrap w:val="0"/>
                  <w:vAlign w:val="center"/>
                </w:tcPr>
                <w:p w14:paraId="43810EA0">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09:50~10:00</w:t>
                  </w:r>
                </w:p>
              </w:tc>
              <w:tc>
                <w:tcPr>
                  <w:tcW w:w="1697" w:type="pct"/>
                  <w:noWrap w:val="0"/>
                  <w:vAlign w:val="center"/>
                </w:tcPr>
                <w:p w14:paraId="3B991EE8">
                  <w:pPr>
                    <w:spacing w:line="240" w:lineRule="auto"/>
                    <w:ind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59.6</w:t>
                  </w:r>
                </w:p>
              </w:tc>
            </w:tr>
            <w:tr w14:paraId="7A00A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260" w:type="pct"/>
                  <w:vMerge w:val="continue"/>
                  <w:noWrap w:val="0"/>
                  <w:vAlign w:val="center"/>
                </w:tcPr>
                <w:p w14:paraId="6B21D955">
                  <w:pPr>
                    <w:spacing w:line="240" w:lineRule="auto"/>
                    <w:ind w:firstLine="0" w:firstLineChars="0"/>
                    <w:jc w:val="center"/>
                    <w:rPr>
                      <w:rFonts w:hint="default" w:ascii="Times New Roman" w:hAnsi="Times New Roman" w:eastAsia="宋体" w:cs="Times New Roman"/>
                      <w:color w:val="auto"/>
                      <w:sz w:val="21"/>
                      <w:szCs w:val="21"/>
                    </w:rPr>
                  </w:pPr>
                </w:p>
              </w:tc>
              <w:tc>
                <w:tcPr>
                  <w:tcW w:w="791" w:type="pct"/>
                  <w:vMerge w:val="continue"/>
                  <w:noWrap w:val="0"/>
                  <w:vAlign w:val="center"/>
                </w:tcPr>
                <w:p w14:paraId="5620C3BB">
                  <w:pPr>
                    <w:spacing w:line="240" w:lineRule="auto"/>
                    <w:ind w:firstLine="0" w:firstLineChars="0"/>
                    <w:jc w:val="center"/>
                    <w:rPr>
                      <w:rFonts w:hint="default" w:ascii="Times New Roman" w:hAnsi="Times New Roman" w:eastAsia="宋体" w:cs="Times New Roman"/>
                      <w:color w:val="auto"/>
                      <w:sz w:val="21"/>
                      <w:szCs w:val="21"/>
                    </w:rPr>
                  </w:pPr>
                </w:p>
              </w:tc>
              <w:tc>
                <w:tcPr>
                  <w:tcW w:w="1250" w:type="pct"/>
                  <w:noWrap w:val="0"/>
                  <w:vAlign w:val="center"/>
                </w:tcPr>
                <w:p w14:paraId="1B41AFD7">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22:25~22:35</w:t>
                  </w:r>
                </w:p>
              </w:tc>
              <w:tc>
                <w:tcPr>
                  <w:tcW w:w="1697" w:type="pct"/>
                  <w:noWrap w:val="0"/>
                  <w:vAlign w:val="center"/>
                </w:tcPr>
                <w:p w14:paraId="7F9AD669">
                  <w:pPr>
                    <w:spacing w:line="240" w:lineRule="auto"/>
                    <w:ind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46.3</w:t>
                  </w:r>
                </w:p>
              </w:tc>
            </w:tr>
            <w:tr w14:paraId="64C2B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260" w:type="pct"/>
                  <w:vMerge w:val="restart"/>
                  <w:noWrap w:val="0"/>
                  <w:vAlign w:val="center"/>
                </w:tcPr>
                <w:p w14:paraId="72E0073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r>
                    <w:rPr>
                      <w:rFonts w:hint="eastAsia" w:ascii="Times New Roman" w:hAnsi="Times New Roman" w:eastAsia="宋体" w:cs="Times New Roman"/>
                      <w:color w:val="auto"/>
                      <w:sz w:val="21"/>
                      <w:szCs w:val="21"/>
                      <w:lang w:val="en-US" w:eastAsia="zh-CN"/>
                    </w:rPr>
                    <w:t>西</w:t>
                  </w:r>
                  <w:r>
                    <w:rPr>
                      <w:rFonts w:hint="default" w:ascii="Times New Roman" w:hAnsi="Times New Roman" w:eastAsia="宋体" w:cs="Times New Roman"/>
                      <w:color w:val="auto"/>
                      <w:sz w:val="21"/>
                      <w:szCs w:val="21"/>
                    </w:rPr>
                    <w:t>侧N3</w:t>
                  </w:r>
                </w:p>
              </w:tc>
              <w:tc>
                <w:tcPr>
                  <w:tcW w:w="791" w:type="pct"/>
                  <w:vMerge w:val="continue"/>
                  <w:noWrap w:val="0"/>
                  <w:vAlign w:val="center"/>
                </w:tcPr>
                <w:p w14:paraId="22011C2D">
                  <w:pPr>
                    <w:spacing w:line="240" w:lineRule="auto"/>
                    <w:ind w:firstLine="0" w:firstLineChars="0"/>
                    <w:jc w:val="center"/>
                    <w:rPr>
                      <w:rFonts w:hint="default" w:ascii="Times New Roman" w:hAnsi="Times New Roman" w:eastAsia="宋体" w:cs="Times New Roman"/>
                      <w:color w:val="auto"/>
                      <w:sz w:val="21"/>
                      <w:szCs w:val="21"/>
                    </w:rPr>
                  </w:pPr>
                </w:p>
              </w:tc>
              <w:tc>
                <w:tcPr>
                  <w:tcW w:w="1250" w:type="pct"/>
                  <w:noWrap w:val="0"/>
                  <w:vAlign w:val="center"/>
                </w:tcPr>
                <w:p w14:paraId="0B530C5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10:09~10:19</w:t>
                  </w:r>
                </w:p>
              </w:tc>
              <w:tc>
                <w:tcPr>
                  <w:tcW w:w="1697" w:type="pct"/>
                  <w:noWrap w:val="0"/>
                  <w:vAlign w:val="center"/>
                </w:tcPr>
                <w:p w14:paraId="5A2EB1B2">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57.1</w:t>
                  </w:r>
                </w:p>
              </w:tc>
            </w:tr>
            <w:tr w14:paraId="53A27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260" w:type="pct"/>
                  <w:vMerge w:val="continue"/>
                  <w:noWrap w:val="0"/>
                  <w:vAlign w:val="center"/>
                </w:tcPr>
                <w:p w14:paraId="6959FB5F">
                  <w:pPr>
                    <w:spacing w:line="240" w:lineRule="auto"/>
                    <w:ind w:firstLine="0" w:firstLineChars="0"/>
                    <w:jc w:val="center"/>
                    <w:rPr>
                      <w:rFonts w:hint="default" w:ascii="Times New Roman" w:hAnsi="Times New Roman" w:eastAsia="宋体" w:cs="Times New Roman"/>
                      <w:color w:val="auto"/>
                      <w:sz w:val="21"/>
                      <w:szCs w:val="21"/>
                    </w:rPr>
                  </w:pPr>
                </w:p>
              </w:tc>
              <w:tc>
                <w:tcPr>
                  <w:tcW w:w="791" w:type="pct"/>
                  <w:vMerge w:val="continue"/>
                  <w:noWrap w:val="0"/>
                  <w:vAlign w:val="center"/>
                </w:tcPr>
                <w:p w14:paraId="16170F98">
                  <w:pPr>
                    <w:spacing w:line="240" w:lineRule="auto"/>
                    <w:ind w:firstLine="0" w:firstLineChars="0"/>
                    <w:jc w:val="center"/>
                    <w:rPr>
                      <w:rFonts w:hint="default" w:ascii="Times New Roman" w:hAnsi="Times New Roman" w:eastAsia="宋体" w:cs="Times New Roman"/>
                      <w:color w:val="auto"/>
                      <w:sz w:val="21"/>
                      <w:szCs w:val="21"/>
                    </w:rPr>
                  </w:pPr>
                </w:p>
              </w:tc>
              <w:tc>
                <w:tcPr>
                  <w:tcW w:w="1250" w:type="pct"/>
                  <w:noWrap w:val="0"/>
                  <w:vAlign w:val="center"/>
                </w:tcPr>
                <w:p w14:paraId="62F09754">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22:43~22:53</w:t>
                  </w:r>
                </w:p>
              </w:tc>
              <w:tc>
                <w:tcPr>
                  <w:tcW w:w="1697" w:type="pct"/>
                  <w:noWrap w:val="0"/>
                  <w:vAlign w:val="center"/>
                </w:tcPr>
                <w:p w14:paraId="026812CA">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45.5</w:t>
                  </w:r>
                </w:p>
              </w:tc>
            </w:tr>
            <w:tr w14:paraId="4B75F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260" w:type="pct"/>
                  <w:vMerge w:val="restart"/>
                  <w:noWrap w:val="0"/>
                  <w:vAlign w:val="center"/>
                </w:tcPr>
                <w:p w14:paraId="57F47745">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项目</w:t>
                  </w:r>
                  <w:r>
                    <w:rPr>
                      <w:rFonts w:hint="eastAsia" w:ascii="Times New Roman" w:hAnsi="Times New Roman" w:eastAsia="宋体" w:cs="Times New Roman"/>
                      <w:color w:val="auto"/>
                      <w:sz w:val="21"/>
                      <w:szCs w:val="21"/>
                      <w:lang w:val="en-US" w:eastAsia="zh-CN"/>
                    </w:rPr>
                    <w:t>北</w:t>
                  </w:r>
                  <w:r>
                    <w:rPr>
                      <w:rFonts w:hint="eastAsia" w:ascii="Times New Roman" w:hAnsi="Times New Roman" w:eastAsia="宋体" w:cs="Times New Roman"/>
                      <w:color w:val="auto"/>
                      <w:sz w:val="21"/>
                      <w:szCs w:val="21"/>
                      <w:lang w:eastAsia="zh-CN"/>
                    </w:rPr>
                    <w:t>侧</w:t>
                  </w:r>
                  <w:r>
                    <w:rPr>
                      <w:rFonts w:hint="eastAsia" w:ascii="Times New Roman" w:hAnsi="Times New Roman" w:eastAsia="宋体" w:cs="Times New Roman"/>
                      <w:color w:val="auto"/>
                      <w:sz w:val="21"/>
                      <w:szCs w:val="21"/>
                      <w:lang w:val="en-US" w:eastAsia="zh-CN"/>
                    </w:rPr>
                    <w:t>N4</w:t>
                  </w:r>
                </w:p>
              </w:tc>
              <w:tc>
                <w:tcPr>
                  <w:tcW w:w="791" w:type="pct"/>
                  <w:vMerge w:val="continue"/>
                  <w:noWrap w:val="0"/>
                  <w:vAlign w:val="center"/>
                </w:tcPr>
                <w:p w14:paraId="1C59FC7E">
                  <w:pPr>
                    <w:spacing w:line="240" w:lineRule="auto"/>
                    <w:ind w:firstLine="0" w:firstLineChars="0"/>
                    <w:jc w:val="center"/>
                    <w:rPr>
                      <w:rFonts w:hint="default" w:ascii="Times New Roman" w:hAnsi="Times New Roman" w:eastAsia="宋体" w:cs="Times New Roman"/>
                      <w:color w:val="auto"/>
                      <w:sz w:val="21"/>
                      <w:szCs w:val="21"/>
                    </w:rPr>
                  </w:pPr>
                </w:p>
              </w:tc>
              <w:tc>
                <w:tcPr>
                  <w:tcW w:w="1250" w:type="pct"/>
                  <w:noWrap w:val="0"/>
                  <w:vAlign w:val="center"/>
                </w:tcPr>
                <w:p w14:paraId="31B21FDD">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10:29~10:39</w:t>
                  </w:r>
                </w:p>
              </w:tc>
              <w:tc>
                <w:tcPr>
                  <w:tcW w:w="1697" w:type="pct"/>
                  <w:noWrap w:val="0"/>
                  <w:vAlign w:val="center"/>
                </w:tcPr>
                <w:p w14:paraId="3FDD5AF7">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58.1</w:t>
                  </w:r>
                </w:p>
              </w:tc>
            </w:tr>
            <w:tr w14:paraId="65A6C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260" w:type="pct"/>
                  <w:vMerge w:val="continue"/>
                  <w:noWrap w:val="0"/>
                  <w:vAlign w:val="center"/>
                </w:tcPr>
                <w:p w14:paraId="16549CA4">
                  <w:pPr>
                    <w:spacing w:line="240" w:lineRule="auto"/>
                    <w:ind w:firstLine="0" w:firstLineChars="0"/>
                    <w:jc w:val="center"/>
                    <w:rPr>
                      <w:rFonts w:hint="eastAsia" w:ascii="Times New Roman" w:hAnsi="Times New Roman" w:eastAsia="宋体" w:cs="Times New Roman"/>
                      <w:color w:val="auto"/>
                      <w:sz w:val="21"/>
                      <w:szCs w:val="21"/>
                      <w:lang w:eastAsia="zh-CN"/>
                    </w:rPr>
                  </w:pPr>
                </w:p>
              </w:tc>
              <w:tc>
                <w:tcPr>
                  <w:tcW w:w="791" w:type="pct"/>
                  <w:vMerge w:val="continue"/>
                  <w:noWrap w:val="0"/>
                  <w:vAlign w:val="center"/>
                </w:tcPr>
                <w:p w14:paraId="1D8B7772">
                  <w:pPr>
                    <w:spacing w:line="240" w:lineRule="auto"/>
                    <w:ind w:firstLine="0" w:firstLineChars="0"/>
                    <w:jc w:val="center"/>
                    <w:rPr>
                      <w:rFonts w:hint="default" w:ascii="Times New Roman" w:hAnsi="Times New Roman" w:eastAsia="宋体" w:cs="Times New Roman"/>
                      <w:color w:val="auto"/>
                      <w:sz w:val="21"/>
                      <w:szCs w:val="21"/>
                    </w:rPr>
                  </w:pPr>
                </w:p>
              </w:tc>
              <w:tc>
                <w:tcPr>
                  <w:tcW w:w="1250" w:type="pct"/>
                  <w:noWrap w:val="0"/>
                  <w:vAlign w:val="center"/>
                </w:tcPr>
                <w:p w14:paraId="783AF53C">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23:00~23:10</w:t>
                  </w:r>
                </w:p>
              </w:tc>
              <w:tc>
                <w:tcPr>
                  <w:tcW w:w="1697" w:type="pct"/>
                  <w:noWrap w:val="0"/>
                  <w:vAlign w:val="center"/>
                </w:tcPr>
                <w:p w14:paraId="22A23E27">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45.0</w:t>
                  </w:r>
                </w:p>
              </w:tc>
            </w:tr>
          </w:tbl>
          <w:p w14:paraId="7DFFFA2F">
            <w:pPr>
              <w:ind w:firstLine="0" w:firstLineChars="0"/>
              <w:rPr>
                <w:rFonts w:hint="default" w:ascii="Times New Roman" w:hAnsi="Times New Roman" w:cs="Times New Roman"/>
                <w:color w:val="auto"/>
              </w:rPr>
            </w:pPr>
            <w:r>
              <w:drawing>
                <wp:inline distT="0" distB="0" distL="114300" distR="114300">
                  <wp:extent cx="5156200" cy="3172460"/>
                  <wp:effectExtent l="0" t="0" r="6350" b="8890"/>
                  <wp:docPr id="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
                          <pic:cNvPicPr>
                            <a:picLocks noChangeAspect="1"/>
                          </pic:cNvPicPr>
                        </pic:nvPicPr>
                        <pic:blipFill>
                          <a:blip r:embed="rId17"/>
                          <a:stretch>
                            <a:fillRect/>
                          </a:stretch>
                        </pic:blipFill>
                        <pic:spPr>
                          <a:xfrm>
                            <a:off x="0" y="0"/>
                            <a:ext cx="5156200" cy="3172460"/>
                          </a:xfrm>
                          <a:prstGeom prst="rect">
                            <a:avLst/>
                          </a:prstGeom>
                          <a:noFill/>
                          <a:ln>
                            <a:noFill/>
                          </a:ln>
                        </pic:spPr>
                      </pic:pic>
                    </a:graphicData>
                  </a:graphic>
                </wp:inline>
              </w:drawing>
            </w:r>
          </w:p>
          <w:p w14:paraId="7420A2BC">
            <w:pPr>
              <w:ind w:firstLine="482"/>
              <w:jc w:val="center"/>
              <w:rPr>
                <w:rFonts w:hint="default" w:ascii="Times New Roman" w:hAnsi="Times New Roman" w:cs="Times New Roman"/>
                <w:b/>
                <w:color w:val="auto"/>
              </w:rPr>
            </w:pPr>
            <w:r>
              <w:rPr>
                <w:rFonts w:hint="default" w:ascii="Times New Roman" w:hAnsi="Times New Roman" w:cs="Times New Roman"/>
                <w:b/>
                <w:color w:val="auto"/>
              </w:rPr>
              <w:t>图3.1-3  噪声监测点位图</w:t>
            </w:r>
          </w:p>
          <w:p w14:paraId="472D52FA">
            <w:pPr>
              <w:ind w:firstLine="480"/>
              <w:rPr>
                <w:rFonts w:hint="default" w:ascii="Times New Roman" w:hAnsi="Times New Roman" w:cs="Times New Roman"/>
                <w:color w:val="auto"/>
              </w:rPr>
            </w:pPr>
            <w:r>
              <w:rPr>
                <w:rFonts w:hint="default" w:ascii="Times New Roman" w:hAnsi="Times New Roman" w:cs="Times New Roman"/>
                <w:color w:val="auto"/>
              </w:rPr>
              <w:t>由表3.1-1检测结果表明：项目厂界各侧监测点噪声现状昼间</w:t>
            </w:r>
            <w:r>
              <w:rPr>
                <w:rFonts w:hint="eastAsia" w:cs="Times New Roman"/>
                <w:color w:val="auto"/>
                <w:lang w:eastAsia="zh-CN"/>
              </w:rPr>
              <w:t>、</w:t>
            </w:r>
            <w:r>
              <w:rPr>
                <w:rFonts w:hint="eastAsia" w:cs="Times New Roman"/>
                <w:color w:val="auto"/>
                <w:lang w:val="en-US" w:eastAsia="zh-CN"/>
              </w:rPr>
              <w:t>夜间</w:t>
            </w:r>
            <w:r>
              <w:rPr>
                <w:rFonts w:hint="default" w:ascii="Times New Roman" w:hAnsi="Times New Roman" w:cs="Times New Roman"/>
                <w:color w:val="auto"/>
              </w:rPr>
              <w:t>均能够达到《声环境质量标准》（GB3096-2008）3类标准要求</w:t>
            </w:r>
            <w:r>
              <w:rPr>
                <w:rFonts w:hint="default" w:ascii="Times New Roman" w:hAnsi="Times New Roman" w:eastAsia="宋体" w:cs="Times New Roman"/>
                <w:color w:val="auto"/>
                <w:kern w:val="2"/>
                <w:sz w:val="24"/>
                <w:szCs w:val="24"/>
              </w:rPr>
              <w:t>(声环境监测报告详见附件</w:t>
            </w:r>
            <w:r>
              <w:rPr>
                <w:rFonts w:hint="eastAsia" w:ascii="Times New Roman" w:hAnsi="Times New Roman" w:cs="Times New Roman"/>
                <w:color w:val="auto"/>
                <w:kern w:val="2"/>
                <w:sz w:val="24"/>
                <w:szCs w:val="24"/>
                <w:lang w:eastAsia="zh-CN"/>
              </w:rPr>
              <w:t>四</w:t>
            </w:r>
            <w:r>
              <w:rPr>
                <w:rFonts w:hint="default" w:ascii="Times New Roman" w:hAnsi="Times New Roman" w:eastAsia="宋体" w:cs="Times New Roman"/>
                <w:color w:val="auto"/>
                <w:kern w:val="2"/>
                <w:sz w:val="24"/>
                <w:szCs w:val="24"/>
              </w:rPr>
              <w:t>)</w:t>
            </w:r>
            <w:r>
              <w:rPr>
                <w:rFonts w:hint="default" w:ascii="Times New Roman" w:hAnsi="Times New Roman" w:cs="Times New Roman"/>
                <w:color w:val="auto"/>
              </w:rPr>
              <w:t>。项目所在区域声环境质量现状良好。综上所述，项目所在区域声环境质量良好。</w:t>
            </w:r>
            <w:bookmarkEnd w:id="27"/>
          </w:p>
          <w:p w14:paraId="0CBBC730">
            <w:pPr>
              <w:ind w:firstLine="0" w:firstLineChars="0"/>
              <w:outlineLvl w:val="2"/>
              <w:rPr>
                <w:rFonts w:hint="default" w:ascii="Times New Roman" w:hAnsi="Times New Roman" w:eastAsia="宋体" w:cs="Times New Roman"/>
                <w:b/>
                <w:color w:val="auto"/>
                <w:sz w:val="30"/>
                <w:szCs w:val="30"/>
                <w:lang w:val="en-US" w:eastAsia="zh-CN"/>
              </w:rPr>
            </w:pPr>
            <w:r>
              <w:rPr>
                <w:rFonts w:hint="default" w:ascii="Times New Roman" w:hAnsi="Times New Roman" w:eastAsia="宋体" w:cs="Times New Roman"/>
                <w:b/>
                <w:color w:val="auto"/>
                <w:sz w:val="30"/>
                <w:szCs w:val="30"/>
                <w:lang w:val="en-US" w:eastAsia="zh-CN"/>
              </w:rPr>
              <w:t>3.</w:t>
            </w:r>
            <w:r>
              <w:rPr>
                <w:rFonts w:hint="eastAsia" w:ascii="Times New Roman" w:hAnsi="Times New Roman" w:eastAsia="宋体" w:cs="Times New Roman"/>
                <w:b/>
                <w:color w:val="auto"/>
                <w:sz w:val="30"/>
                <w:szCs w:val="30"/>
                <w:lang w:val="en-US" w:eastAsia="zh-CN"/>
              </w:rPr>
              <w:t>1.</w:t>
            </w:r>
            <w:r>
              <w:rPr>
                <w:rFonts w:hint="default" w:ascii="Times New Roman" w:hAnsi="Times New Roman" w:eastAsia="宋体" w:cs="Times New Roman"/>
                <w:b/>
                <w:color w:val="auto"/>
                <w:sz w:val="30"/>
                <w:szCs w:val="30"/>
                <w:lang w:val="en-US" w:eastAsia="zh-CN"/>
              </w:rPr>
              <w:t>4 生态环境质量现状</w:t>
            </w:r>
          </w:p>
          <w:p w14:paraId="4F91C44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2"/>
                <w:lang w:val="zh-CN"/>
              </w:rPr>
            </w:pPr>
            <w:r>
              <w:rPr>
                <w:rFonts w:hint="default" w:ascii="Times New Roman" w:hAnsi="Times New Roman" w:cs="Times New Roman"/>
                <w:lang w:val="en-US" w:eastAsia="zh-CN"/>
              </w:rPr>
              <w:t>本项目扩建后项目占地面积不变</w:t>
            </w:r>
            <w:r>
              <w:rPr>
                <w:rFonts w:hint="default" w:ascii="Times New Roman" w:hAnsi="Times New Roman" w:cs="Times New Roman"/>
                <w:color w:val="auto"/>
                <w:sz w:val="24"/>
              </w:rPr>
              <w:t>；</w:t>
            </w:r>
            <w:r>
              <w:rPr>
                <w:rFonts w:hint="default" w:ascii="Times New Roman" w:hAnsi="Times New Roman" w:cs="Times New Roman"/>
                <w:color w:val="auto"/>
                <w:kern w:val="0"/>
                <w:sz w:val="24"/>
                <w:szCs w:val="24"/>
              </w:rPr>
              <w:t>根据调查，</w:t>
            </w:r>
            <w:r>
              <w:rPr>
                <w:rFonts w:hint="default" w:ascii="Times New Roman" w:hAnsi="Times New Roman" w:cs="Times New Roman"/>
                <w:color w:val="auto"/>
                <w:sz w:val="24"/>
                <w:lang w:val="zh-CN"/>
              </w:rPr>
              <w:t>项目用地</w:t>
            </w:r>
            <w:r>
              <w:rPr>
                <w:rFonts w:hint="default" w:ascii="Times New Roman" w:hAnsi="Times New Roman" w:cs="Times New Roman"/>
                <w:color w:val="auto"/>
                <w:sz w:val="24"/>
                <w:szCs w:val="22"/>
                <w:lang w:val="zh-CN"/>
              </w:rPr>
              <w:t>周边为城市道路、其他企业及居住用地等，项目评价区域主要植被为草坪、行道树等景观树种，主要动物为常见的蛙类、鸟类和昆虫类等，评价区域内无珍稀濒危物种、自然保护区、风景名胜区等生态敏感目标，调查区域也未发现国家重点保护的野生动植物等，因此，本环评不对生态环境现状进行评价。</w:t>
            </w:r>
          </w:p>
          <w:p w14:paraId="78D42CFE">
            <w:pPr>
              <w:ind w:firstLine="0" w:firstLineChars="0"/>
              <w:outlineLvl w:val="2"/>
              <w:rPr>
                <w:rFonts w:hint="default" w:ascii="Times New Roman" w:hAnsi="Times New Roman" w:eastAsia="宋体" w:cs="Times New Roman"/>
                <w:b/>
                <w:color w:val="auto"/>
                <w:sz w:val="30"/>
                <w:szCs w:val="30"/>
                <w:lang w:val="en-US" w:eastAsia="zh-CN"/>
              </w:rPr>
            </w:pPr>
            <w:r>
              <w:rPr>
                <w:rFonts w:hint="default" w:ascii="Times New Roman" w:hAnsi="Times New Roman" w:eastAsia="宋体" w:cs="Times New Roman"/>
                <w:b/>
                <w:color w:val="auto"/>
                <w:sz w:val="30"/>
                <w:szCs w:val="30"/>
                <w:lang w:val="en-US" w:eastAsia="zh-CN"/>
              </w:rPr>
              <w:t>3.</w:t>
            </w:r>
            <w:r>
              <w:rPr>
                <w:rFonts w:hint="eastAsia" w:ascii="Times New Roman" w:hAnsi="Times New Roman" w:eastAsia="宋体" w:cs="Times New Roman"/>
                <w:b/>
                <w:color w:val="auto"/>
                <w:sz w:val="30"/>
                <w:szCs w:val="30"/>
                <w:lang w:val="en-US" w:eastAsia="zh-CN"/>
              </w:rPr>
              <w:t>1.</w:t>
            </w:r>
            <w:r>
              <w:rPr>
                <w:rFonts w:hint="default" w:ascii="Times New Roman" w:hAnsi="Times New Roman" w:eastAsia="宋体" w:cs="Times New Roman"/>
                <w:b/>
                <w:color w:val="auto"/>
                <w:sz w:val="30"/>
                <w:szCs w:val="30"/>
                <w:lang w:val="en-US" w:eastAsia="zh-CN"/>
              </w:rPr>
              <w:t>5 地下水和土壤环境质量现状</w:t>
            </w:r>
          </w:p>
          <w:p w14:paraId="1027489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项目</w:t>
            </w:r>
            <w:r>
              <w:rPr>
                <w:rFonts w:hint="default" w:ascii="Times New Roman" w:hAnsi="Times New Roman" w:cs="Times New Roman"/>
                <w:color w:val="auto"/>
                <w:sz w:val="24"/>
                <w:szCs w:val="24"/>
                <w:lang w:eastAsia="zh-CN"/>
              </w:rPr>
              <w:t>厂区内的</w:t>
            </w:r>
            <w:r>
              <w:rPr>
                <w:rFonts w:hint="default" w:ascii="Times New Roman" w:hAnsi="Times New Roman" w:cs="Times New Roman"/>
                <w:color w:val="auto"/>
                <w:sz w:val="24"/>
                <w:szCs w:val="24"/>
              </w:rPr>
              <w:t>地面硬化且防腐防渗，不涉及地面漫流影响及入渗途径影响</w:t>
            </w:r>
            <w:r>
              <w:rPr>
                <w:rFonts w:hint="default" w:ascii="Times New Roman" w:hAnsi="Times New Roman" w:cs="Times New Roman"/>
                <w:color w:val="auto"/>
                <w:sz w:val="24"/>
                <w:szCs w:val="24"/>
                <w:lang w:eastAsia="zh-CN"/>
              </w:rPr>
              <w:t>，因此，不进行地下水和土壤环境现状检测调查。</w:t>
            </w:r>
          </w:p>
          <w:p w14:paraId="66436EEC">
            <w:pPr>
              <w:pStyle w:val="12"/>
              <w:ind w:firstLine="360"/>
              <w:rPr>
                <w:rFonts w:hint="default" w:ascii="Times New Roman" w:hAnsi="Times New Roman" w:cs="Times New Roman"/>
                <w:color w:val="auto"/>
              </w:rPr>
            </w:pPr>
          </w:p>
        </w:tc>
      </w:tr>
      <w:tr w14:paraId="2ABA6D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13" w:type="dxa"/>
            <w:left w:w="108" w:type="dxa"/>
            <w:bottom w:w="113" w:type="dxa"/>
            <w:right w:w="108" w:type="dxa"/>
          </w:tblCellMar>
        </w:tblPrEx>
        <w:trPr>
          <w:trHeight w:val="5750" w:hRule="atLeast"/>
          <w:jc w:val="center"/>
        </w:trPr>
        <w:tc>
          <w:tcPr>
            <w:tcW w:w="724" w:type="dxa"/>
            <w:vAlign w:val="center"/>
          </w:tcPr>
          <w:p w14:paraId="3E53D75C">
            <w:pPr>
              <w:pStyle w:val="4"/>
              <w:numPr>
                <w:ilvl w:val="1"/>
                <w:numId w:val="0"/>
              </w:numPr>
              <w:jc w:val="center"/>
              <w:rPr>
                <w:rFonts w:hint="default" w:ascii="Times New Roman" w:hAnsi="Times New Roman" w:cs="Times New Roman"/>
                <w:color w:val="auto"/>
                <w:kern w:val="0"/>
                <w:szCs w:val="21"/>
              </w:rPr>
            </w:pPr>
            <w:bookmarkStart w:id="31" w:name="_Toc32553"/>
            <w:r>
              <w:rPr>
                <w:rFonts w:hint="default" w:ascii="Times New Roman" w:hAnsi="Times New Roman" w:cs="Times New Roman"/>
                <w:b w:val="0"/>
                <w:bCs/>
                <w:color w:val="auto"/>
                <w:sz w:val="24"/>
              </w:rPr>
              <w:t>环境保护目标</w:t>
            </w:r>
            <w:bookmarkEnd w:id="31"/>
          </w:p>
        </w:tc>
        <w:tc>
          <w:tcPr>
            <w:tcW w:w="8337" w:type="dxa"/>
          </w:tcPr>
          <w:p w14:paraId="37462127">
            <w:pPr>
              <w:pStyle w:val="4"/>
              <w:spacing w:before="20"/>
              <w:rPr>
                <w:rFonts w:hint="default" w:ascii="Times New Roman" w:hAnsi="Times New Roman" w:cs="Times New Roman"/>
                <w:color w:val="auto"/>
              </w:rPr>
            </w:pPr>
            <w:bookmarkStart w:id="32" w:name="_Toc5879"/>
            <w:r>
              <w:rPr>
                <w:rFonts w:hint="default" w:ascii="Times New Roman" w:hAnsi="Times New Roman" w:cs="Times New Roman"/>
                <w:color w:val="auto"/>
              </w:rPr>
              <w:t>环境保护目标</w:t>
            </w:r>
            <w:bookmarkEnd w:id="32"/>
          </w:p>
          <w:p w14:paraId="2D3B04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根据现场踏勘情况，项目周边500m范围内的无地下水集中式饮用水水源和热水、矿泉水、温泉等特殊地下水资源。本项目环境保护目标详见下表。</w:t>
            </w:r>
          </w:p>
          <w:p w14:paraId="14D95052">
            <w:pPr>
              <w:pStyle w:val="28"/>
              <w:widowControl w:val="0"/>
              <w:rPr>
                <w:rFonts w:hint="default" w:ascii="Times New Roman" w:hAnsi="Times New Roman" w:cs="Times New Roman"/>
                <w:color w:val="auto"/>
              </w:rPr>
            </w:pPr>
            <w:r>
              <w:rPr>
                <w:rFonts w:hint="default" w:ascii="Times New Roman" w:hAnsi="Times New Roman" w:cs="Times New Roman"/>
                <w:color w:val="auto"/>
              </w:rPr>
              <w:t>表3.2-1 项目周边主要环境保护目标一览表</w:t>
            </w:r>
          </w:p>
          <w:tbl>
            <w:tblPr>
              <w:tblStyle w:val="2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078"/>
              <w:gridCol w:w="853"/>
              <w:gridCol w:w="1494"/>
              <w:gridCol w:w="1562"/>
              <w:gridCol w:w="2083"/>
            </w:tblGrid>
            <w:tr w14:paraId="68DB4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tcBorders>
                    <w:top w:val="single" w:color="auto" w:sz="12" w:space="0"/>
                    <w:left w:val="nil"/>
                    <w:bottom w:val="single" w:color="auto" w:sz="4" w:space="0"/>
                    <w:right w:val="single" w:color="auto" w:sz="4" w:space="0"/>
                  </w:tcBorders>
                  <w:vAlign w:val="center"/>
                </w:tcPr>
                <w:p w14:paraId="11AE7B2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环境要素</w:t>
                  </w:r>
                </w:p>
              </w:tc>
              <w:tc>
                <w:tcPr>
                  <w:tcW w:w="663" w:type="pct"/>
                  <w:tcBorders>
                    <w:top w:val="single" w:color="auto" w:sz="12" w:space="0"/>
                    <w:left w:val="single" w:color="auto" w:sz="4" w:space="0"/>
                    <w:bottom w:val="single" w:color="auto" w:sz="4" w:space="0"/>
                    <w:right w:val="single" w:color="auto" w:sz="4" w:space="0"/>
                  </w:tcBorders>
                  <w:vAlign w:val="center"/>
                </w:tcPr>
                <w:p w14:paraId="1F2565B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环境保护目标名称</w:t>
                  </w:r>
                </w:p>
              </w:tc>
              <w:tc>
                <w:tcPr>
                  <w:tcW w:w="525" w:type="pct"/>
                  <w:tcBorders>
                    <w:top w:val="single" w:color="auto" w:sz="12" w:space="0"/>
                    <w:left w:val="single" w:color="auto" w:sz="4" w:space="0"/>
                    <w:bottom w:val="single" w:color="auto" w:sz="4" w:space="0"/>
                    <w:right w:val="single" w:color="auto" w:sz="4" w:space="0"/>
                  </w:tcBorders>
                  <w:vAlign w:val="center"/>
                </w:tcPr>
                <w:p w14:paraId="2B634DD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方位</w:t>
                  </w:r>
                </w:p>
              </w:tc>
              <w:tc>
                <w:tcPr>
                  <w:tcW w:w="919" w:type="pct"/>
                  <w:tcBorders>
                    <w:top w:val="single" w:color="auto" w:sz="12" w:space="0"/>
                    <w:left w:val="single" w:color="auto" w:sz="4" w:space="0"/>
                    <w:bottom w:val="single" w:color="auto" w:sz="4" w:space="0"/>
                    <w:right w:val="single" w:color="auto" w:sz="4" w:space="0"/>
                  </w:tcBorders>
                  <w:vAlign w:val="center"/>
                </w:tcPr>
                <w:p w14:paraId="1E013DA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至项目厂界最近距离（米）</w:t>
                  </w:r>
                </w:p>
              </w:tc>
              <w:tc>
                <w:tcPr>
                  <w:tcW w:w="961" w:type="pct"/>
                  <w:tcBorders>
                    <w:top w:val="single" w:color="auto" w:sz="12" w:space="0"/>
                    <w:left w:val="single" w:color="auto" w:sz="4" w:space="0"/>
                    <w:bottom w:val="single" w:color="auto" w:sz="4" w:space="0"/>
                    <w:right w:val="single" w:color="auto" w:sz="4" w:space="0"/>
                  </w:tcBorders>
                  <w:vAlign w:val="center"/>
                </w:tcPr>
                <w:p w14:paraId="47D11EF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环境功能</w:t>
                  </w:r>
                </w:p>
              </w:tc>
              <w:tc>
                <w:tcPr>
                  <w:tcW w:w="1282" w:type="pct"/>
                  <w:tcBorders>
                    <w:top w:val="single" w:color="auto" w:sz="12" w:space="0"/>
                    <w:left w:val="single" w:color="auto" w:sz="4" w:space="0"/>
                    <w:bottom w:val="single" w:color="auto" w:sz="4" w:space="0"/>
                    <w:right w:val="nil"/>
                  </w:tcBorders>
                  <w:vAlign w:val="center"/>
                </w:tcPr>
                <w:p w14:paraId="1BA914F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保护级别</w:t>
                  </w:r>
                </w:p>
              </w:tc>
            </w:tr>
            <w:tr w14:paraId="7288B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restart"/>
                  <w:tcBorders>
                    <w:top w:val="single" w:color="auto" w:sz="4" w:space="0"/>
                    <w:left w:val="nil"/>
                    <w:right w:val="single" w:color="auto" w:sz="4" w:space="0"/>
                  </w:tcBorders>
                  <w:vAlign w:val="center"/>
                </w:tcPr>
                <w:p w14:paraId="02F98FF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大气环</w:t>
                  </w:r>
                  <w:r>
                    <w:rPr>
                      <w:rFonts w:hint="default" w:ascii="Times New Roman" w:hAnsi="Times New Roman" w:eastAsia="MS Mincho" w:cs="Times New Roman"/>
                      <w:color w:val="auto"/>
                      <w:kern w:val="0"/>
                      <w:sz w:val="21"/>
                      <w:szCs w:val="21"/>
                    </w:rPr>
                    <w:t>境</w:t>
                  </w:r>
                </w:p>
              </w:tc>
              <w:tc>
                <w:tcPr>
                  <w:tcW w:w="663" w:type="pct"/>
                  <w:tcBorders>
                    <w:top w:val="single" w:color="auto" w:sz="4" w:space="0"/>
                    <w:left w:val="single" w:color="auto" w:sz="4" w:space="0"/>
                    <w:bottom w:val="single" w:color="auto" w:sz="4" w:space="0"/>
                    <w:right w:val="single" w:color="auto" w:sz="4" w:space="0"/>
                  </w:tcBorders>
                  <w:vAlign w:val="center"/>
                </w:tcPr>
                <w:p w14:paraId="134B733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南山村</w:t>
                  </w:r>
                </w:p>
              </w:tc>
              <w:tc>
                <w:tcPr>
                  <w:tcW w:w="525" w:type="pct"/>
                  <w:tcBorders>
                    <w:top w:val="single" w:color="auto" w:sz="4" w:space="0"/>
                    <w:left w:val="single" w:color="auto" w:sz="4" w:space="0"/>
                    <w:bottom w:val="single" w:color="auto" w:sz="4" w:space="0"/>
                    <w:right w:val="single" w:color="auto" w:sz="4" w:space="0"/>
                  </w:tcBorders>
                  <w:vAlign w:val="center"/>
                </w:tcPr>
                <w:p w14:paraId="73800C1B">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东南</w:t>
                  </w:r>
                </w:p>
              </w:tc>
              <w:tc>
                <w:tcPr>
                  <w:tcW w:w="919" w:type="pct"/>
                  <w:tcBorders>
                    <w:top w:val="single" w:color="auto" w:sz="4" w:space="0"/>
                    <w:left w:val="single" w:color="auto" w:sz="4" w:space="0"/>
                    <w:bottom w:val="single" w:color="auto" w:sz="4" w:space="0"/>
                    <w:right w:val="single" w:color="auto" w:sz="4" w:space="0"/>
                  </w:tcBorders>
                  <w:vAlign w:val="center"/>
                </w:tcPr>
                <w:p w14:paraId="72C7E1E8">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1277</w:t>
                  </w:r>
                </w:p>
              </w:tc>
              <w:tc>
                <w:tcPr>
                  <w:tcW w:w="961" w:type="pct"/>
                  <w:vMerge w:val="restart"/>
                  <w:tcBorders>
                    <w:top w:val="single" w:color="auto" w:sz="4" w:space="0"/>
                    <w:left w:val="single" w:color="auto" w:sz="4" w:space="0"/>
                    <w:right w:val="single" w:color="auto" w:sz="4" w:space="0"/>
                  </w:tcBorders>
                  <w:vAlign w:val="center"/>
                </w:tcPr>
                <w:p w14:paraId="5AE5199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居住区</w:t>
                  </w:r>
                </w:p>
              </w:tc>
              <w:tc>
                <w:tcPr>
                  <w:tcW w:w="1282" w:type="pct"/>
                  <w:vMerge w:val="restart"/>
                  <w:tcBorders>
                    <w:top w:val="single" w:color="auto" w:sz="4" w:space="0"/>
                    <w:left w:val="single" w:color="auto" w:sz="4" w:space="0"/>
                    <w:right w:val="nil"/>
                  </w:tcBorders>
                  <w:vAlign w:val="center"/>
                </w:tcPr>
                <w:p w14:paraId="01DF321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环境空气质量二类功能区</w:t>
                  </w:r>
                </w:p>
              </w:tc>
            </w:tr>
            <w:tr w14:paraId="49E67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right w:val="single" w:color="auto" w:sz="4" w:space="0"/>
                  </w:tcBorders>
                  <w:vAlign w:val="center"/>
                </w:tcPr>
                <w:p w14:paraId="034F91A6">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57D545A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昙石村</w:t>
                  </w:r>
                </w:p>
              </w:tc>
              <w:tc>
                <w:tcPr>
                  <w:tcW w:w="525" w:type="pct"/>
                  <w:tcBorders>
                    <w:top w:val="single" w:color="auto" w:sz="4" w:space="0"/>
                    <w:left w:val="single" w:color="auto" w:sz="4" w:space="0"/>
                    <w:bottom w:val="single" w:color="auto" w:sz="4" w:space="0"/>
                    <w:right w:val="single" w:color="auto" w:sz="4" w:space="0"/>
                  </w:tcBorders>
                  <w:vAlign w:val="center"/>
                </w:tcPr>
                <w:p w14:paraId="535F0333">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南侧</w:t>
                  </w:r>
                </w:p>
              </w:tc>
              <w:tc>
                <w:tcPr>
                  <w:tcW w:w="919" w:type="pct"/>
                  <w:tcBorders>
                    <w:top w:val="single" w:color="auto" w:sz="4" w:space="0"/>
                    <w:left w:val="single" w:color="auto" w:sz="4" w:space="0"/>
                    <w:bottom w:val="single" w:color="auto" w:sz="4" w:space="0"/>
                    <w:right w:val="single" w:color="auto" w:sz="4" w:space="0"/>
                  </w:tcBorders>
                  <w:vAlign w:val="center"/>
                </w:tcPr>
                <w:p w14:paraId="730D35D7">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1736</w:t>
                  </w:r>
                </w:p>
              </w:tc>
              <w:tc>
                <w:tcPr>
                  <w:tcW w:w="961" w:type="pct"/>
                  <w:vMerge w:val="continue"/>
                  <w:tcBorders>
                    <w:left w:val="single" w:color="auto" w:sz="4" w:space="0"/>
                    <w:right w:val="single" w:color="auto" w:sz="4" w:space="0"/>
                  </w:tcBorders>
                  <w:vAlign w:val="center"/>
                </w:tcPr>
                <w:p w14:paraId="70D7FF29">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right w:val="nil"/>
                  </w:tcBorders>
                  <w:vAlign w:val="center"/>
                </w:tcPr>
                <w:p w14:paraId="3E31E4F5">
                  <w:pPr>
                    <w:widowControl/>
                    <w:spacing w:line="240" w:lineRule="auto"/>
                    <w:ind w:firstLine="0" w:firstLineChars="0"/>
                    <w:jc w:val="center"/>
                    <w:rPr>
                      <w:rFonts w:hint="default" w:ascii="Times New Roman" w:hAnsi="Times New Roman" w:cs="Times New Roman"/>
                      <w:color w:val="auto"/>
                      <w:sz w:val="21"/>
                      <w:szCs w:val="21"/>
                    </w:rPr>
                  </w:pPr>
                </w:p>
              </w:tc>
            </w:tr>
            <w:tr w14:paraId="03EB0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right w:val="single" w:color="auto" w:sz="4" w:space="0"/>
                  </w:tcBorders>
                  <w:vAlign w:val="center"/>
                </w:tcPr>
                <w:p w14:paraId="0CB97684">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25E78DC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三英村</w:t>
                  </w:r>
                </w:p>
              </w:tc>
              <w:tc>
                <w:tcPr>
                  <w:tcW w:w="525" w:type="pct"/>
                  <w:tcBorders>
                    <w:top w:val="single" w:color="auto" w:sz="4" w:space="0"/>
                    <w:left w:val="single" w:color="auto" w:sz="4" w:space="0"/>
                    <w:bottom w:val="single" w:color="auto" w:sz="4" w:space="0"/>
                    <w:right w:val="single" w:color="auto" w:sz="4" w:space="0"/>
                  </w:tcBorders>
                  <w:vAlign w:val="center"/>
                </w:tcPr>
                <w:p w14:paraId="641BE6DA">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南侧</w:t>
                  </w:r>
                </w:p>
              </w:tc>
              <w:tc>
                <w:tcPr>
                  <w:tcW w:w="919" w:type="pct"/>
                  <w:tcBorders>
                    <w:top w:val="single" w:color="auto" w:sz="4" w:space="0"/>
                    <w:left w:val="single" w:color="auto" w:sz="4" w:space="0"/>
                    <w:bottom w:val="single" w:color="auto" w:sz="4" w:space="0"/>
                    <w:right w:val="single" w:color="auto" w:sz="4" w:space="0"/>
                  </w:tcBorders>
                  <w:vAlign w:val="center"/>
                </w:tcPr>
                <w:p w14:paraId="051CAA04">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1566</w:t>
                  </w:r>
                </w:p>
              </w:tc>
              <w:tc>
                <w:tcPr>
                  <w:tcW w:w="961" w:type="pct"/>
                  <w:vMerge w:val="continue"/>
                  <w:tcBorders>
                    <w:left w:val="single" w:color="auto" w:sz="4" w:space="0"/>
                    <w:right w:val="single" w:color="auto" w:sz="4" w:space="0"/>
                  </w:tcBorders>
                  <w:vAlign w:val="center"/>
                </w:tcPr>
                <w:p w14:paraId="3EE4BEE7">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right w:val="nil"/>
                  </w:tcBorders>
                  <w:vAlign w:val="center"/>
                </w:tcPr>
                <w:p w14:paraId="1AE9A505">
                  <w:pPr>
                    <w:widowControl/>
                    <w:spacing w:line="240" w:lineRule="auto"/>
                    <w:ind w:firstLine="0" w:firstLineChars="0"/>
                    <w:jc w:val="center"/>
                    <w:rPr>
                      <w:rFonts w:hint="default" w:ascii="Times New Roman" w:hAnsi="Times New Roman" w:cs="Times New Roman"/>
                      <w:color w:val="auto"/>
                      <w:sz w:val="21"/>
                      <w:szCs w:val="21"/>
                    </w:rPr>
                  </w:pPr>
                </w:p>
              </w:tc>
            </w:tr>
            <w:tr w14:paraId="372DC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right w:val="single" w:color="auto" w:sz="4" w:space="0"/>
                  </w:tcBorders>
                  <w:vAlign w:val="center"/>
                </w:tcPr>
                <w:p w14:paraId="2EDD1564">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66AAA86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双池村</w:t>
                  </w:r>
                </w:p>
              </w:tc>
              <w:tc>
                <w:tcPr>
                  <w:tcW w:w="525" w:type="pct"/>
                  <w:tcBorders>
                    <w:top w:val="single" w:color="auto" w:sz="4" w:space="0"/>
                    <w:left w:val="single" w:color="auto" w:sz="4" w:space="0"/>
                    <w:bottom w:val="single" w:color="auto" w:sz="4" w:space="0"/>
                    <w:right w:val="single" w:color="auto" w:sz="4" w:space="0"/>
                  </w:tcBorders>
                  <w:vAlign w:val="center"/>
                </w:tcPr>
                <w:p w14:paraId="5358C369">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西南</w:t>
                  </w:r>
                </w:p>
              </w:tc>
              <w:tc>
                <w:tcPr>
                  <w:tcW w:w="919" w:type="pct"/>
                  <w:tcBorders>
                    <w:top w:val="single" w:color="auto" w:sz="4" w:space="0"/>
                    <w:left w:val="single" w:color="auto" w:sz="4" w:space="0"/>
                    <w:bottom w:val="single" w:color="auto" w:sz="4" w:space="0"/>
                    <w:right w:val="single" w:color="auto" w:sz="4" w:space="0"/>
                  </w:tcBorders>
                  <w:vAlign w:val="center"/>
                </w:tcPr>
                <w:p w14:paraId="2C15F191">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1741</w:t>
                  </w:r>
                </w:p>
              </w:tc>
              <w:tc>
                <w:tcPr>
                  <w:tcW w:w="961" w:type="pct"/>
                  <w:vMerge w:val="continue"/>
                  <w:tcBorders>
                    <w:left w:val="single" w:color="auto" w:sz="4" w:space="0"/>
                    <w:right w:val="single" w:color="auto" w:sz="4" w:space="0"/>
                  </w:tcBorders>
                  <w:vAlign w:val="center"/>
                </w:tcPr>
                <w:p w14:paraId="1AB2C5D7">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right w:val="nil"/>
                  </w:tcBorders>
                  <w:vAlign w:val="center"/>
                </w:tcPr>
                <w:p w14:paraId="4FA9D2DC">
                  <w:pPr>
                    <w:widowControl/>
                    <w:spacing w:line="240" w:lineRule="auto"/>
                    <w:ind w:firstLine="0" w:firstLineChars="0"/>
                    <w:jc w:val="center"/>
                    <w:rPr>
                      <w:rFonts w:hint="default" w:ascii="Times New Roman" w:hAnsi="Times New Roman" w:cs="Times New Roman"/>
                      <w:color w:val="auto"/>
                      <w:sz w:val="21"/>
                      <w:szCs w:val="21"/>
                    </w:rPr>
                  </w:pPr>
                </w:p>
              </w:tc>
            </w:tr>
            <w:tr w14:paraId="7C049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right w:val="single" w:color="auto" w:sz="4" w:space="0"/>
                  </w:tcBorders>
                  <w:vAlign w:val="center"/>
                </w:tcPr>
                <w:p w14:paraId="2567FA00">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3747790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化龙村</w:t>
                  </w:r>
                </w:p>
              </w:tc>
              <w:tc>
                <w:tcPr>
                  <w:tcW w:w="525" w:type="pct"/>
                  <w:tcBorders>
                    <w:top w:val="single" w:color="auto" w:sz="4" w:space="0"/>
                    <w:left w:val="single" w:color="auto" w:sz="4" w:space="0"/>
                    <w:bottom w:val="single" w:color="auto" w:sz="4" w:space="0"/>
                    <w:right w:val="single" w:color="auto" w:sz="4" w:space="0"/>
                  </w:tcBorders>
                  <w:vAlign w:val="center"/>
                </w:tcPr>
                <w:p w14:paraId="6D38D5C2">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西南</w:t>
                  </w:r>
                </w:p>
              </w:tc>
              <w:tc>
                <w:tcPr>
                  <w:tcW w:w="919" w:type="pct"/>
                  <w:tcBorders>
                    <w:top w:val="single" w:color="auto" w:sz="4" w:space="0"/>
                    <w:left w:val="single" w:color="auto" w:sz="4" w:space="0"/>
                    <w:bottom w:val="single" w:color="auto" w:sz="4" w:space="0"/>
                    <w:right w:val="single" w:color="auto" w:sz="4" w:space="0"/>
                  </w:tcBorders>
                  <w:vAlign w:val="center"/>
                </w:tcPr>
                <w:p w14:paraId="1FBE7A1D">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1400</w:t>
                  </w:r>
                </w:p>
              </w:tc>
              <w:tc>
                <w:tcPr>
                  <w:tcW w:w="961" w:type="pct"/>
                  <w:vMerge w:val="continue"/>
                  <w:tcBorders>
                    <w:left w:val="single" w:color="auto" w:sz="4" w:space="0"/>
                    <w:right w:val="single" w:color="auto" w:sz="4" w:space="0"/>
                  </w:tcBorders>
                  <w:vAlign w:val="center"/>
                </w:tcPr>
                <w:p w14:paraId="36622636">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right w:val="nil"/>
                  </w:tcBorders>
                  <w:vAlign w:val="center"/>
                </w:tcPr>
                <w:p w14:paraId="1C5C4EEC">
                  <w:pPr>
                    <w:widowControl/>
                    <w:spacing w:line="240" w:lineRule="auto"/>
                    <w:ind w:firstLine="0" w:firstLineChars="0"/>
                    <w:jc w:val="center"/>
                    <w:rPr>
                      <w:rFonts w:hint="default" w:ascii="Times New Roman" w:hAnsi="Times New Roman" w:cs="Times New Roman"/>
                      <w:color w:val="auto"/>
                      <w:sz w:val="21"/>
                      <w:szCs w:val="21"/>
                    </w:rPr>
                  </w:pPr>
                </w:p>
              </w:tc>
            </w:tr>
            <w:tr w14:paraId="356FC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right w:val="single" w:color="auto" w:sz="4" w:space="0"/>
                  </w:tcBorders>
                  <w:vAlign w:val="center"/>
                </w:tcPr>
                <w:p w14:paraId="46E882C4">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0A862F1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大元村</w:t>
                  </w:r>
                </w:p>
              </w:tc>
              <w:tc>
                <w:tcPr>
                  <w:tcW w:w="525" w:type="pct"/>
                  <w:tcBorders>
                    <w:top w:val="single" w:color="auto" w:sz="4" w:space="0"/>
                    <w:left w:val="single" w:color="auto" w:sz="4" w:space="0"/>
                    <w:bottom w:val="single" w:color="auto" w:sz="4" w:space="0"/>
                    <w:right w:val="single" w:color="auto" w:sz="4" w:space="0"/>
                  </w:tcBorders>
                  <w:vAlign w:val="center"/>
                </w:tcPr>
                <w:p w14:paraId="5D9A1FB1">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西南</w:t>
                  </w:r>
                </w:p>
              </w:tc>
              <w:tc>
                <w:tcPr>
                  <w:tcW w:w="919" w:type="pct"/>
                  <w:tcBorders>
                    <w:top w:val="single" w:color="auto" w:sz="4" w:space="0"/>
                    <w:left w:val="single" w:color="auto" w:sz="4" w:space="0"/>
                    <w:bottom w:val="single" w:color="auto" w:sz="4" w:space="0"/>
                    <w:right w:val="single" w:color="auto" w:sz="4" w:space="0"/>
                  </w:tcBorders>
                  <w:vAlign w:val="center"/>
                </w:tcPr>
                <w:p w14:paraId="4D638329">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1942</w:t>
                  </w:r>
                </w:p>
              </w:tc>
              <w:tc>
                <w:tcPr>
                  <w:tcW w:w="961" w:type="pct"/>
                  <w:vMerge w:val="continue"/>
                  <w:tcBorders>
                    <w:left w:val="single" w:color="auto" w:sz="4" w:space="0"/>
                    <w:right w:val="single" w:color="auto" w:sz="4" w:space="0"/>
                  </w:tcBorders>
                  <w:vAlign w:val="center"/>
                </w:tcPr>
                <w:p w14:paraId="5560DFB6">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right w:val="nil"/>
                  </w:tcBorders>
                  <w:vAlign w:val="center"/>
                </w:tcPr>
                <w:p w14:paraId="21A4B016">
                  <w:pPr>
                    <w:widowControl/>
                    <w:spacing w:line="240" w:lineRule="auto"/>
                    <w:ind w:firstLine="0" w:firstLineChars="0"/>
                    <w:jc w:val="center"/>
                    <w:rPr>
                      <w:rFonts w:hint="default" w:ascii="Times New Roman" w:hAnsi="Times New Roman" w:cs="Times New Roman"/>
                      <w:color w:val="auto"/>
                      <w:sz w:val="21"/>
                      <w:szCs w:val="21"/>
                    </w:rPr>
                  </w:pPr>
                </w:p>
              </w:tc>
            </w:tr>
            <w:tr w14:paraId="55F1C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right w:val="single" w:color="auto" w:sz="4" w:space="0"/>
                  </w:tcBorders>
                  <w:vAlign w:val="center"/>
                </w:tcPr>
                <w:p w14:paraId="6360D0B3">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6040480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十字村</w:t>
                  </w:r>
                </w:p>
              </w:tc>
              <w:tc>
                <w:tcPr>
                  <w:tcW w:w="525" w:type="pct"/>
                  <w:tcBorders>
                    <w:top w:val="single" w:color="auto" w:sz="4" w:space="0"/>
                    <w:left w:val="single" w:color="auto" w:sz="4" w:space="0"/>
                    <w:bottom w:val="single" w:color="auto" w:sz="4" w:space="0"/>
                    <w:right w:val="single" w:color="auto" w:sz="4" w:space="0"/>
                  </w:tcBorders>
                  <w:vAlign w:val="center"/>
                </w:tcPr>
                <w:p w14:paraId="1E589287">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西南</w:t>
                  </w:r>
                </w:p>
              </w:tc>
              <w:tc>
                <w:tcPr>
                  <w:tcW w:w="919" w:type="pct"/>
                  <w:tcBorders>
                    <w:top w:val="single" w:color="auto" w:sz="4" w:space="0"/>
                    <w:left w:val="single" w:color="auto" w:sz="4" w:space="0"/>
                    <w:bottom w:val="single" w:color="auto" w:sz="4" w:space="0"/>
                    <w:right w:val="single" w:color="auto" w:sz="4" w:space="0"/>
                  </w:tcBorders>
                  <w:vAlign w:val="center"/>
                </w:tcPr>
                <w:p w14:paraId="27AE343A">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2055</w:t>
                  </w:r>
                </w:p>
              </w:tc>
              <w:tc>
                <w:tcPr>
                  <w:tcW w:w="961" w:type="pct"/>
                  <w:vMerge w:val="continue"/>
                  <w:tcBorders>
                    <w:left w:val="single" w:color="auto" w:sz="4" w:space="0"/>
                    <w:right w:val="single" w:color="auto" w:sz="4" w:space="0"/>
                  </w:tcBorders>
                  <w:vAlign w:val="center"/>
                </w:tcPr>
                <w:p w14:paraId="75CDC639">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right w:val="nil"/>
                  </w:tcBorders>
                  <w:vAlign w:val="center"/>
                </w:tcPr>
                <w:p w14:paraId="55D8A7F3">
                  <w:pPr>
                    <w:widowControl/>
                    <w:spacing w:line="240" w:lineRule="auto"/>
                    <w:ind w:firstLine="0" w:firstLineChars="0"/>
                    <w:jc w:val="center"/>
                    <w:rPr>
                      <w:rFonts w:hint="default" w:ascii="Times New Roman" w:hAnsi="Times New Roman" w:cs="Times New Roman"/>
                      <w:color w:val="auto"/>
                      <w:sz w:val="21"/>
                      <w:szCs w:val="21"/>
                    </w:rPr>
                  </w:pPr>
                </w:p>
              </w:tc>
            </w:tr>
            <w:tr w14:paraId="44F198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right w:val="single" w:color="auto" w:sz="4" w:space="0"/>
                  </w:tcBorders>
                  <w:vAlign w:val="center"/>
                </w:tcPr>
                <w:p w14:paraId="2463B7D2">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3084323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长江村</w:t>
                  </w:r>
                </w:p>
              </w:tc>
              <w:tc>
                <w:tcPr>
                  <w:tcW w:w="525" w:type="pct"/>
                  <w:tcBorders>
                    <w:top w:val="single" w:color="auto" w:sz="4" w:space="0"/>
                    <w:left w:val="single" w:color="auto" w:sz="4" w:space="0"/>
                    <w:bottom w:val="single" w:color="auto" w:sz="4" w:space="0"/>
                    <w:right w:val="single" w:color="auto" w:sz="4" w:space="0"/>
                  </w:tcBorders>
                  <w:vAlign w:val="center"/>
                </w:tcPr>
                <w:p w14:paraId="22522226">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西南</w:t>
                  </w:r>
                </w:p>
              </w:tc>
              <w:tc>
                <w:tcPr>
                  <w:tcW w:w="919" w:type="pct"/>
                  <w:tcBorders>
                    <w:top w:val="single" w:color="auto" w:sz="4" w:space="0"/>
                    <w:left w:val="single" w:color="auto" w:sz="4" w:space="0"/>
                    <w:bottom w:val="single" w:color="auto" w:sz="4" w:space="0"/>
                    <w:right w:val="single" w:color="auto" w:sz="4" w:space="0"/>
                  </w:tcBorders>
                  <w:vAlign w:val="center"/>
                </w:tcPr>
                <w:p w14:paraId="272C60AE">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2279</w:t>
                  </w:r>
                </w:p>
              </w:tc>
              <w:tc>
                <w:tcPr>
                  <w:tcW w:w="961" w:type="pct"/>
                  <w:vMerge w:val="continue"/>
                  <w:tcBorders>
                    <w:left w:val="single" w:color="auto" w:sz="4" w:space="0"/>
                    <w:right w:val="single" w:color="auto" w:sz="4" w:space="0"/>
                  </w:tcBorders>
                  <w:vAlign w:val="center"/>
                </w:tcPr>
                <w:p w14:paraId="15842D06">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right w:val="nil"/>
                  </w:tcBorders>
                  <w:vAlign w:val="center"/>
                </w:tcPr>
                <w:p w14:paraId="0F7AC4E8">
                  <w:pPr>
                    <w:widowControl/>
                    <w:spacing w:line="240" w:lineRule="auto"/>
                    <w:ind w:firstLine="0" w:firstLineChars="0"/>
                    <w:jc w:val="center"/>
                    <w:rPr>
                      <w:rFonts w:hint="default" w:ascii="Times New Roman" w:hAnsi="Times New Roman" w:cs="Times New Roman"/>
                      <w:color w:val="auto"/>
                      <w:sz w:val="21"/>
                      <w:szCs w:val="21"/>
                    </w:rPr>
                  </w:pPr>
                </w:p>
              </w:tc>
            </w:tr>
            <w:tr w14:paraId="23465C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right w:val="single" w:color="auto" w:sz="4" w:space="0"/>
                  </w:tcBorders>
                  <w:vAlign w:val="center"/>
                </w:tcPr>
                <w:p w14:paraId="2DEA8AC1">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1DA16FA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洽浦村</w:t>
                  </w:r>
                </w:p>
              </w:tc>
              <w:tc>
                <w:tcPr>
                  <w:tcW w:w="525" w:type="pct"/>
                  <w:tcBorders>
                    <w:top w:val="single" w:color="auto" w:sz="4" w:space="0"/>
                    <w:left w:val="single" w:color="auto" w:sz="4" w:space="0"/>
                    <w:bottom w:val="single" w:color="auto" w:sz="4" w:space="0"/>
                    <w:right w:val="single" w:color="auto" w:sz="4" w:space="0"/>
                  </w:tcBorders>
                  <w:vAlign w:val="center"/>
                </w:tcPr>
                <w:p w14:paraId="0B695010">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南侧</w:t>
                  </w:r>
                </w:p>
              </w:tc>
              <w:tc>
                <w:tcPr>
                  <w:tcW w:w="919" w:type="pct"/>
                  <w:tcBorders>
                    <w:top w:val="single" w:color="auto" w:sz="4" w:space="0"/>
                    <w:left w:val="single" w:color="auto" w:sz="4" w:space="0"/>
                    <w:bottom w:val="single" w:color="auto" w:sz="4" w:space="0"/>
                    <w:right w:val="single" w:color="auto" w:sz="4" w:space="0"/>
                  </w:tcBorders>
                  <w:vAlign w:val="center"/>
                </w:tcPr>
                <w:p w14:paraId="10EDD4B6">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2461</w:t>
                  </w:r>
                </w:p>
              </w:tc>
              <w:tc>
                <w:tcPr>
                  <w:tcW w:w="961" w:type="pct"/>
                  <w:vMerge w:val="continue"/>
                  <w:tcBorders>
                    <w:left w:val="single" w:color="auto" w:sz="4" w:space="0"/>
                    <w:right w:val="single" w:color="auto" w:sz="4" w:space="0"/>
                  </w:tcBorders>
                  <w:vAlign w:val="center"/>
                </w:tcPr>
                <w:p w14:paraId="5F268429">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right w:val="nil"/>
                  </w:tcBorders>
                  <w:vAlign w:val="center"/>
                </w:tcPr>
                <w:p w14:paraId="78E6E89E">
                  <w:pPr>
                    <w:widowControl/>
                    <w:spacing w:line="240" w:lineRule="auto"/>
                    <w:ind w:firstLine="0" w:firstLineChars="0"/>
                    <w:jc w:val="center"/>
                    <w:rPr>
                      <w:rFonts w:hint="default" w:ascii="Times New Roman" w:hAnsi="Times New Roman" w:cs="Times New Roman"/>
                      <w:color w:val="auto"/>
                      <w:sz w:val="21"/>
                      <w:szCs w:val="21"/>
                    </w:rPr>
                  </w:pPr>
                </w:p>
              </w:tc>
            </w:tr>
            <w:tr w14:paraId="3B8FF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right w:val="single" w:color="auto" w:sz="4" w:space="0"/>
                  </w:tcBorders>
                  <w:vAlign w:val="center"/>
                </w:tcPr>
                <w:p w14:paraId="4C12E7C4">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753A979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山前村</w:t>
                  </w:r>
                </w:p>
              </w:tc>
              <w:tc>
                <w:tcPr>
                  <w:tcW w:w="525" w:type="pct"/>
                  <w:tcBorders>
                    <w:top w:val="single" w:color="auto" w:sz="4" w:space="0"/>
                    <w:left w:val="single" w:color="auto" w:sz="4" w:space="0"/>
                    <w:bottom w:val="single" w:color="auto" w:sz="4" w:space="0"/>
                    <w:right w:val="single" w:color="auto" w:sz="4" w:space="0"/>
                  </w:tcBorders>
                  <w:vAlign w:val="center"/>
                </w:tcPr>
                <w:p w14:paraId="304563E3">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南侧</w:t>
                  </w:r>
                </w:p>
              </w:tc>
              <w:tc>
                <w:tcPr>
                  <w:tcW w:w="919" w:type="pct"/>
                  <w:tcBorders>
                    <w:top w:val="single" w:color="auto" w:sz="4" w:space="0"/>
                    <w:left w:val="single" w:color="auto" w:sz="4" w:space="0"/>
                    <w:bottom w:val="single" w:color="auto" w:sz="4" w:space="0"/>
                    <w:right w:val="single" w:color="auto" w:sz="4" w:space="0"/>
                  </w:tcBorders>
                  <w:vAlign w:val="center"/>
                </w:tcPr>
                <w:p w14:paraId="3D06358B">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1288</w:t>
                  </w:r>
                </w:p>
              </w:tc>
              <w:tc>
                <w:tcPr>
                  <w:tcW w:w="961" w:type="pct"/>
                  <w:vMerge w:val="continue"/>
                  <w:tcBorders>
                    <w:left w:val="single" w:color="auto" w:sz="4" w:space="0"/>
                    <w:right w:val="single" w:color="auto" w:sz="4" w:space="0"/>
                  </w:tcBorders>
                  <w:vAlign w:val="center"/>
                </w:tcPr>
                <w:p w14:paraId="1EA1BE79">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right w:val="nil"/>
                  </w:tcBorders>
                  <w:vAlign w:val="center"/>
                </w:tcPr>
                <w:p w14:paraId="4C622C33">
                  <w:pPr>
                    <w:widowControl/>
                    <w:spacing w:line="240" w:lineRule="auto"/>
                    <w:ind w:firstLine="0" w:firstLineChars="0"/>
                    <w:jc w:val="center"/>
                    <w:rPr>
                      <w:rFonts w:hint="default" w:ascii="Times New Roman" w:hAnsi="Times New Roman" w:cs="Times New Roman"/>
                      <w:color w:val="auto"/>
                      <w:sz w:val="21"/>
                      <w:szCs w:val="21"/>
                    </w:rPr>
                  </w:pPr>
                </w:p>
              </w:tc>
            </w:tr>
            <w:tr w14:paraId="10329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left w:val="nil"/>
                    <w:bottom w:val="single" w:color="auto" w:sz="4" w:space="0"/>
                    <w:right w:val="single" w:color="auto" w:sz="4" w:space="0"/>
                  </w:tcBorders>
                  <w:vAlign w:val="center"/>
                </w:tcPr>
                <w:p w14:paraId="0582942C">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4" w:space="0"/>
                    <w:right w:val="single" w:color="auto" w:sz="4" w:space="0"/>
                  </w:tcBorders>
                  <w:vAlign w:val="center"/>
                </w:tcPr>
                <w:p w14:paraId="489E8240">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流洋村</w:t>
                  </w:r>
                </w:p>
              </w:tc>
              <w:tc>
                <w:tcPr>
                  <w:tcW w:w="525" w:type="pct"/>
                  <w:tcBorders>
                    <w:top w:val="single" w:color="auto" w:sz="4" w:space="0"/>
                    <w:left w:val="single" w:color="auto" w:sz="4" w:space="0"/>
                    <w:bottom w:val="single" w:color="auto" w:sz="4" w:space="0"/>
                    <w:right w:val="single" w:color="auto" w:sz="4" w:space="0"/>
                  </w:tcBorders>
                  <w:vAlign w:val="center"/>
                </w:tcPr>
                <w:p w14:paraId="7AE57DC1">
                  <w:pPr>
                    <w:spacing w:line="240" w:lineRule="auto"/>
                    <w:ind w:firstLine="0" w:firstLineChars="0"/>
                    <w:jc w:val="center"/>
                    <w:rPr>
                      <w:rFonts w:hint="eastAsia" w:cs="Times New Roman"/>
                      <w:color w:val="auto"/>
                      <w:sz w:val="21"/>
                      <w:szCs w:val="21"/>
                      <w:lang w:eastAsia="zh-CN"/>
                    </w:rPr>
                  </w:pPr>
                  <w:r>
                    <w:rPr>
                      <w:rFonts w:hint="eastAsia" w:cs="Times New Roman"/>
                      <w:color w:val="auto"/>
                      <w:sz w:val="21"/>
                      <w:szCs w:val="21"/>
                      <w:lang w:eastAsia="zh-CN"/>
                    </w:rPr>
                    <w:t>东南</w:t>
                  </w:r>
                </w:p>
              </w:tc>
              <w:tc>
                <w:tcPr>
                  <w:tcW w:w="919" w:type="pct"/>
                  <w:tcBorders>
                    <w:top w:val="single" w:color="auto" w:sz="4" w:space="0"/>
                    <w:left w:val="single" w:color="auto" w:sz="4" w:space="0"/>
                    <w:bottom w:val="single" w:color="auto" w:sz="4" w:space="0"/>
                    <w:right w:val="single" w:color="auto" w:sz="4" w:space="0"/>
                  </w:tcBorders>
                  <w:vAlign w:val="center"/>
                </w:tcPr>
                <w:p w14:paraId="3585B2A8">
                  <w:pPr>
                    <w:spacing w:line="240" w:lineRule="auto"/>
                    <w:ind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2120</w:t>
                  </w:r>
                </w:p>
              </w:tc>
              <w:tc>
                <w:tcPr>
                  <w:tcW w:w="961" w:type="pct"/>
                  <w:vMerge w:val="continue"/>
                  <w:tcBorders>
                    <w:left w:val="single" w:color="auto" w:sz="4" w:space="0"/>
                    <w:bottom w:val="single" w:color="auto" w:sz="4" w:space="0"/>
                    <w:right w:val="single" w:color="auto" w:sz="4" w:space="0"/>
                  </w:tcBorders>
                  <w:vAlign w:val="center"/>
                </w:tcPr>
                <w:p w14:paraId="12C89CB2">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left w:val="single" w:color="auto" w:sz="4" w:space="0"/>
                    <w:bottom w:val="single" w:color="auto" w:sz="4" w:space="0"/>
                    <w:right w:val="nil"/>
                  </w:tcBorders>
                  <w:vAlign w:val="center"/>
                </w:tcPr>
                <w:p w14:paraId="4D85F98C">
                  <w:pPr>
                    <w:widowControl/>
                    <w:spacing w:line="240" w:lineRule="auto"/>
                    <w:ind w:firstLine="0" w:firstLineChars="0"/>
                    <w:jc w:val="center"/>
                    <w:rPr>
                      <w:rFonts w:hint="default" w:ascii="Times New Roman" w:hAnsi="Times New Roman" w:cs="Times New Roman"/>
                      <w:color w:val="auto"/>
                      <w:sz w:val="21"/>
                      <w:szCs w:val="21"/>
                    </w:rPr>
                  </w:pPr>
                </w:p>
              </w:tc>
            </w:tr>
            <w:tr w14:paraId="2B751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647" w:type="pct"/>
                  <w:vMerge w:val="restart"/>
                  <w:tcBorders>
                    <w:top w:val="single" w:color="auto" w:sz="4" w:space="0"/>
                    <w:left w:val="nil"/>
                    <w:bottom w:val="single" w:color="auto" w:sz="12" w:space="0"/>
                    <w:right w:val="single" w:color="auto" w:sz="4" w:space="0"/>
                  </w:tcBorders>
                  <w:vAlign w:val="center"/>
                </w:tcPr>
                <w:p w14:paraId="175CC9E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tc>
              <w:tc>
                <w:tcPr>
                  <w:tcW w:w="663" w:type="pct"/>
                  <w:tcBorders>
                    <w:top w:val="single" w:color="auto" w:sz="4" w:space="0"/>
                    <w:left w:val="single" w:color="auto" w:sz="4" w:space="0"/>
                    <w:bottom w:val="single" w:color="auto" w:sz="4" w:space="0"/>
                    <w:right w:val="single" w:color="auto" w:sz="4" w:space="0"/>
                  </w:tcBorders>
                  <w:vAlign w:val="center"/>
                </w:tcPr>
                <w:p w14:paraId="6E86CE24">
                  <w:pPr>
                    <w:spacing w:line="240" w:lineRule="auto"/>
                    <w:ind w:firstLine="0" w:firstLineChars="0"/>
                    <w:jc w:val="center"/>
                    <w:rPr>
                      <w:rFonts w:hint="default" w:ascii="Times New Roman" w:hAnsi="Times New Roman" w:cs="Times New Roman"/>
                      <w:color w:val="auto"/>
                      <w:sz w:val="21"/>
                      <w:szCs w:val="21"/>
                    </w:rPr>
                  </w:pPr>
                  <w:r>
                    <w:rPr>
                      <w:rFonts w:hint="eastAsia" w:cs="Times New Roman"/>
                      <w:color w:val="auto"/>
                      <w:sz w:val="21"/>
                      <w:szCs w:val="21"/>
                      <w:lang w:eastAsia="zh-CN"/>
                    </w:rPr>
                    <w:t>南山溪</w:t>
                  </w:r>
                  <w:r>
                    <w:rPr>
                      <w:rFonts w:hint="eastAsia" w:cs="Times New Roman"/>
                      <w:color w:val="auto"/>
                      <w:sz w:val="21"/>
                      <w:szCs w:val="21"/>
                      <w:lang w:val="en-US" w:eastAsia="zh-CN"/>
                    </w:rPr>
                    <w:t>-</w:t>
                  </w:r>
                  <w:r>
                    <w:rPr>
                      <w:rFonts w:hint="default" w:ascii="Times New Roman" w:hAnsi="Times New Roman" w:cs="Times New Roman"/>
                      <w:color w:val="auto"/>
                      <w:sz w:val="21"/>
                      <w:szCs w:val="21"/>
                    </w:rPr>
                    <w:t>安坪浦</w:t>
                  </w:r>
                </w:p>
              </w:tc>
              <w:tc>
                <w:tcPr>
                  <w:tcW w:w="525" w:type="pct"/>
                  <w:tcBorders>
                    <w:top w:val="single" w:color="auto" w:sz="4" w:space="0"/>
                    <w:left w:val="single" w:color="auto" w:sz="4" w:space="0"/>
                    <w:bottom w:val="single" w:color="auto" w:sz="4" w:space="0"/>
                    <w:right w:val="single" w:color="auto" w:sz="4" w:space="0"/>
                  </w:tcBorders>
                  <w:vAlign w:val="center"/>
                </w:tcPr>
                <w:p w14:paraId="63C03C0E">
                  <w:pPr>
                    <w:spacing w:line="240" w:lineRule="auto"/>
                    <w:ind w:firstLine="0" w:firstLineChars="0"/>
                    <w:jc w:val="both"/>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东南侧</w:t>
                  </w:r>
                </w:p>
              </w:tc>
              <w:tc>
                <w:tcPr>
                  <w:tcW w:w="919" w:type="pct"/>
                  <w:tcBorders>
                    <w:top w:val="single" w:color="auto" w:sz="4" w:space="0"/>
                    <w:left w:val="single" w:color="auto" w:sz="4" w:space="0"/>
                    <w:bottom w:val="single" w:color="auto" w:sz="4" w:space="0"/>
                    <w:right w:val="single" w:color="auto" w:sz="4" w:space="0"/>
                  </w:tcBorders>
                  <w:vAlign w:val="center"/>
                </w:tcPr>
                <w:p w14:paraId="40AA5A66">
                  <w:pPr>
                    <w:spacing w:line="240" w:lineRule="auto"/>
                    <w:ind w:firstLine="0" w:firstLineChars="0"/>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500</w:t>
                  </w:r>
                  <w:r>
                    <w:rPr>
                      <w:rFonts w:hint="default" w:ascii="Times New Roman" w:hAnsi="Times New Roman" w:cs="Times New Roman"/>
                      <w:color w:val="auto"/>
                      <w:sz w:val="21"/>
                      <w:szCs w:val="21"/>
                    </w:rPr>
                    <w:t>米</w:t>
                  </w:r>
                </w:p>
              </w:tc>
              <w:tc>
                <w:tcPr>
                  <w:tcW w:w="961" w:type="pct"/>
                  <w:tcBorders>
                    <w:top w:val="single" w:color="auto" w:sz="4" w:space="0"/>
                    <w:left w:val="single" w:color="auto" w:sz="4" w:space="0"/>
                    <w:bottom w:val="single" w:color="auto" w:sz="4" w:space="0"/>
                    <w:right w:val="single" w:color="auto" w:sz="4" w:space="0"/>
                  </w:tcBorders>
                  <w:vAlign w:val="center"/>
                </w:tcPr>
                <w:p w14:paraId="4BEED60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一般景观用水</w:t>
                  </w:r>
                </w:p>
              </w:tc>
              <w:tc>
                <w:tcPr>
                  <w:tcW w:w="1282" w:type="pct"/>
                  <w:tcBorders>
                    <w:top w:val="single" w:color="auto" w:sz="4" w:space="0"/>
                    <w:left w:val="single" w:color="auto" w:sz="4" w:space="0"/>
                    <w:bottom w:val="single" w:color="auto" w:sz="4" w:space="0"/>
                    <w:right w:val="nil"/>
                  </w:tcBorders>
                  <w:vAlign w:val="center"/>
                </w:tcPr>
                <w:p w14:paraId="75F30F9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地表水环境Ⅴ类功能区</w:t>
                  </w:r>
                </w:p>
              </w:tc>
            </w:tr>
            <w:tr w14:paraId="6A39F1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top w:val="single" w:color="auto" w:sz="4" w:space="0"/>
                    <w:left w:val="nil"/>
                    <w:bottom w:val="single" w:color="auto" w:sz="12" w:space="0"/>
                    <w:right w:val="single" w:color="auto" w:sz="4" w:space="0"/>
                  </w:tcBorders>
                  <w:vAlign w:val="center"/>
                </w:tcPr>
                <w:p w14:paraId="7559EAD9">
                  <w:pPr>
                    <w:widowControl/>
                    <w:spacing w:line="240" w:lineRule="auto"/>
                    <w:ind w:firstLine="0" w:firstLineChars="0"/>
                    <w:jc w:val="center"/>
                    <w:rPr>
                      <w:rFonts w:hint="default" w:ascii="Times New Roman" w:hAnsi="Times New Roman" w:cs="Times New Roman"/>
                      <w:color w:val="auto"/>
                      <w:sz w:val="21"/>
                      <w:szCs w:val="21"/>
                    </w:rPr>
                  </w:pPr>
                </w:p>
              </w:tc>
              <w:tc>
                <w:tcPr>
                  <w:tcW w:w="663" w:type="pct"/>
                  <w:tcBorders>
                    <w:top w:val="single" w:color="auto" w:sz="4" w:space="0"/>
                    <w:left w:val="single" w:color="auto" w:sz="4" w:space="0"/>
                    <w:bottom w:val="single" w:color="auto" w:sz="12" w:space="0"/>
                    <w:right w:val="single" w:color="auto" w:sz="4" w:space="0"/>
                  </w:tcBorders>
                  <w:vAlign w:val="center"/>
                </w:tcPr>
                <w:p w14:paraId="33011C4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闽江</w:t>
                  </w:r>
                </w:p>
              </w:tc>
              <w:tc>
                <w:tcPr>
                  <w:tcW w:w="525" w:type="pct"/>
                  <w:tcBorders>
                    <w:top w:val="single" w:color="auto" w:sz="4" w:space="0"/>
                    <w:left w:val="single" w:color="auto" w:sz="4" w:space="0"/>
                    <w:bottom w:val="single" w:color="auto" w:sz="12" w:space="0"/>
                    <w:right w:val="single" w:color="auto" w:sz="4" w:space="0"/>
                  </w:tcBorders>
                  <w:vAlign w:val="center"/>
                </w:tcPr>
                <w:p w14:paraId="797AB954">
                  <w:pPr>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南侧</w:t>
                  </w:r>
                </w:p>
              </w:tc>
              <w:tc>
                <w:tcPr>
                  <w:tcW w:w="919" w:type="pct"/>
                  <w:tcBorders>
                    <w:top w:val="single" w:color="auto" w:sz="4" w:space="0"/>
                    <w:left w:val="single" w:color="auto" w:sz="4" w:space="0"/>
                    <w:bottom w:val="single" w:color="auto" w:sz="12" w:space="0"/>
                    <w:right w:val="single" w:color="auto" w:sz="4" w:space="0"/>
                  </w:tcBorders>
                  <w:vAlign w:val="center"/>
                </w:tcPr>
                <w:p w14:paraId="1A6B24E7">
                  <w:pPr>
                    <w:spacing w:line="240" w:lineRule="auto"/>
                    <w:ind w:firstLine="0" w:firstLineChars="0"/>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2717</w:t>
                  </w:r>
                  <w:r>
                    <w:rPr>
                      <w:rFonts w:hint="default" w:ascii="Times New Roman" w:hAnsi="Times New Roman" w:cs="Times New Roman"/>
                      <w:color w:val="auto"/>
                      <w:sz w:val="21"/>
                      <w:szCs w:val="21"/>
                    </w:rPr>
                    <w:t>米</w:t>
                  </w:r>
                </w:p>
              </w:tc>
              <w:tc>
                <w:tcPr>
                  <w:tcW w:w="961" w:type="pct"/>
                  <w:tcBorders>
                    <w:top w:val="single" w:color="auto" w:sz="4" w:space="0"/>
                    <w:left w:val="single" w:color="auto" w:sz="4" w:space="0"/>
                    <w:bottom w:val="single" w:color="auto" w:sz="12" w:space="0"/>
                    <w:right w:val="single" w:color="auto" w:sz="4" w:space="0"/>
                  </w:tcBorders>
                  <w:vAlign w:val="center"/>
                </w:tcPr>
                <w:p w14:paraId="13CA59B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渔业用水、农业用水、饮用水</w:t>
                  </w:r>
                </w:p>
              </w:tc>
              <w:tc>
                <w:tcPr>
                  <w:tcW w:w="1282" w:type="pct"/>
                  <w:tcBorders>
                    <w:top w:val="single" w:color="auto" w:sz="4" w:space="0"/>
                    <w:left w:val="single" w:color="auto" w:sz="4" w:space="0"/>
                    <w:bottom w:val="single" w:color="auto" w:sz="12" w:space="0"/>
                    <w:right w:val="nil"/>
                  </w:tcBorders>
                  <w:vAlign w:val="center"/>
                </w:tcPr>
                <w:p w14:paraId="09CC435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参照执行地表水环境Ⅲ类功能区</w:t>
                  </w:r>
                </w:p>
              </w:tc>
            </w:tr>
          </w:tbl>
          <w:p w14:paraId="104B747C">
            <w:pPr>
              <w:adjustRightInd w:val="0"/>
              <w:snapToGrid w:val="0"/>
              <w:spacing w:line="240" w:lineRule="auto"/>
              <w:ind w:firstLine="0" w:firstLineChars="0"/>
              <w:rPr>
                <w:rFonts w:hint="default" w:ascii="Times New Roman" w:hAnsi="Times New Roman" w:cs="Times New Roman"/>
                <w:color w:val="auto"/>
              </w:rPr>
            </w:pPr>
          </w:p>
        </w:tc>
      </w:tr>
    </w:tbl>
    <w:p w14:paraId="377C177B">
      <w:pPr>
        <w:ind w:firstLine="480"/>
        <w:rPr>
          <w:rFonts w:hint="default" w:ascii="Times New Roman" w:hAnsi="Times New Roman" w:cs="Times New Roman"/>
          <w:color w:val="auto"/>
        </w:rPr>
        <w:sectPr>
          <w:pgSz w:w="11907" w:h="16840"/>
          <w:pgMar w:top="1701" w:right="1531" w:bottom="2127" w:left="1531" w:header="851" w:footer="851" w:gutter="0"/>
          <w:cols w:space="720" w:num="1"/>
          <w:docGrid w:linePitch="312" w:charSpace="0"/>
        </w:sectPr>
      </w:pP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113" w:type="dxa"/>
          <w:left w:w="108" w:type="dxa"/>
          <w:bottom w:w="113" w:type="dxa"/>
          <w:right w:w="108" w:type="dxa"/>
        </w:tblCellMar>
      </w:tblPr>
      <w:tblGrid>
        <w:gridCol w:w="699"/>
        <w:gridCol w:w="8126"/>
      </w:tblGrid>
      <w:tr w14:paraId="3BB9AE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3033" w:hRule="atLeast"/>
          <w:jc w:val="center"/>
        </w:trPr>
        <w:tc>
          <w:tcPr>
            <w:tcW w:w="699" w:type="dxa"/>
            <w:vAlign w:val="center"/>
          </w:tcPr>
          <w:p w14:paraId="394E4FC6">
            <w:pPr>
              <w:pStyle w:val="4"/>
              <w:numPr>
                <w:ilvl w:val="1"/>
                <w:numId w:val="0"/>
              </w:numPr>
              <w:jc w:val="center"/>
              <w:rPr>
                <w:rFonts w:hint="default" w:ascii="Times New Roman" w:hAnsi="Times New Roman" w:cs="Times New Roman"/>
                <w:color w:val="auto"/>
              </w:rPr>
            </w:pPr>
            <w:bookmarkStart w:id="33" w:name="_Toc11635"/>
            <w:r>
              <w:rPr>
                <w:rFonts w:hint="default" w:ascii="Times New Roman" w:hAnsi="Times New Roman" w:cs="Times New Roman"/>
                <w:b w:val="0"/>
                <w:bCs/>
                <w:color w:val="auto"/>
                <w:sz w:val="24"/>
              </w:rPr>
              <w:t>污染物排放控制标准</w:t>
            </w:r>
            <w:bookmarkEnd w:id="33"/>
          </w:p>
        </w:tc>
        <w:tc>
          <w:tcPr>
            <w:tcW w:w="8126" w:type="dxa"/>
          </w:tcPr>
          <w:p w14:paraId="025A3BCD">
            <w:pPr>
              <w:pStyle w:val="4"/>
              <w:rPr>
                <w:rFonts w:hint="default" w:ascii="Times New Roman" w:hAnsi="Times New Roman" w:cs="Times New Roman"/>
                <w:color w:val="auto"/>
              </w:rPr>
            </w:pPr>
            <w:bookmarkStart w:id="34" w:name="_Toc30716"/>
            <w:r>
              <w:rPr>
                <w:rFonts w:hint="default" w:ascii="Times New Roman" w:hAnsi="Times New Roman" w:cs="Times New Roman"/>
                <w:color w:val="auto"/>
              </w:rPr>
              <w:t>污染物排放控制标准</w:t>
            </w:r>
            <w:bookmarkEnd w:id="34"/>
          </w:p>
          <w:p w14:paraId="64A2DA85">
            <w:pPr>
              <w:ind w:firstLine="480"/>
              <w:rPr>
                <w:rFonts w:hint="default" w:ascii="Times New Roman" w:hAnsi="Times New Roman" w:cs="Times New Roman"/>
                <w:color w:val="auto"/>
              </w:rPr>
            </w:pPr>
            <w:bookmarkStart w:id="35" w:name="_Toc14167"/>
            <w:r>
              <w:rPr>
                <w:rFonts w:hint="default" w:ascii="Times New Roman" w:hAnsi="Times New Roman" w:cs="Times New Roman"/>
                <w:color w:val="auto"/>
              </w:rPr>
              <w:t>（1）废水排放标准</w:t>
            </w:r>
            <w:bookmarkEnd w:id="35"/>
          </w:p>
          <w:p w14:paraId="3DD0EDC7">
            <w:pPr>
              <w:ind w:firstLine="480"/>
              <w:rPr>
                <w:rFonts w:hint="default" w:ascii="Times New Roman" w:hAnsi="Times New Roman" w:cs="Times New Roman"/>
                <w:color w:val="auto"/>
              </w:rPr>
            </w:pPr>
            <w:r>
              <w:rPr>
                <w:rFonts w:hint="default" w:ascii="Times New Roman" w:hAnsi="Times New Roman" w:cs="Times New Roman"/>
                <w:color w:val="auto"/>
              </w:rPr>
              <w:t>本次改建项目无新增员工，无废水产生。</w:t>
            </w:r>
          </w:p>
          <w:p w14:paraId="18AE8C52">
            <w:pPr>
              <w:ind w:firstLine="480"/>
              <w:rPr>
                <w:rFonts w:hint="default" w:ascii="Times New Roman" w:hAnsi="Times New Roman" w:cs="Times New Roman"/>
                <w:color w:val="auto"/>
              </w:rPr>
            </w:pPr>
            <w:r>
              <w:rPr>
                <w:rFonts w:hint="default" w:ascii="Times New Roman" w:hAnsi="Times New Roman" w:cs="Times New Roman"/>
                <w:color w:val="auto"/>
              </w:rPr>
              <w:t>（2）废气排放标准</w:t>
            </w:r>
          </w:p>
          <w:p w14:paraId="16D17C00">
            <w:pPr>
              <w:pStyle w:val="35"/>
              <w:ind w:firstLine="480"/>
              <w:rPr>
                <w:rFonts w:hint="default" w:ascii="Times New Roman" w:hAnsi="Times New Roman" w:cs="Times New Roman"/>
                <w:color w:val="auto"/>
                <w:kern w:val="0"/>
              </w:rPr>
            </w:pPr>
            <w:r>
              <w:rPr>
                <w:rFonts w:hint="default" w:ascii="Times New Roman" w:hAnsi="Times New Roman" w:cs="Times New Roman"/>
                <w:color w:val="auto"/>
              </w:rPr>
              <w:t>本项目锅炉使用天然气作为燃料，燃气锅炉烟气参照执行《锅炉大气污染物排放标准》（GB13271-2014）表3中重点地区大气污染物燃气锅炉特别排放限值，见表3.3-1</w:t>
            </w:r>
            <w:r>
              <w:rPr>
                <w:rFonts w:hint="default" w:ascii="Times New Roman" w:hAnsi="Times New Roman" w:cs="Times New Roman"/>
                <w:color w:val="auto"/>
                <w:szCs w:val="21"/>
              </w:rPr>
              <w:t>。</w:t>
            </w:r>
          </w:p>
          <w:p w14:paraId="464A4E61">
            <w:pPr>
              <w:spacing w:before="120"/>
              <w:ind w:left="420" w:firstLine="482"/>
              <w:jc w:val="center"/>
              <w:rPr>
                <w:rFonts w:hint="default" w:ascii="Times New Roman" w:hAnsi="Times New Roman" w:cs="Times New Roman"/>
                <w:b/>
                <w:bCs/>
                <w:color w:val="auto"/>
              </w:rPr>
            </w:pPr>
            <w:r>
              <w:rPr>
                <w:rFonts w:hint="default" w:ascii="Times New Roman" w:hAnsi="Times New Roman" w:cs="Times New Roman"/>
                <w:b/>
                <w:bCs/>
                <w:color w:val="auto"/>
              </w:rPr>
              <w:t>表3.3-1  《锅炉大气污染物排放标准》（GB13271-2014）</w:t>
            </w:r>
          </w:p>
          <w:tbl>
            <w:tblPr>
              <w:tblStyle w:val="2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8"/>
              <w:gridCol w:w="2239"/>
              <w:gridCol w:w="1693"/>
              <w:gridCol w:w="2160"/>
            </w:tblGrid>
            <w:tr w14:paraId="3925C2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9" w:type="pct"/>
                  <w:tcBorders>
                    <w:top w:val="single" w:color="auto" w:sz="12" w:space="0"/>
                    <w:left w:val="nil"/>
                    <w:bottom w:val="single" w:color="auto" w:sz="4" w:space="0"/>
                    <w:right w:val="single" w:color="auto" w:sz="4" w:space="0"/>
                  </w:tcBorders>
                  <w:vAlign w:val="center"/>
                </w:tcPr>
                <w:p w14:paraId="69D77CDC">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锅炉类别</w:t>
                  </w:r>
                </w:p>
              </w:tc>
              <w:tc>
                <w:tcPr>
                  <w:tcW w:w="1415" w:type="pct"/>
                  <w:tcBorders>
                    <w:top w:val="single" w:color="auto" w:sz="12" w:space="0"/>
                    <w:left w:val="single" w:color="auto" w:sz="4" w:space="0"/>
                    <w:bottom w:val="single" w:color="auto" w:sz="4" w:space="0"/>
                    <w:right w:val="single" w:color="auto" w:sz="4" w:space="0"/>
                  </w:tcBorders>
                  <w:vAlign w:val="center"/>
                </w:tcPr>
                <w:p w14:paraId="24BBEB8C">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项目</w:t>
                  </w:r>
                </w:p>
              </w:tc>
              <w:tc>
                <w:tcPr>
                  <w:tcW w:w="1070" w:type="pct"/>
                  <w:tcBorders>
                    <w:top w:val="single" w:color="auto" w:sz="12" w:space="0"/>
                    <w:left w:val="single" w:color="auto" w:sz="4" w:space="0"/>
                    <w:bottom w:val="single" w:color="auto" w:sz="4" w:space="0"/>
                    <w:right w:val="single" w:color="auto" w:sz="4" w:space="0"/>
                  </w:tcBorders>
                  <w:vAlign w:val="center"/>
                </w:tcPr>
                <w:p w14:paraId="3CE2F2C9">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排放限值</w:t>
                  </w:r>
                </w:p>
              </w:tc>
              <w:tc>
                <w:tcPr>
                  <w:tcW w:w="1365" w:type="pct"/>
                  <w:tcBorders>
                    <w:top w:val="single" w:color="auto" w:sz="12" w:space="0"/>
                    <w:left w:val="single" w:color="auto" w:sz="4" w:space="0"/>
                    <w:bottom w:val="single" w:color="auto" w:sz="4" w:space="0"/>
                    <w:right w:val="nil"/>
                  </w:tcBorders>
                  <w:vAlign w:val="center"/>
                </w:tcPr>
                <w:p w14:paraId="5B0BA4E0">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单位</w:t>
                  </w:r>
                </w:p>
              </w:tc>
            </w:tr>
            <w:tr w14:paraId="22D64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9" w:type="pct"/>
                  <w:vMerge w:val="restart"/>
                  <w:tcBorders>
                    <w:top w:val="single" w:color="auto" w:sz="4" w:space="0"/>
                    <w:left w:val="nil"/>
                    <w:bottom w:val="single" w:color="auto" w:sz="12" w:space="0"/>
                    <w:right w:val="single" w:color="auto" w:sz="4" w:space="0"/>
                  </w:tcBorders>
                  <w:vAlign w:val="center"/>
                </w:tcPr>
                <w:p w14:paraId="00364852">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燃气锅炉</w:t>
                  </w:r>
                </w:p>
              </w:tc>
              <w:tc>
                <w:tcPr>
                  <w:tcW w:w="1415" w:type="pct"/>
                  <w:tcBorders>
                    <w:top w:val="single" w:color="auto" w:sz="4" w:space="0"/>
                    <w:left w:val="single" w:color="auto" w:sz="4" w:space="0"/>
                    <w:bottom w:val="single" w:color="auto" w:sz="4" w:space="0"/>
                    <w:right w:val="single" w:color="auto" w:sz="4" w:space="0"/>
                  </w:tcBorders>
                  <w:vAlign w:val="center"/>
                </w:tcPr>
                <w:p w14:paraId="68CE30C5">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颗粒物</w:t>
                  </w:r>
                </w:p>
              </w:tc>
              <w:tc>
                <w:tcPr>
                  <w:tcW w:w="1070" w:type="pct"/>
                  <w:tcBorders>
                    <w:top w:val="single" w:color="auto" w:sz="4" w:space="0"/>
                    <w:left w:val="single" w:color="auto" w:sz="4" w:space="0"/>
                    <w:bottom w:val="single" w:color="auto" w:sz="4" w:space="0"/>
                    <w:right w:val="single" w:color="auto" w:sz="4" w:space="0"/>
                  </w:tcBorders>
                  <w:vAlign w:val="center"/>
                </w:tcPr>
                <w:p w14:paraId="64D75F1F">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w:t>
                  </w:r>
                </w:p>
              </w:tc>
              <w:tc>
                <w:tcPr>
                  <w:tcW w:w="1365" w:type="pct"/>
                  <w:tcBorders>
                    <w:top w:val="single" w:color="auto" w:sz="4" w:space="0"/>
                    <w:left w:val="single" w:color="auto" w:sz="4" w:space="0"/>
                    <w:bottom w:val="single" w:color="auto" w:sz="4" w:space="0"/>
                    <w:right w:val="nil"/>
                  </w:tcBorders>
                  <w:vAlign w:val="center"/>
                </w:tcPr>
                <w:p w14:paraId="2076A7FD">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p>
              </w:tc>
            </w:tr>
            <w:tr w14:paraId="3B01C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9" w:type="pct"/>
                  <w:vMerge w:val="continue"/>
                  <w:tcBorders>
                    <w:top w:val="single" w:color="auto" w:sz="4" w:space="0"/>
                    <w:left w:val="nil"/>
                    <w:bottom w:val="single" w:color="auto" w:sz="12" w:space="0"/>
                    <w:right w:val="single" w:color="auto" w:sz="4" w:space="0"/>
                  </w:tcBorders>
                  <w:vAlign w:val="center"/>
                </w:tcPr>
                <w:p w14:paraId="4DA59F1D">
                  <w:pPr>
                    <w:widowControl/>
                    <w:ind w:firstLine="0" w:firstLineChars="0"/>
                    <w:jc w:val="left"/>
                    <w:rPr>
                      <w:rFonts w:hint="default" w:ascii="Times New Roman" w:hAnsi="Times New Roman" w:cs="Times New Roman"/>
                      <w:color w:val="auto"/>
                      <w:kern w:val="0"/>
                      <w:sz w:val="21"/>
                      <w:szCs w:val="21"/>
                    </w:rPr>
                  </w:pPr>
                </w:p>
              </w:tc>
              <w:tc>
                <w:tcPr>
                  <w:tcW w:w="1415" w:type="pct"/>
                  <w:tcBorders>
                    <w:top w:val="single" w:color="auto" w:sz="4" w:space="0"/>
                    <w:left w:val="single" w:color="auto" w:sz="4" w:space="0"/>
                    <w:bottom w:val="single" w:color="auto" w:sz="4" w:space="0"/>
                    <w:right w:val="single" w:color="auto" w:sz="4" w:space="0"/>
                  </w:tcBorders>
                  <w:vAlign w:val="center"/>
                </w:tcPr>
                <w:p w14:paraId="604FDF76">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烟气黑度</w:t>
                  </w:r>
                </w:p>
              </w:tc>
              <w:tc>
                <w:tcPr>
                  <w:tcW w:w="1070" w:type="pct"/>
                  <w:tcBorders>
                    <w:top w:val="single" w:color="auto" w:sz="4" w:space="0"/>
                    <w:left w:val="single" w:color="auto" w:sz="4" w:space="0"/>
                    <w:bottom w:val="single" w:color="auto" w:sz="4" w:space="0"/>
                    <w:right w:val="single" w:color="auto" w:sz="4" w:space="0"/>
                  </w:tcBorders>
                  <w:vAlign w:val="center"/>
                </w:tcPr>
                <w:p w14:paraId="01807C8F">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p>
              </w:tc>
              <w:tc>
                <w:tcPr>
                  <w:tcW w:w="1365" w:type="pct"/>
                  <w:tcBorders>
                    <w:top w:val="single" w:color="auto" w:sz="4" w:space="0"/>
                    <w:left w:val="single" w:color="auto" w:sz="4" w:space="0"/>
                    <w:bottom w:val="single" w:color="auto" w:sz="4" w:space="0"/>
                    <w:right w:val="nil"/>
                  </w:tcBorders>
                  <w:vAlign w:val="center"/>
                </w:tcPr>
                <w:p w14:paraId="245CE0D7">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级</w:t>
                  </w:r>
                </w:p>
              </w:tc>
            </w:tr>
            <w:tr w14:paraId="48FE8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49" w:type="pct"/>
                  <w:vMerge w:val="continue"/>
                  <w:tcBorders>
                    <w:top w:val="single" w:color="auto" w:sz="4" w:space="0"/>
                    <w:left w:val="nil"/>
                    <w:bottom w:val="single" w:color="auto" w:sz="12" w:space="0"/>
                    <w:right w:val="single" w:color="auto" w:sz="4" w:space="0"/>
                  </w:tcBorders>
                  <w:vAlign w:val="center"/>
                </w:tcPr>
                <w:p w14:paraId="594A5052">
                  <w:pPr>
                    <w:widowControl/>
                    <w:ind w:firstLine="0" w:firstLineChars="0"/>
                    <w:jc w:val="left"/>
                    <w:rPr>
                      <w:rFonts w:hint="default" w:ascii="Times New Roman" w:hAnsi="Times New Roman" w:cs="Times New Roman"/>
                      <w:color w:val="auto"/>
                      <w:kern w:val="0"/>
                      <w:sz w:val="21"/>
                      <w:szCs w:val="21"/>
                    </w:rPr>
                  </w:pPr>
                </w:p>
              </w:tc>
              <w:tc>
                <w:tcPr>
                  <w:tcW w:w="1415" w:type="pct"/>
                  <w:tcBorders>
                    <w:top w:val="single" w:color="auto" w:sz="4" w:space="0"/>
                    <w:left w:val="single" w:color="auto" w:sz="4" w:space="0"/>
                    <w:bottom w:val="single" w:color="auto" w:sz="4" w:space="0"/>
                    <w:right w:val="single" w:color="auto" w:sz="4" w:space="0"/>
                  </w:tcBorders>
                  <w:vAlign w:val="center"/>
                </w:tcPr>
                <w:p w14:paraId="2499E684">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二氧化硫</w:t>
                  </w:r>
                </w:p>
              </w:tc>
              <w:tc>
                <w:tcPr>
                  <w:tcW w:w="1070" w:type="pct"/>
                  <w:tcBorders>
                    <w:top w:val="single" w:color="auto" w:sz="4" w:space="0"/>
                    <w:left w:val="single" w:color="auto" w:sz="4" w:space="0"/>
                    <w:bottom w:val="single" w:color="auto" w:sz="4" w:space="0"/>
                    <w:right w:val="single" w:color="auto" w:sz="4" w:space="0"/>
                  </w:tcBorders>
                  <w:vAlign w:val="center"/>
                </w:tcPr>
                <w:p w14:paraId="3B7F45CA">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50</w:t>
                  </w:r>
                </w:p>
              </w:tc>
              <w:tc>
                <w:tcPr>
                  <w:tcW w:w="1365" w:type="pct"/>
                  <w:tcBorders>
                    <w:top w:val="single" w:color="auto" w:sz="4" w:space="0"/>
                    <w:left w:val="single" w:color="auto" w:sz="4" w:space="0"/>
                    <w:bottom w:val="single" w:color="auto" w:sz="4" w:space="0"/>
                    <w:right w:val="nil"/>
                  </w:tcBorders>
                  <w:vAlign w:val="center"/>
                </w:tcPr>
                <w:p w14:paraId="43B595A5">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p>
              </w:tc>
            </w:tr>
            <w:tr w14:paraId="08564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49" w:type="pct"/>
                  <w:vMerge w:val="continue"/>
                  <w:tcBorders>
                    <w:top w:val="single" w:color="auto" w:sz="4" w:space="0"/>
                    <w:left w:val="nil"/>
                    <w:bottom w:val="single" w:color="auto" w:sz="12" w:space="0"/>
                    <w:right w:val="single" w:color="auto" w:sz="4" w:space="0"/>
                  </w:tcBorders>
                  <w:vAlign w:val="center"/>
                </w:tcPr>
                <w:p w14:paraId="69FB5156">
                  <w:pPr>
                    <w:widowControl/>
                    <w:ind w:firstLine="0" w:firstLineChars="0"/>
                    <w:jc w:val="left"/>
                    <w:rPr>
                      <w:rFonts w:hint="default" w:ascii="Times New Roman" w:hAnsi="Times New Roman" w:cs="Times New Roman"/>
                      <w:color w:val="auto"/>
                      <w:kern w:val="0"/>
                      <w:sz w:val="21"/>
                      <w:szCs w:val="21"/>
                    </w:rPr>
                  </w:pPr>
                </w:p>
              </w:tc>
              <w:tc>
                <w:tcPr>
                  <w:tcW w:w="1415" w:type="pct"/>
                  <w:tcBorders>
                    <w:top w:val="single" w:color="auto" w:sz="4" w:space="0"/>
                    <w:left w:val="single" w:color="auto" w:sz="4" w:space="0"/>
                    <w:bottom w:val="single" w:color="auto" w:sz="12" w:space="0"/>
                    <w:right w:val="single" w:color="auto" w:sz="4" w:space="0"/>
                  </w:tcBorders>
                  <w:vAlign w:val="center"/>
                </w:tcPr>
                <w:p w14:paraId="20A15AFD">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氮氧化物</w:t>
                  </w:r>
                </w:p>
              </w:tc>
              <w:tc>
                <w:tcPr>
                  <w:tcW w:w="1070" w:type="pct"/>
                  <w:tcBorders>
                    <w:top w:val="single" w:color="auto" w:sz="4" w:space="0"/>
                    <w:left w:val="single" w:color="auto" w:sz="4" w:space="0"/>
                    <w:bottom w:val="single" w:color="auto" w:sz="12" w:space="0"/>
                    <w:right w:val="single" w:color="auto" w:sz="4" w:space="0"/>
                  </w:tcBorders>
                  <w:vAlign w:val="center"/>
                </w:tcPr>
                <w:p w14:paraId="1AF26DC0">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150</w:t>
                  </w:r>
                </w:p>
              </w:tc>
              <w:tc>
                <w:tcPr>
                  <w:tcW w:w="1365" w:type="pct"/>
                  <w:tcBorders>
                    <w:top w:val="single" w:color="auto" w:sz="4" w:space="0"/>
                    <w:left w:val="single" w:color="auto" w:sz="4" w:space="0"/>
                    <w:bottom w:val="single" w:color="auto" w:sz="12" w:space="0"/>
                    <w:right w:val="nil"/>
                  </w:tcBorders>
                  <w:vAlign w:val="center"/>
                </w:tcPr>
                <w:p w14:paraId="7AFFBCC4">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p>
              </w:tc>
            </w:tr>
          </w:tbl>
          <w:p w14:paraId="3D8C9722">
            <w:pPr>
              <w:ind w:firstLine="480"/>
              <w:rPr>
                <w:rFonts w:hint="default" w:ascii="Times New Roman" w:hAnsi="Times New Roman" w:cs="Times New Roman"/>
                <w:color w:val="auto"/>
              </w:rPr>
            </w:pPr>
            <w:bookmarkStart w:id="36" w:name="_Toc6781"/>
            <w:r>
              <w:rPr>
                <w:rFonts w:hint="default" w:ascii="Times New Roman" w:hAnsi="Times New Roman" w:cs="Times New Roman"/>
                <w:color w:val="auto"/>
              </w:rPr>
              <w:t>（3）噪声排放标准</w:t>
            </w:r>
            <w:bookmarkEnd w:id="36"/>
          </w:p>
          <w:p w14:paraId="0610C91E">
            <w:pPr>
              <w:ind w:firstLine="480"/>
              <w:rPr>
                <w:rFonts w:hint="default" w:ascii="Times New Roman" w:hAnsi="Times New Roman" w:cs="Times New Roman"/>
                <w:color w:val="auto"/>
              </w:rPr>
            </w:pPr>
            <w:r>
              <w:rPr>
                <w:rFonts w:hint="default" w:ascii="Times New Roman" w:hAnsi="Times New Roman" w:cs="Times New Roman"/>
                <w:color w:val="auto"/>
              </w:rPr>
              <w:t>项目运营期厂界噪声执行《工业企业厂界环境噪声排放标准》（GB12348-2008）中3类标准，详见表3.3-2。</w:t>
            </w:r>
          </w:p>
          <w:p w14:paraId="6ACB2CEB">
            <w:pPr>
              <w:pStyle w:val="28"/>
              <w:rPr>
                <w:rFonts w:hint="default" w:ascii="Times New Roman" w:hAnsi="Times New Roman" w:cs="Times New Roman"/>
                <w:color w:val="auto"/>
              </w:rPr>
            </w:pPr>
            <w:r>
              <w:rPr>
                <w:rFonts w:hint="default" w:ascii="Times New Roman" w:hAnsi="Times New Roman" w:cs="Times New Roman"/>
                <w:color w:val="auto"/>
              </w:rPr>
              <w:t>表3.3-2 《工业企业厂界环境噪声排放标准》表1（摘录）</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5"/>
              <w:gridCol w:w="2028"/>
              <w:gridCol w:w="1884"/>
              <w:gridCol w:w="1683"/>
            </w:tblGrid>
            <w:tr w14:paraId="31DF2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459" w:type="pct"/>
                  <w:vAlign w:val="center"/>
                </w:tcPr>
                <w:p w14:paraId="4BEF64D2">
                  <w:pPr>
                    <w:pStyle w:val="33"/>
                    <w:rPr>
                      <w:rFonts w:hint="default" w:ascii="Times New Roman" w:hAnsi="Times New Roman" w:cs="Times New Roman"/>
                      <w:color w:val="auto"/>
                    </w:rPr>
                  </w:pPr>
                </w:p>
                <w:p w14:paraId="3618EEA9">
                  <w:pPr>
                    <w:pStyle w:val="33"/>
                    <w:rPr>
                      <w:rFonts w:hint="default" w:ascii="Times New Roman" w:hAnsi="Times New Roman" w:cs="Times New Roman"/>
                      <w:color w:val="auto"/>
                    </w:rPr>
                  </w:pPr>
                  <w:r>
                    <w:rPr>
                      <w:rFonts w:hint="default" w:ascii="Times New Roman" w:hAnsi="Times New Roman" w:cs="Times New Roman"/>
                      <w:color w:val="auto"/>
                    </w:rPr>
                    <w:t>类别</w:t>
                  </w:r>
                </w:p>
              </w:tc>
              <w:tc>
                <w:tcPr>
                  <w:tcW w:w="1283" w:type="pct"/>
                  <w:vAlign w:val="center"/>
                </w:tcPr>
                <w:p w14:paraId="6C30492C">
                  <w:pPr>
                    <w:pStyle w:val="33"/>
                    <w:rPr>
                      <w:rFonts w:hint="default" w:ascii="Times New Roman" w:hAnsi="Times New Roman" w:cs="Times New Roman"/>
                      <w:color w:val="auto"/>
                    </w:rPr>
                  </w:pPr>
                  <w:r>
                    <w:rPr>
                      <w:rFonts w:hint="default" w:ascii="Times New Roman" w:hAnsi="Times New Roman" w:cs="Times New Roman"/>
                      <w:color w:val="auto"/>
                    </w:rPr>
                    <w:t>昼间</w:t>
                  </w:r>
                </w:p>
              </w:tc>
              <w:tc>
                <w:tcPr>
                  <w:tcW w:w="1192" w:type="pct"/>
                  <w:vAlign w:val="center"/>
                </w:tcPr>
                <w:p w14:paraId="756AACAD">
                  <w:pPr>
                    <w:pStyle w:val="33"/>
                    <w:rPr>
                      <w:rFonts w:hint="default" w:ascii="Times New Roman" w:hAnsi="Times New Roman" w:cs="Times New Roman"/>
                      <w:color w:val="auto"/>
                    </w:rPr>
                  </w:pPr>
                  <w:r>
                    <w:rPr>
                      <w:rFonts w:hint="default" w:ascii="Times New Roman" w:hAnsi="Times New Roman" w:cs="Times New Roman"/>
                      <w:color w:val="auto"/>
                    </w:rPr>
                    <w:t>夜间</w:t>
                  </w:r>
                </w:p>
              </w:tc>
              <w:tc>
                <w:tcPr>
                  <w:tcW w:w="1065" w:type="pct"/>
                  <w:vAlign w:val="center"/>
                </w:tcPr>
                <w:p w14:paraId="32D93A73">
                  <w:pPr>
                    <w:pStyle w:val="33"/>
                    <w:rPr>
                      <w:rFonts w:hint="default" w:ascii="Times New Roman" w:hAnsi="Times New Roman" w:cs="Times New Roman"/>
                      <w:color w:val="auto"/>
                    </w:rPr>
                  </w:pPr>
                  <w:r>
                    <w:rPr>
                      <w:rFonts w:hint="default" w:ascii="Times New Roman" w:hAnsi="Times New Roman" w:cs="Times New Roman"/>
                      <w:color w:val="auto"/>
                    </w:rPr>
                    <w:t>单位</w:t>
                  </w:r>
                </w:p>
              </w:tc>
            </w:tr>
            <w:tr w14:paraId="32568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459" w:type="pct"/>
                  <w:vAlign w:val="center"/>
                </w:tcPr>
                <w:p w14:paraId="7D9A0E76">
                  <w:pPr>
                    <w:pStyle w:val="32"/>
                    <w:rPr>
                      <w:rFonts w:hint="default" w:ascii="Times New Roman" w:hAnsi="Times New Roman" w:cs="Times New Roman"/>
                      <w:color w:val="auto"/>
                    </w:rPr>
                  </w:pPr>
                  <w:r>
                    <w:rPr>
                      <w:rFonts w:hint="default" w:ascii="Times New Roman" w:hAnsi="Times New Roman" w:cs="Times New Roman"/>
                      <w:color w:val="auto"/>
                    </w:rPr>
                    <w:t>3类</w:t>
                  </w:r>
                </w:p>
              </w:tc>
              <w:tc>
                <w:tcPr>
                  <w:tcW w:w="1283" w:type="pct"/>
                  <w:vAlign w:val="center"/>
                </w:tcPr>
                <w:p w14:paraId="1938A469">
                  <w:pPr>
                    <w:pStyle w:val="32"/>
                    <w:rPr>
                      <w:rFonts w:hint="default" w:ascii="Times New Roman" w:hAnsi="Times New Roman" w:cs="Times New Roman"/>
                      <w:color w:val="auto"/>
                    </w:rPr>
                  </w:pPr>
                  <w:r>
                    <w:rPr>
                      <w:rFonts w:hint="default" w:ascii="Times New Roman" w:hAnsi="Times New Roman" w:cs="Times New Roman"/>
                      <w:color w:val="auto"/>
                    </w:rPr>
                    <w:t>65</w:t>
                  </w:r>
                </w:p>
              </w:tc>
              <w:tc>
                <w:tcPr>
                  <w:tcW w:w="1192" w:type="pct"/>
                  <w:vAlign w:val="center"/>
                </w:tcPr>
                <w:p w14:paraId="3029FF6D">
                  <w:pPr>
                    <w:pStyle w:val="32"/>
                    <w:rPr>
                      <w:rFonts w:hint="default" w:ascii="Times New Roman" w:hAnsi="Times New Roman" w:cs="Times New Roman"/>
                      <w:color w:val="auto"/>
                    </w:rPr>
                  </w:pPr>
                  <w:r>
                    <w:rPr>
                      <w:rFonts w:hint="default" w:ascii="Times New Roman" w:hAnsi="Times New Roman" w:cs="Times New Roman"/>
                      <w:color w:val="auto"/>
                    </w:rPr>
                    <w:t>55</w:t>
                  </w:r>
                </w:p>
              </w:tc>
              <w:tc>
                <w:tcPr>
                  <w:tcW w:w="1065" w:type="pct"/>
                  <w:vAlign w:val="center"/>
                </w:tcPr>
                <w:p w14:paraId="3F6537A0">
                  <w:pPr>
                    <w:pStyle w:val="32"/>
                    <w:rPr>
                      <w:rFonts w:hint="default" w:ascii="Times New Roman" w:hAnsi="Times New Roman" w:cs="Times New Roman"/>
                      <w:color w:val="auto"/>
                    </w:rPr>
                  </w:pPr>
                  <w:r>
                    <w:rPr>
                      <w:rFonts w:hint="default" w:ascii="Times New Roman" w:hAnsi="Times New Roman" w:cs="Times New Roman"/>
                      <w:color w:val="auto"/>
                    </w:rPr>
                    <w:t>dB(A)</w:t>
                  </w:r>
                </w:p>
              </w:tc>
            </w:tr>
          </w:tbl>
          <w:p w14:paraId="6707FD34">
            <w:pPr>
              <w:ind w:firstLine="480"/>
              <w:rPr>
                <w:rFonts w:hint="default" w:ascii="Times New Roman" w:hAnsi="Times New Roman" w:cs="Times New Roman"/>
                <w:color w:val="auto"/>
              </w:rPr>
            </w:pPr>
            <w:bookmarkStart w:id="37" w:name="_Toc30630"/>
            <w:r>
              <w:rPr>
                <w:rFonts w:hint="default" w:ascii="Times New Roman" w:hAnsi="Times New Roman" w:cs="Times New Roman"/>
                <w:color w:val="auto"/>
              </w:rPr>
              <w:t>（4）固体废物</w:t>
            </w:r>
            <w:bookmarkEnd w:id="37"/>
          </w:p>
          <w:p w14:paraId="1D1B8B79">
            <w:pPr>
              <w:ind w:firstLine="480"/>
              <w:rPr>
                <w:rFonts w:hint="default" w:ascii="Times New Roman" w:hAnsi="Times New Roman" w:cs="Times New Roman"/>
                <w:color w:val="auto"/>
              </w:rPr>
            </w:pPr>
            <w:r>
              <w:rPr>
                <w:rFonts w:hint="default" w:ascii="Times New Roman" w:hAnsi="Times New Roman" w:cs="Times New Roman"/>
                <w:color w:val="auto"/>
              </w:rPr>
              <w:t>项目产生的生活垃圾，其贮存处理应按照《城市环境卫生设施规划规范》(GB50337－2003)中的要求进行综合利用和处置；项目产生的一般工业固废，其贮存应按照《一般工业固体废物贮存、处置场污染控制标准》(GB18599-2020)的要求进行处置。</w:t>
            </w:r>
          </w:p>
        </w:tc>
      </w:tr>
      <w:tr w14:paraId="7DCF87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13" w:type="dxa"/>
            <w:left w:w="108" w:type="dxa"/>
            <w:bottom w:w="113" w:type="dxa"/>
            <w:right w:w="108" w:type="dxa"/>
          </w:tblCellMar>
        </w:tblPrEx>
        <w:trPr>
          <w:trHeight w:val="392" w:hRule="atLeast"/>
          <w:jc w:val="center"/>
        </w:trPr>
        <w:tc>
          <w:tcPr>
            <w:tcW w:w="699" w:type="dxa"/>
            <w:tcMar>
              <w:left w:w="28" w:type="dxa"/>
              <w:right w:w="28" w:type="dxa"/>
            </w:tcMar>
            <w:vAlign w:val="center"/>
          </w:tcPr>
          <w:p w14:paraId="0132D7D1">
            <w:pPr>
              <w:pStyle w:val="4"/>
              <w:numPr>
                <w:ilvl w:val="1"/>
                <w:numId w:val="0"/>
              </w:numPr>
              <w:jc w:val="center"/>
              <w:rPr>
                <w:rFonts w:hint="default" w:ascii="Times New Roman" w:hAnsi="Times New Roman" w:cs="Times New Roman"/>
                <w:color w:val="auto"/>
                <w:kern w:val="0"/>
                <w:szCs w:val="21"/>
              </w:rPr>
            </w:pPr>
            <w:bookmarkStart w:id="38" w:name="_Toc31808"/>
            <w:r>
              <w:rPr>
                <w:rFonts w:hint="default" w:ascii="Times New Roman" w:hAnsi="Times New Roman" w:cs="Times New Roman"/>
                <w:b w:val="0"/>
                <w:bCs/>
                <w:color w:val="auto"/>
                <w:sz w:val="24"/>
              </w:rPr>
              <w:t>总量控制指标</w:t>
            </w:r>
            <w:bookmarkEnd w:id="38"/>
          </w:p>
        </w:tc>
        <w:tc>
          <w:tcPr>
            <w:tcW w:w="8126" w:type="dxa"/>
          </w:tcPr>
          <w:p w14:paraId="16695470">
            <w:pPr>
              <w:pStyle w:val="4"/>
              <w:rPr>
                <w:rFonts w:hint="default" w:ascii="Times New Roman" w:hAnsi="Times New Roman" w:cs="Times New Roman"/>
                <w:color w:val="auto"/>
              </w:rPr>
            </w:pPr>
            <w:bookmarkStart w:id="39" w:name="_Toc7784"/>
            <w:r>
              <w:rPr>
                <w:rFonts w:hint="default" w:ascii="Times New Roman" w:hAnsi="Times New Roman" w:cs="Times New Roman"/>
                <w:color w:val="auto"/>
              </w:rPr>
              <w:t>总量控制指标</w:t>
            </w:r>
            <w:bookmarkEnd w:id="39"/>
          </w:p>
          <w:p w14:paraId="0AB10A44">
            <w:pPr>
              <w:pStyle w:val="14"/>
              <w:ind w:firstLine="480"/>
              <w:rPr>
                <w:rFonts w:hint="default" w:ascii="Times New Roman" w:hAnsi="Times New Roman" w:cs="Times New Roman"/>
                <w:color w:val="auto"/>
              </w:rPr>
            </w:pPr>
            <w:r>
              <w:rPr>
                <w:rFonts w:hint="default" w:ascii="Times New Roman" w:hAnsi="Times New Roman" w:cs="Times New Roman"/>
                <w:color w:val="auto"/>
              </w:rPr>
              <w:t>根据“十四五”期间总量控制的要求以及《福建省建设项目主要污染物排放总量指标管理办法（试行）》，福建省主要污染物排放总量指标为COD、NH</w:t>
            </w:r>
            <w:r>
              <w:rPr>
                <w:rFonts w:hint="default" w:ascii="Times New Roman" w:hAnsi="Times New Roman" w:cs="Times New Roman"/>
                <w:color w:val="auto"/>
                <w:vertAlign w:val="subscript"/>
              </w:rPr>
              <w:t>3</w:t>
            </w:r>
            <w:r>
              <w:rPr>
                <w:rFonts w:hint="default" w:ascii="Times New Roman" w:hAnsi="Times New Roman" w:cs="Times New Roman"/>
                <w:color w:val="auto"/>
              </w:rPr>
              <w:t>-N、SO</w:t>
            </w:r>
            <w:r>
              <w:rPr>
                <w:rFonts w:hint="default" w:ascii="Times New Roman" w:hAnsi="Times New Roman" w:cs="Times New Roman"/>
                <w:color w:val="auto"/>
                <w:vertAlign w:val="subscript"/>
              </w:rPr>
              <w:t>2</w:t>
            </w:r>
            <w:r>
              <w:rPr>
                <w:rFonts w:hint="default" w:ascii="Times New Roman" w:hAnsi="Times New Roman" w:cs="Times New Roman"/>
                <w:color w:val="auto"/>
              </w:rPr>
              <w:t>、NOx。同时对全国实施重点行业工业烟粉尘总量控制，对总氮、总磷和非甲烷总烃实施重点区域与重点行业相结合的总量控制。结合本项目的特征污染物，确定本项目排放污染物中总量控制项目为二氧化硫、氮氧化物。项目污染物排放总量控制指标见下表3.4-1。</w:t>
            </w:r>
          </w:p>
          <w:p w14:paraId="2E89CA25">
            <w:pPr>
              <w:pStyle w:val="28"/>
              <w:rPr>
                <w:rFonts w:hint="default" w:ascii="Times New Roman" w:hAnsi="Times New Roman" w:cs="Times New Roman"/>
                <w:color w:val="auto"/>
              </w:rPr>
            </w:pPr>
            <w:r>
              <w:rPr>
                <w:rFonts w:hint="default" w:ascii="Times New Roman" w:hAnsi="Times New Roman" w:cs="Times New Roman"/>
                <w:color w:val="auto"/>
              </w:rPr>
              <w:t>表 3.4-1 污染物排放总量指标一览表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419"/>
              <w:gridCol w:w="1795"/>
              <w:gridCol w:w="1795"/>
              <w:gridCol w:w="1795"/>
            </w:tblGrid>
            <w:tr w14:paraId="3ED30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2" w:type="pct"/>
                  <w:gridSpan w:val="2"/>
                  <w:vAlign w:val="center"/>
                </w:tcPr>
                <w:p w14:paraId="12B02A1B">
                  <w:pPr>
                    <w:pStyle w:val="32"/>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1136" w:type="pct"/>
                  <w:vAlign w:val="center"/>
                </w:tcPr>
                <w:p w14:paraId="5793169D">
                  <w:pPr>
                    <w:pStyle w:val="32"/>
                    <w:rPr>
                      <w:rFonts w:hint="default" w:ascii="Times New Roman" w:hAnsi="Times New Roman" w:cs="Times New Roman"/>
                      <w:b/>
                      <w:bCs/>
                      <w:color w:val="auto"/>
                    </w:rPr>
                  </w:pPr>
                  <w:r>
                    <w:rPr>
                      <w:rFonts w:hint="default" w:ascii="Times New Roman" w:hAnsi="Times New Roman" w:cs="Times New Roman"/>
                      <w:b/>
                      <w:bCs/>
                      <w:color w:val="auto"/>
                    </w:rPr>
                    <w:t>预测排放量</w:t>
                  </w:r>
                </w:p>
              </w:tc>
              <w:tc>
                <w:tcPr>
                  <w:tcW w:w="1136" w:type="pct"/>
                  <w:vAlign w:val="center"/>
                </w:tcPr>
                <w:p w14:paraId="66B36C0D">
                  <w:pPr>
                    <w:pStyle w:val="32"/>
                    <w:rPr>
                      <w:rFonts w:hint="default" w:ascii="Times New Roman" w:hAnsi="Times New Roman" w:cs="Times New Roman"/>
                      <w:b/>
                      <w:bCs/>
                      <w:color w:val="auto"/>
                    </w:rPr>
                  </w:pPr>
                  <w:r>
                    <w:rPr>
                      <w:rFonts w:hint="default" w:ascii="Times New Roman" w:hAnsi="Times New Roman" w:cs="Times New Roman"/>
                      <w:b/>
                      <w:bCs/>
                      <w:color w:val="auto"/>
                    </w:rPr>
                    <w:t>建议申请总量</w:t>
                  </w:r>
                </w:p>
              </w:tc>
              <w:tc>
                <w:tcPr>
                  <w:tcW w:w="1136" w:type="pct"/>
                  <w:vAlign w:val="center"/>
                </w:tcPr>
                <w:p w14:paraId="627CDECA">
                  <w:pPr>
                    <w:pStyle w:val="32"/>
                    <w:rPr>
                      <w:rFonts w:hint="default" w:ascii="Times New Roman" w:hAnsi="Times New Roman" w:cs="Times New Roman"/>
                      <w:b/>
                      <w:bCs/>
                      <w:color w:val="auto"/>
                    </w:rPr>
                  </w:pPr>
                  <w:r>
                    <w:rPr>
                      <w:rFonts w:hint="default" w:ascii="Times New Roman" w:hAnsi="Times New Roman" w:cs="Times New Roman"/>
                      <w:b/>
                      <w:bCs/>
                      <w:color w:val="auto"/>
                    </w:rPr>
                    <w:t>备注</w:t>
                  </w:r>
                </w:p>
              </w:tc>
            </w:tr>
            <w:tr w14:paraId="20293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pct"/>
                  <w:vMerge w:val="restart"/>
                  <w:shd w:val="clear" w:color="auto" w:fill="auto"/>
                  <w:vAlign w:val="center"/>
                </w:tcPr>
                <w:p w14:paraId="72CBA970">
                  <w:pPr>
                    <w:pStyle w:val="32"/>
                    <w:rPr>
                      <w:rFonts w:hint="default" w:ascii="Times New Roman" w:hAnsi="Times New Roman" w:cs="Times New Roman"/>
                      <w:color w:val="auto"/>
                    </w:rPr>
                  </w:pPr>
                  <w:r>
                    <w:rPr>
                      <w:rFonts w:hint="default" w:ascii="Times New Roman" w:hAnsi="Times New Roman" w:cs="Times New Roman"/>
                      <w:color w:val="auto"/>
                    </w:rPr>
                    <w:t>生废气</w:t>
                  </w:r>
                </w:p>
              </w:tc>
              <w:tc>
                <w:tcPr>
                  <w:tcW w:w="898" w:type="pct"/>
                  <w:shd w:val="clear" w:color="auto" w:fill="auto"/>
                  <w:vAlign w:val="center"/>
                </w:tcPr>
                <w:p w14:paraId="1685001A">
                  <w:pPr>
                    <w:pStyle w:val="32"/>
                    <w:rPr>
                      <w:rFonts w:hint="default" w:ascii="Times New Roman" w:hAnsi="Times New Roman" w:cs="Times New Roman"/>
                      <w:color w:val="auto"/>
                    </w:rPr>
                  </w:pPr>
                  <w:r>
                    <w:rPr>
                      <w:rFonts w:hint="default" w:ascii="Times New Roman" w:hAnsi="Times New Roman" w:cs="Times New Roman"/>
                      <w:color w:val="auto"/>
                    </w:rPr>
                    <w:t>二氧化硫</w:t>
                  </w:r>
                </w:p>
              </w:tc>
              <w:tc>
                <w:tcPr>
                  <w:tcW w:w="1136" w:type="pct"/>
                  <w:shd w:val="clear" w:color="auto" w:fill="auto"/>
                  <w:vAlign w:val="center"/>
                </w:tcPr>
                <w:p w14:paraId="7D9A07E2">
                  <w:pPr>
                    <w:pStyle w:val="32"/>
                    <w:rPr>
                      <w:rFonts w:hint="default" w:ascii="Times New Roman" w:hAnsi="Times New Roman" w:cs="Times New Roman"/>
                      <w:color w:val="auto"/>
                    </w:rPr>
                  </w:pPr>
                  <w:r>
                    <w:rPr>
                      <w:rFonts w:hint="default" w:ascii="Times New Roman" w:hAnsi="Times New Roman" w:cs="Times New Roman"/>
                      <w:color w:val="auto"/>
                    </w:rPr>
                    <w:t>0.1536t/a</w:t>
                  </w:r>
                </w:p>
              </w:tc>
              <w:tc>
                <w:tcPr>
                  <w:tcW w:w="1136" w:type="pct"/>
                  <w:shd w:val="clear" w:color="auto" w:fill="auto"/>
                  <w:vAlign w:val="center"/>
                </w:tcPr>
                <w:p w14:paraId="188913C5">
                  <w:pPr>
                    <w:pStyle w:val="32"/>
                    <w:rPr>
                      <w:rFonts w:hint="eastAsia"/>
                      <w:color w:val="auto"/>
                    </w:rPr>
                  </w:pPr>
                  <w:r>
                    <w:rPr>
                      <w:rFonts w:hint="eastAsia"/>
                      <w:color w:val="auto"/>
                    </w:rPr>
                    <w:t>0.1536t/a</w:t>
                  </w:r>
                </w:p>
                <w:p w14:paraId="45DF03C9">
                  <w:pPr>
                    <w:pStyle w:val="32"/>
                    <w:rPr>
                      <w:rFonts w:hint="default" w:ascii="Times New Roman" w:hAnsi="Times New Roman" w:cs="Times New Roman"/>
                      <w:color w:val="auto"/>
                    </w:rPr>
                  </w:pPr>
                  <w:r>
                    <w:rPr>
                      <w:rFonts w:hint="eastAsia"/>
                      <w:color w:val="auto"/>
                    </w:rPr>
                    <w:t>0.3594t/a</w:t>
                  </w:r>
                </w:p>
              </w:tc>
              <w:tc>
                <w:tcPr>
                  <w:tcW w:w="1136" w:type="pct"/>
                  <w:vMerge w:val="restart"/>
                  <w:shd w:val="clear" w:color="auto" w:fill="auto"/>
                  <w:vAlign w:val="center"/>
                </w:tcPr>
                <w:p w14:paraId="12332953">
                  <w:pPr>
                    <w:pStyle w:val="32"/>
                    <w:rPr>
                      <w:rFonts w:hint="default" w:ascii="Times New Roman" w:hAnsi="Times New Roman" w:cs="Times New Roman"/>
                      <w:color w:val="auto"/>
                    </w:rPr>
                  </w:pPr>
                  <w:r>
                    <w:rPr>
                      <w:rFonts w:hint="default" w:ascii="Times New Roman" w:hAnsi="Times New Roman" w:cs="Times New Roman"/>
                      <w:color w:val="auto"/>
                    </w:rPr>
                    <w:t>通过海峡排污权交易中心购买</w:t>
                  </w:r>
                </w:p>
              </w:tc>
            </w:tr>
            <w:tr w14:paraId="4B443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pct"/>
                  <w:vMerge w:val="continue"/>
                  <w:shd w:val="clear" w:color="auto" w:fill="auto"/>
                  <w:vAlign w:val="center"/>
                </w:tcPr>
                <w:p w14:paraId="5C5FB58F">
                  <w:pPr>
                    <w:pStyle w:val="32"/>
                    <w:rPr>
                      <w:rFonts w:hint="default" w:ascii="Times New Roman" w:hAnsi="Times New Roman" w:cs="Times New Roman"/>
                      <w:color w:val="auto"/>
                    </w:rPr>
                  </w:pPr>
                </w:p>
              </w:tc>
              <w:tc>
                <w:tcPr>
                  <w:tcW w:w="898" w:type="pct"/>
                  <w:shd w:val="clear" w:color="auto" w:fill="auto"/>
                  <w:vAlign w:val="center"/>
                </w:tcPr>
                <w:p w14:paraId="4AA09075">
                  <w:pPr>
                    <w:pStyle w:val="32"/>
                    <w:rPr>
                      <w:rFonts w:hint="default" w:ascii="Times New Roman" w:hAnsi="Times New Roman" w:cs="Times New Roman"/>
                      <w:color w:val="auto"/>
                    </w:rPr>
                  </w:pPr>
                  <w:r>
                    <w:rPr>
                      <w:rFonts w:hint="default" w:ascii="Times New Roman" w:hAnsi="Times New Roman" w:cs="Times New Roman"/>
                      <w:color w:val="auto"/>
                    </w:rPr>
                    <w:t>氮氧化物</w:t>
                  </w:r>
                </w:p>
              </w:tc>
              <w:tc>
                <w:tcPr>
                  <w:tcW w:w="1136" w:type="pct"/>
                  <w:shd w:val="clear" w:color="auto" w:fill="auto"/>
                  <w:vAlign w:val="center"/>
                </w:tcPr>
                <w:p w14:paraId="0943030F">
                  <w:pPr>
                    <w:pStyle w:val="32"/>
                    <w:rPr>
                      <w:rFonts w:hint="default" w:ascii="Times New Roman" w:hAnsi="Times New Roman" w:cs="Times New Roman"/>
                      <w:color w:val="auto"/>
                    </w:rPr>
                  </w:pPr>
                  <w:r>
                    <w:rPr>
                      <w:rFonts w:hint="default" w:ascii="Times New Roman" w:hAnsi="Times New Roman" w:cs="Times New Roman"/>
                      <w:color w:val="auto"/>
                    </w:rPr>
                    <w:t>0.3594t/a</w:t>
                  </w:r>
                </w:p>
              </w:tc>
              <w:tc>
                <w:tcPr>
                  <w:tcW w:w="1136" w:type="pct"/>
                  <w:shd w:val="clear" w:color="auto" w:fill="auto"/>
                  <w:vAlign w:val="center"/>
                </w:tcPr>
                <w:p w14:paraId="4C627BC5">
                  <w:pPr>
                    <w:pStyle w:val="32"/>
                    <w:rPr>
                      <w:rFonts w:hint="eastAsia"/>
                      <w:color w:val="auto"/>
                    </w:rPr>
                  </w:pPr>
                  <w:r>
                    <w:rPr>
                      <w:rFonts w:hint="eastAsia"/>
                      <w:color w:val="auto"/>
                    </w:rPr>
                    <w:t>0.1536t/a</w:t>
                  </w:r>
                </w:p>
                <w:p w14:paraId="66890441">
                  <w:pPr>
                    <w:pStyle w:val="32"/>
                    <w:rPr>
                      <w:rFonts w:hint="default" w:ascii="Times New Roman" w:hAnsi="Times New Roman" w:cs="Times New Roman"/>
                      <w:color w:val="auto"/>
                    </w:rPr>
                  </w:pPr>
                  <w:r>
                    <w:rPr>
                      <w:rFonts w:hint="eastAsia"/>
                      <w:color w:val="auto"/>
                    </w:rPr>
                    <w:t>0.3594t/a</w:t>
                  </w:r>
                </w:p>
              </w:tc>
              <w:tc>
                <w:tcPr>
                  <w:tcW w:w="1136" w:type="pct"/>
                  <w:vMerge w:val="continue"/>
                  <w:shd w:val="clear" w:color="auto" w:fill="auto"/>
                  <w:vAlign w:val="center"/>
                </w:tcPr>
                <w:p w14:paraId="33F638A6">
                  <w:pPr>
                    <w:pStyle w:val="32"/>
                    <w:rPr>
                      <w:rFonts w:hint="default" w:ascii="Times New Roman" w:hAnsi="Times New Roman" w:cs="Times New Roman"/>
                      <w:color w:val="auto"/>
                    </w:rPr>
                  </w:pPr>
                </w:p>
              </w:tc>
            </w:tr>
          </w:tbl>
          <w:p w14:paraId="40F3EF44">
            <w:pPr>
              <w:pStyle w:val="14"/>
              <w:ind w:firstLine="480"/>
              <w:rPr>
                <w:rFonts w:hint="default" w:ascii="Times New Roman" w:hAnsi="Times New Roman" w:cs="Times New Roman"/>
                <w:color w:val="auto"/>
              </w:rPr>
            </w:pPr>
            <w:r>
              <w:rPr>
                <w:rFonts w:hint="default" w:ascii="Times New Roman" w:hAnsi="Times New Roman" w:cs="Times New Roman"/>
                <w:color w:val="auto"/>
              </w:rPr>
              <w:t>本次锅炉改建后总量需根据《进一步加快推进排污权有偿使用和交易工作的意见》（闽环发[2015]6号）的要求，通过福建省排污权交易平台购买主要污染物新增排污总量。根据以上核算数据，建设单位应向环保局提出申请，经环保部门核定后向交易机构申请交易，购买本项目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X</w:t>
            </w:r>
            <w:r>
              <w:rPr>
                <w:rFonts w:hint="default" w:ascii="Times New Roman" w:hAnsi="Times New Roman" w:cs="Times New Roman"/>
                <w:color w:val="auto"/>
              </w:rPr>
              <w:t>排放总量</w:t>
            </w:r>
            <w:r>
              <w:rPr>
                <w:rFonts w:hint="default" w:ascii="Times New Roman" w:hAnsi="Times New Roman" w:cs="Times New Roman"/>
                <w:color w:val="auto"/>
                <w:lang w:eastAsia="zh-CN"/>
              </w:rPr>
              <w:t>（</w:t>
            </w:r>
            <w:r>
              <w:rPr>
                <w:rFonts w:hint="default" w:ascii="Times New Roman" w:hAnsi="Times New Roman" w:cs="Times New Roman"/>
                <w:color w:val="auto"/>
              </w:rPr>
              <w:t>二氧化硫：0.1536t/a，氮氧化物：0.3594t/a</w:t>
            </w:r>
            <w:r>
              <w:rPr>
                <w:rFonts w:hint="default" w:ascii="Times New Roman" w:hAnsi="Times New Roman" w:cs="Times New Roman"/>
                <w:color w:val="auto"/>
                <w:lang w:eastAsia="zh-CN"/>
              </w:rPr>
              <w:t>）</w:t>
            </w:r>
            <w:r>
              <w:rPr>
                <w:rFonts w:hint="default" w:ascii="Times New Roman" w:hAnsi="Times New Roman" w:cs="Times New Roman"/>
                <w:color w:val="auto"/>
              </w:rPr>
              <w:t>的排污权指标。</w:t>
            </w:r>
          </w:p>
          <w:p w14:paraId="7FC10108">
            <w:pPr>
              <w:ind w:firstLine="480"/>
              <w:rPr>
                <w:rFonts w:hint="default" w:ascii="Times New Roman" w:hAnsi="Times New Roman" w:cs="Times New Roman"/>
                <w:color w:val="auto"/>
              </w:rPr>
            </w:pPr>
          </w:p>
          <w:p w14:paraId="43A9C1DF">
            <w:pPr>
              <w:ind w:firstLine="480"/>
              <w:rPr>
                <w:rFonts w:hint="default" w:ascii="Times New Roman" w:hAnsi="Times New Roman" w:cs="Times New Roman"/>
                <w:color w:val="auto"/>
              </w:rPr>
            </w:pPr>
          </w:p>
          <w:p w14:paraId="5B3F04D6">
            <w:pPr>
              <w:pStyle w:val="14"/>
              <w:ind w:firstLine="480"/>
              <w:rPr>
                <w:rFonts w:hint="default" w:ascii="Times New Roman" w:hAnsi="Times New Roman" w:cs="Times New Roman"/>
                <w:color w:val="auto"/>
              </w:rPr>
            </w:pPr>
          </w:p>
          <w:p w14:paraId="7ECD7BC1">
            <w:pPr>
              <w:pStyle w:val="14"/>
              <w:ind w:firstLine="480"/>
              <w:rPr>
                <w:rFonts w:hint="default" w:ascii="Times New Roman" w:hAnsi="Times New Roman" w:cs="Times New Roman"/>
                <w:color w:val="auto"/>
              </w:rPr>
            </w:pPr>
          </w:p>
          <w:p w14:paraId="5232FEE8">
            <w:pPr>
              <w:ind w:firstLine="480"/>
              <w:rPr>
                <w:rFonts w:hint="default" w:ascii="Times New Roman" w:hAnsi="Times New Roman" w:cs="Times New Roman"/>
                <w:color w:val="auto"/>
              </w:rPr>
            </w:pPr>
          </w:p>
          <w:p w14:paraId="7F688011">
            <w:pPr>
              <w:pStyle w:val="14"/>
              <w:ind w:firstLine="480"/>
              <w:rPr>
                <w:rFonts w:hint="default" w:ascii="Times New Roman" w:hAnsi="Times New Roman" w:cs="Times New Roman"/>
                <w:color w:val="auto"/>
              </w:rPr>
            </w:pPr>
          </w:p>
          <w:p w14:paraId="7ADEA358">
            <w:pPr>
              <w:ind w:firstLine="480"/>
              <w:rPr>
                <w:rFonts w:hint="default" w:ascii="Times New Roman" w:hAnsi="Times New Roman" w:cs="Times New Roman"/>
                <w:color w:val="auto"/>
              </w:rPr>
            </w:pPr>
          </w:p>
        </w:tc>
      </w:tr>
    </w:tbl>
    <w:p w14:paraId="76B9AE78">
      <w:pPr>
        <w:pStyle w:val="3"/>
        <w:ind w:firstLineChars="0"/>
        <w:rPr>
          <w:rFonts w:hint="default" w:ascii="Times New Roman" w:hAnsi="Times New Roman" w:cs="Times New Roman"/>
          <w:color w:val="auto"/>
        </w:rPr>
      </w:pPr>
      <w:r>
        <w:rPr>
          <w:rFonts w:hint="default" w:ascii="Times New Roman" w:hAnsi="Times New Roman" w:cs="Times New Roman"/>
          <w:color w:val="auto"/>
        </w:rPr>
        <w:br w:type="page"/>
      </w:r>
      <w:bookmarkStart w:id="40" w:name="_Toc23502"/>
      <w:bookmarkStart w:id="41" w:name="_Toc23421"/>
      <w:r>
        <w:rPr>
          <w:rFonts w:hint="default" w:ascii="Times New Roman" w:hAnsi="Times New Roman" w:cs="Times New Roman"/>
          <w:color w:val="auto"/>
        </w:rPr>
        <w:t>主要环境影响和保护措施</w:t>
      </w:r>
      <w:bookmarkEnd w:id="40"/>
      <w:bookmarkEnd w:id="41"/>
    </w:p>
    <w:tbl>
      <w:tblPr>
        <w:tblStyle w:val="21"/>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4C8EE2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14:paraId="05774F5B">
            <w:pPr>
              <w:pStyle w:val="4"/>
              <w:numPr>
                <w:ilvl w:val="1"/>
                <w:numId w:val="0"/>
              </w:numPr>
              <w:jc w:val="center"/>
              <w:rPr>
                <w:rFonts w:hint="default" w:ascii="Times New Roman" w:hAnsi="Times New Roman" w:cs="Times New Roman"/>
                <w:color w:val="auto"/>
              </w:rPr>
            </w:pPr>
            <w:bookmarkStart w:id="42" w:name="_Toc24389"/>
            <w:r>
              <w:rPr>
                <w:rFonts w:hint="default" w:ascii="Times New Roman" w:hAnsi="Times New Roman" w:cs="Times New Roman"/>
                <w:b w:val="0"/>
                <w:bCs/>
                <w:color w:val="auto"/>
                <w:sz w:val="24"/>
              </w:rPr>
              <w:t>施工期环境保护措施</w:t>
            </w:r>
            <w:bookmarkEnd w:id="42"/>
          </w:p>
        </w:tc>
        <w:tc>
          <w:tcPr>
            <w:tcW w:w="8162" w:type="dxa"/>
          </w:tcPr>
          <w:p w14:paraId="1166D62A">
            <w:pPr>
              <w:pStyle w:val="4"/>
              <w:rPr>
                <w:rFonts w:hint="default" w:ascii="Times New Roman" w:hAnsi="Times New Roman" w:cs="Times New Roman"/>
                <w:color w:val="auto"/>
              </w:rPr>
            </w:pPr>
            <w:bookmarkStart w:id="43" w:name="_Toc29126"/>
            <w:r>
              <w:rPr>
                <w:rFonts w:hint="default" w:ascii="Times New Roman" w:hAnsi="Times New Roman" w:cs="Times New Roman"/>
                <w:color w:val="auto"/>
              </w:rPr>
              <w:t>施工期</w:t>
            </w:r>
            <w:bookmarkEnd w:id="43"/>
            <w:r>
              <w:rPr>
                <w:rFonts w:hint="default" w:ascii="Times New Roman" w:hAnsi="Times New Roman" w:cs="Times New Roman"/>
                <w:color w:val="auto"/>
              </w:rPr>
              <w:t>环境保护措施</w:t>
            </w:r>
          </w:p>
          <w:p w14:paraId="29303A10">
            <w:pPr>
              <w:adjustRightInd w:val="0"/>
              <w:snapToGrid w:val="0"/>
              <w:ind w:firstLine="480"/>
              <w:rPr>
                <w:rFonts w:hint="default" w:ascii="Times New Roman" w:hAnsi="Times New Roman" w:cs="Times New Roman"/>
                <w:bCs/>
                <w:color w:val="auto"/>
              </w:rPr>
            </w:pPr>
            <w:r>
              <w:rPr>
                <w:rFonts w:hint="default" w:ascii="Times New Roman" w:hAnsi="Times New Roman" w:cs="Times New Roman"/>
                <w:color w:val="auto"/>
              </w:rPr>
              <w:t>本项目位于</w:t>
            </w:r>
            <w:r>
              <w:rPr>
                <w:rFonts w:hint="eastAsia" w:cs="Times New Roman"/>
                <w:color w:val="auto"/>
                <w:lang w:eastAsia="zh-CN"/>
              </w:rPr>
              <w:t>福建省福州市闽侯县铁岭工业区长龙西路1号福建福老酒业有限公司</w:t>
            </w:r>
            <w:r>
              <w:rPr>
                <w:rFonts w:hint="default" w:ascii="Times New Roman" w:hAnsi="Times New Roman" w:cs="Times New Roman"/>
                <w:color w:val="auto"/>
              </w:rPr>
              <w:t>已有锅炉房内，不新增用地，不进行厂房建设，因此</w:t>
            </w:r>
            <w:r>
              <w:rPr>
                <w:rFonts w:hint="default" w:ascii="Times New Roman" w:hAnsi="Times New Roman" w:cs="Times New Roman"/>
                <w:bCs/>
                <w:color w:val="auto"/>
              </w:rPr>
              <w:t>不存在厂房等主体工程施工期环境影响对周边环境的影响。</w:t>
            </w:r>
          </w:p>
          <w:p w14:paraId="485D4A59">
            <w:pPr>
              <w:pStyle w:val="14"/>
              <w:ind w:firstLine="480"/>
              <w:rPr>
                <w:rFonts w:hint="default" w:ascii="Times New Roman" w:hAnsi="Times New Roman" w:cs="Times New Roman"/>
                <w:color w:val="auto"/>
              </w:rPr>
            </w:pPr>
            <w:r>
              <w:rPr>
                <w:rFonts w:hint="default" w:ascii="Times New Roman" w:hAnsi="Times New Roman" w:cs="Times New Roman"/>
                <w:color w:val="auto"/>
              </w:rPr>
              <w:t>项目施工期主要为设备安装、</w:t>
            </w:r>
            <w:r>
              <w:rPr>
                <w:rFonts w:hint="default" w:ascii="Times New Roman" w:hAnsi="Times New Roman" w:cs="Times New Roman"/>
                <w:bCs/>
                <w:color w:val="auto"/>
              </w:rPr>
              <w:t>调试阶段产生的环境问题，本项目设备安装、调试简单，且时间较短，因此，随着设备安装、调试完毕后，项目施工期也将结束，施工期环境影响也随着消失，不会对周边环境噪声影响。</w:t>
            </w:r>
          </w:p>
        </w:tc>
      </w:tr>
      <w:tr w14:paraId="3E5480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14:paraId="05741A35">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运营</w:t>
            </w:r>
          </w:p>
          <w:p w14:paraId="125620DB">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期环</w:t>
            </w:r>
          </w:p>
          <w:p w14:paraId="3A94B4B9">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境影</w:t>
            </w:r>
          </w:p>
          <w:p w14:paraId="1AB5CF1E">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响和</w:t>
            </w:r>
          </w:p>
          <w:p w14:paraId="0EE95978">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保护</w:t>
            </w:r>
          </w:p>
          <w:p w14:paraId="32E89873">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措施</w:t>
            </w:r>
          </w:p>
        </w:tc>
        <w:tc>
          <w:tcPr>
            <w:tcW w:w="8162" w:type="dxa"/>
          </w:tcPr>
          <w:p w14:paraId="11CCE5E6">
            <w:pPr>
              <w:pStyle w:val="4"/>
              <w:rPr>
                <w:rFonts w:hint="default" w:ascii="Times New Roman" w:hAnsi="Times New Roman" w:cs="Times New Roman"/>
                <w:color w:val="auto"/>
              </w:rPr>
            </w:pPr>
            <w:r>
              <w:rPr>
                <w:rFonts w:hint="default" w:ascii="Times New Roman" w:hAnsi="Times New Roman" w:cs="Times New Roman"/>
                <w:color w:val="auto"/>
              </w:rPr>
              <w:t>运营期环境保护措施</w:t>
            </w:r>
          </w:p>
          <w:p w14:paraId="65C1FEE4">
            <w:pP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4.2.1废气环境保护措施</w:t>
            </w:r>
          </w:p>
          <w:p w14:paraId="71281D23">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1、污染源强</w:t>
            </w:r>
          </w:p>
          <w:p w14:paraId="0F406F71">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本项目拟拆除</w:t>
            </w:r>
            <w:r>
              <w:rPr>
                <w:rFonts w:hint="eastAsia" w:cs="Times New Roman"/>
                <w:color w:val="auto"/>
                <w:lang w:val="en-US" w:eastAsia="zh-CN"/>
              </w:rPr>
              <w:t>现</w:t>
            </w:r>
            <w:r>
              <w:rPr>
                <w:rFonts w:hint="default" w:ascii="Times New Roman" w:hAnsi="Times New Roman" w:cs="Times New Roman"/>
                <w:color w:val="auto"/>
              </w:rPr>
              <w:t>有</w:t>
            </w:r>
            <w:r>
              <w:rPr>
                <w:rFonts w:hint="eastAsia" w:cs="Times New Roman"/>
                <w:color w:val="auto"/>
                <w:lang w:eastAsia="zh-CN"/>
              </w:rPr>
              <w:t>15吨燃煤锅炉</w:t>
            </w:r>
            <w:r>
              <w:rPr>
                <w:rFonts w:hint="default" w:ascii="Times New Roman" w:hAnsi="Times New Roman" w:cs="Times New Roman"/>
                <w:color w:val="auto"/>
              </w:rPr>
              <w:t>，新增</w:t>
            </w:r>
            <w:r>
              <w:rPr>
                <w:rFonts w:hint="eastAsia" w:cs="Times New Roman"/>
                <w:color w:val="auto"/>
                <w:lang w:val="en-US" w:eastAsia="zh-CN"/>
              </w:rPr>
              <w:t>2</w:t>
            </w:r>
            <w:r>
              <w:rPr>
                <w:rFonts w:hint="default" w:ascii="Times New Roman" w:hAnsi="Times New Roman" w:cs="Times New Roman"/>
                <w:color w:val="auto"/>
              </w:rPr>
              <w:t>台</w:t>
            </w:r>
            <w:r>
              <w:rPr>
                <w:rFonts w:hint="eastAsia" w:cs="Times New Roman"/>
                <w:color w:val="auto"/>
                <w:lang w:val="en-US" w:eastAsia="zh-CN"/>
              </w:rPr>
              <w:t>2吨</w:t>
            </w:r>
            <w:r>
              <w:rPr>
                <w:rFonts w:hint="default" w:ascii="Times New Roman" w:hAnsi="Times New Roman" w:cs="Times New Roman"/>
                <w:color w:val="auto"/>
              </w:rPr>
              <w:t>天然气锅炉，用于项目生产供热。本项目年使用天然气燃料为</w:t>
            </w:r>
            <w:r>
              <w:rPr>
                <w:rFonts w:hint="eastAsia" w:cs="Times New Roman"/>
                <w:color w:val="auto"/>
                <w:lang w:val="en-US" w:eastAsia="zh-CN"/>
              </w:rPr>
              <w:t>38.4</w:t>
            </w:r>
            <w:r>
              <w:rPr>
                <w:rFonts w:hint="default" w:ascii="Times New Roman" w:hAnsi="Times New Roman" w:cs="Times New Roman"/>
                <w:color w:val="auto"/>
              </w:rPr>
              <w:t>万m</w:t>
            </w:r>
            <w:r>
              <w:rPr>
                <w:rFonts w:hint="default" w:ascii="Times New Roman" w:hAnsi="Times New Roman" w:cs="Times New Roman"/>
                <w:color w:val="auto"/>
                <w:vertAlign w:val="superscript"/>
              </w:rPr>
              <w:t>3</w:t>
            </w:r>
            <w:r>
              <w:rPr>
                <w:rFonts w:hint="default" w:ascii="Times New Roman" w:hAnsi="Times New Roman" w:cs="Times New Roman"/>
                <w:color w:val="auto"/>
              </w:rPr>
              <w:t>，</w:t>
            </w:r>
            <w:r>
              <w:rPr>
                <w:rFonts w:hint="default" w:ascii="Times New Roman" w:hAnsi="Times New Roman" w:cs="Times New Roman"/>
                <w:color w:val="auto"/>
                <w:lang w:val="zh-CN"/>
              </w:rPr>
              <w:t>参照</w:t>
            </w:r>
            <w:r>
              <w:rPr>
                <w:rFonts w:hint="default" w:ascii="Times New Roman" w:hAnsi="Times New Roman" w:cs="Times New Roman"/>
                <w:color w:val="auto"/>
              </w:rPr>
              <w:t>《排放源统计调查产排污核算方法和系数手册》中4430工业锅炉（热力供应）行业系数手册、HJ953-2018《排污许可证申请与核发技术规范 锅炉》进行源强核算（表4.2-1）。</w:t>
            </w:r>
          </w:p>
          <w:p w14:paraId="14C74DF6">
            <w:pPr>
              <w:ind w:firstLine="482"/>
              <w:jc w:val="center"/>
              <w:rPr>
                <w:rFonts w:hint="default" w:ascii="Times New Roman" w:hAnsi="Times New Roman" w:cs="Times New Roman"/>
                <w:b/>
                <w:color w:val="auto"/>
              </w:rPr>
            </w:pPr>
            <w:r>
              <w:rPr>
                <w:rFonts w:hint="default" w:ascii="Times New Roman" w:hAnsi="Times New Roman" w:cs="Times New Roman"/>
                <w:b/>
                <w:color w:val="auto"/>
              </w:rPr>
              <w:t>表4.2-1  工业锅炉（燃气）产污系数表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681"/>
              <w:gridCol w:w="991"/>
              <w:gridCol w:w="1175"/>
              <w:gridCol w:w="1742"/>
              <w:gridCol w:w="1388"/>
              <w:gridCol w:w="1273"/>
            </w:tblGrid>
            <w:tr w14:paraId="6660E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3" w:type="pct"/>
                  <w:vAlign w:val="center"/>
                </w:tcPr>
                <w:p w14:paraId="26518E7C">
                  <w:pPr>
                    <w:pStyle w:val="32"/>
                    <w:rPr>
                      <w:rFonts w:hint="default" w:ascii="Times New Roman" w:hAnsi="Times New Roman" w:cs="Times New Roman"/>
                      <w:color w:val="auto"/>
                    </w:rPr>
                  </w:pPr>
                  <w:r>
                    <w:rPr>
                      <w:rFonts w:hint="default" w:ascii="Times New Roman" w:hAnsi="Times New Roman" w:cs="Times New Roman"/>
                      <w:color w:val="auto"/>
                    </w:rPr>
                    <w:t>产品名称</w:t>
                  </w:r>
                </w:p>
              </w:tc>
              <w:tc>
                <w:tcPr>
                  <w:tcW w:w="429" w:type="pct"/>
                  <w:vAlign w:val="center"/>
                </w:tcPr>
                <w:p w14:paraId="3E21E656">
                  <w:pPr>
                    <w:pStyle w:val="32"/>
                    <w:rPr>
                      <w:rFonts w:hint="default" w:ascii="Times New Roman" w:hAnsi="Times New Roman" w:cs="Times New Roman"/>
                      <w:color w:val="auto"/>
                    </w:rPr>
                  </w:pPr>
                  <w:r>
                    <w:rPr>
                      <w:rFonts w:hint="default" w:ascii="Times New Roman" w:hAnsi="Times New Roman" w:cs="Times New Roman"/>
                      <w:color w:val="auto"/>
                    </w:rPr>
                    <w:t>原料</w:t>
                  </w:r>
                </w:p>
                <w:p w14:paraId="5D6A625F">
                  <w:pPr>
                    <w:pStyle w:val="32"/>
                    <w:rPr>
                      <w:rFonts w:hint="default" w:ascii="Times New Roman" w:hAnsi="Times New Roman" w:cs="Times New Roman"/>
                      <w:color w:val="auto"/>
                    </w:rPr>
                  </w:pPr>
                  <w:r>
                    <w:rPr>
                      <w:rFonts w:hint="default" w:ascii="Times New Roman" w:hAnsi="Times New Roman" w:cs="Times New Roman"/>
                      <w:color w:val="auto"/>
                    </w:rPr>
                    <w:t>名称</w:t>
                  </w:r>
                </w:p>
              </w:tc>
              <w:tc>
                <w:tcPr>
                  <w:tcW w:w="624" w:type="pct"/>
                  <w:vAlign w:val="center"/>
                </w:tcPr>
                <w:p w14:paraId="0500BE8F">
                  <w:pPr>
                    <w:pStyle w:val="32"/>
                    <w:rPr>
                      <w:rFonts w:hint="default" w:ascii="Times New Roman" w:hAnsi="Times New Roman" w:cs="Times New Roman"/>
                      <w:color w:val="auto"/>
                    </w:rPr>
                  </w:pPr>
                  <w:r>
                    <w:rPr>
                      <w:rFonts w:hint="default" w:ascii="Times New Roman" w:hAnsi="Times New Roman" w:cs="Times New Roman"/>
                      <w:color w:val="auto"/>
                    </w:rPr>
                    <w:t>工艺</w:t>
                  </w:r>
                </w:p>
                <w:p w14:paraId="01D79449">
                  <w:pPr>
                    <w:pStyle w:val="32"/>
                    <w:rPr>
                      <w:rFonts w:hint="default" w:ascii="Times New Roman" w:hAnsi="Times New Roman" w:cs="Times New Roman"/>
                      <w:color w:val="auto"/>
                    </w:rPr>
                  </w:pPr>
                  <w:r>
                    <w:rPr>
                      <w:rFonts w:hint="default" w:ascii="Times New Roman" w:hAnsi="Times New Roman" w:cs="Times New Roman"/>
                      <w:color w:val="auto"/>
                    </w:rPr>
                    <w:t>名称</w:t>
                  </w:r>
                </w:p>
              </w:tc>
              <w:tc>
                <w:tcPr>
                  <w:tcW w:w="740" w:type="pct"/>
                  <w:vAlign w:val="center"/>
                </w:tcPr>
                <w:p w14:paraId="3FDCC325">
                  <w:pPr>
                    <w:pStyle w:val="32"/>
                    <w:rPr>
                      <w:rFonts w:hint="default" w:ascii="Times New Roman" w:hAnsi="Times New Roman" w:cs="Times New Roman"/>
                      <w:color w:val="auto"/>
                    </w:rPr>
                  </w:pPr>
                  <w:r>
                    <w:rPr>
                      <w:rFonts w:hint="default" w:ascii="Times New Roman" w:hAnsi="Times New Roman" w:cs="Times New Roman"/>
                      <w:color w:val="auto"/>
                    </w:rPr>
                    <w:t>污染物指标</w:t>
                  </w:r>
                </w:p>
              </w:tc>
              <w:tc>
                <w:tcPr>
                  <w:tcW w:w="1097" w:type="pct"/>
                  <w:vAlign w:val="center"/>
                </w:tcPr>
                <w:p w14:paraId="75660353">
                  <w:pPr>
                    <w:pStyle w:val="32"/>
                    <w:rPr>
                      <w:rFonts w:hint="default" w:ascii="Times New Roman" w:hAnsi="Times New Roman" w:cs="Times New Roman"/>
                      <w:color w:val="auto"/>
                    </w:rPr>
                  </w:pPr>
                  <w:r>
                    <w:rPr>
                      <w:rFonts w:hint="default" w:ascii="Times New Roman" w:hAnsi="Times New Roman" w:cs="Times New Roman"/>
                      <w:color w:val="auto"/>
                    </w:rPr>
                    <w:t>单位</w:t>
                  </w:r>
                </w:p>
              </w:tc>
              <w:tc>
                <w:tcPr>
                  <w:tcW w:w="874" w:type="pct"/>
                  <w:vAlign w:val="center"/>
                </w:tcPr>
                <w:p w14:paraId="3C0F152B">
                  <w:pPr>
                    <w:pStyle w:val="32"/>
                    <w:rPr>
                      <w:rFonts w:hint="default" w:ascii="Times New Roman" w:hAnsi="Times New Roman" w:cs="Times New Roman"/>
                      <w:color w:val="auto"/>
                    </w:rPr>
                  </w:pPr>
                  <w:r>
                    <w:rPr>
                      <w:rFonts w:hint="default" w:ascii="Times New Roman" w:hAnsi="Times New Roman" w:cs="Times New Roman"/>
                      <w:color w:val="auto"/>
                    </w:rPr>
                    <w:t>产污系数</w:t>
                  </w:r>
                </w:p>
              </w:tc>
              <w:tc>
                <w:tcPr>
                  <w:tcW w:w="801" w:type="pct"/>
                  <w:vAlign w:val="center"/>
                </w:tcPr>
                <w:p w14:paraId="19FC89DC">
                  <w:pPr>
                    <w:pStyle w:val="32"/>
                    <w:rPr>
                      <w:rFonts w:hint="default" w:ascii="Times New Roman" w:hAnsi="Times New Roman" w:cs="Times New Roman"/>
                      <w:color w:val="auto"/>
                    </w:rPr>
                  </w:pPr>
                  <w:r>
                    <w:rPr>
                      <w:rFonts w:hint="default" w:ascii="Times New Roman" w:hAnsi="Times New Roman" w:cs="Times New Roman"/>
                      <w:color w:val="auto"/>
                    </w:rPr>
                    <w:t>依据</w:t>
                  </w:r>
                </w:p>
              </w:tc>
            </w:tr>
            <w:tr w14:paraId="00142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3" w:type="pct"/>
                  <w:vMerge w:val="restart"/>
                  <w:vAlign w:val="center"/>
                </w:tcPr>
                <w:p w14:paraId="78C25D5F">
                  <w:pPr>
                    <w:pStyle w:val="32"/>
                    <w:rPr>
                      <w:rFonts w:hint="default" w:ascii="Times New Roman" w:hAnsi="Times New Roman" w:cs="Times New Roman"/>
                      <w:color w:val="auto"/>
                    </w:rPr>
                  </w:pPr>
                  <w:r>
                    <w:rPr>
                      <w:rFonts w:hint="default" w:ascii="Times New Roman" w:hAnsi="Times New Roman" w:cs="Times New Roman"/>
                      <w:color w:val="auto"/>
                    </w:rPr>
                    <w:t>蒸汽/热水/其他</w:t>
                  </w:r>
                </w:p>
              </w:tc>
              <w:tc>
                <w:tcPr>
                  <w:tcW w:w="429" w:type="pct"/>
                  <w:vMerge w:val="restart"/>
                  <w:vAlign w:val="center"/>
                </w:tcPr>
                <w:p w14:paraId="188A6DF4">
                  <w:pPr>
                    <w:pStyle w:val="32"/>
                    <w:rPr>
                      <w:rFonts w:hint="default" w:ascii="Times New Roman" w:hAnsi="Times New Roman" w:cs="Times New Roman"/>
                      <w:color w:val="auto"/>
                    </w:rPr>
                  </w:pPr>
                  <w:r>
                    <w:rPr>
                      <w:rFonts w:hint="default" w:ascii="Times New Roman" w:hAnsi="Times New Roman" w:cs="Times New Roman"/>
                      <w:color w:val="auto"/>
                    </w:rPr>
                    <w:t>天然气</w:t>
                  </w:r>
                </w:p>
              </w:tc>
              <w:tc>
                <w:tcPr>
                  <w:tcW w:w="624" w:type="pct"/>
                  <w:vMerge w:val="restart"/>
                  <w:vAlign w:val="center"/>
                </w:tcPr>
                <w:p w14:paraId="2AAA0037">
                  <w:pPr>
                    <w:pStyle w:val="32"/>
                    <w:rPr>
                      <w:rFonts w:hint="default" w:ascii="Times New Roman" w:hAnsi="Times New Roman" w:cs="Times New Roman"/>
                      <w:color w:val="auto"/>
                    </w:rPr>
                  </w:pPr>
                  <w:r>
                    <w:rPr>
                      <w:rFonts w:hint="default" w:ascii="Times New Roman" w:hAnsi="Times New Roman" w:cs="Times New Roman"/>
                      <w:color w:val="auto"/>
                    </w:rPr>
                    <w:t>室燃炉</w:t>
                  </w:r>
                </w:p>
              </w:tc>
              <w:tc>
                <w:tcPr>
                  <w:tcW w:w="740" w:type="pct"/>
                  <w:vAlign w:val="center"/>
                </w:tcPr>
                <w:p w14:paraId="25D88628">
                  <w:pPr>
                    <w:pStyle w:val="32"/>
                    <w:rPr>
                      <w:rFonts w:hint="default" w:ascii="Times New Roman" w:hAnsi="Times New Roman" w:cs="Times New Roman"/>
                      <w:color w:val="auto"/>
                    </w:rPr>
                  </w:pPr>
                  <w:r>
                    <w:rPr>
                      <w:rFonts w:hint="default" w:ascii="Times New Roman" w:hAnsi="Times New Roman" w:cs="Times New Roman"/>
                      <w:color w:val="auto"/>
                    </w:rPr>
                    <w:t>工业废气量</w:t>
                  </w:r>
                </w:p>
              </w:tc>
              <w:tc>
                <w:tcPr>
                  <w:tcW w:w="1097" w:type="pct"/>
                  <w:vAlign w:val="center"/>
                </w:tcPr>
                <w:p w14:paraId="73EA8F3E">
                  <w:pPr>
                    <w:pStyle w:val="32"/>
                    <w:rPr>
                      <w:rFonts w:hint="default" w:ascii="Times New Roman" w:hAnsi="Times New Roman" w:cs="Times New Roman"/>
                      <w:color w:val="auto"/>
                    </w:rPr>
                  </w:pPr>
                  <w:r>
                    <w:rPr>
                      <w:rFonts w:hint="default" w:ascii="Times New Roman" w:hAnsi="Times New Roman" w:cs="Times New Roman"/>
                      <w:color w:val="auto"/>
                    </w:rPr>
                    <w:t>标立方米/万立方米-燃料</w:t>
                  </w:r>
                </w:p>
              </w:tc>
              <w:tc>
                <w:tcPr>
                  <w:tcW w:w="874" w:type="pct"/>
                  <w:vAlign w:val="center"/>
                </w:tcPr>
                <w:p w14:paraId="6F74564D">
                  <w:pPr>
                    <w:pStyle w:val="32"/>
                    <w:rPr>
                      <w:rFonts w:hint="default" w:ascii="Times New Roman" w:hAnsi="Times New Roman" w:cs="Times New Roman"/>
                      <w:color w:val="auto"/>
                    </w:rPr>
                  </w:pPr>
                  <w:r>
                    <w:rPr>
                      <w:rFonts w:hint="default" w:ascii="Times New Roman" w:hAnsi="Times New Roman" w:cs="Times New Roman"/>
                      <w:color w:val="auto"/>
                    </w:rPr>
                    <w:t>107753</w:t>
                  </w:r>
                </w:p>
              </w:tc>
              <w:tc>
                <w:tcPr>
                  <w:tcW w:w="801" w:type="pct"/>
                  <w:vAlign w:val="center"/>
                </w:tcPr>
                <w:p w14:paraId="0C7EB852">
                  <w:pPr>
                    <w:pStyle w:val="32"/>
                    <w:rPr>
                      <w:rFonts w:hint="default" w:ascii="Times New Roman" w:hAnsi="Times New Roman" w:cs="Times New Roman"/>
                      <w:color w:val="auto"/>
                    </w:rPr>
                  </w:pPr>
                  <w:r>
                    <w:rPr>
                      <w:rFonts w:hint="default" w:ascii="Times New Roman" w:hAnsi="Times New Roman" w:cs="Times New Roman"/>
                      <w:color w:val="auto"/>
                    </w:rPr>
                    <w:t>《排放源统计调查产排污核算方法和系数手册》</w:t>
                  </w:r>
                </w:p>
              </w:tc>
            </w:tr>
            <w:tr w14:paraId="7BCCB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3" w:type="pct"/>
                  <w:vMerge w:val="continue"/>
                  <w:vAlign w:val="center"/>
                </w:tcPr>
                <w:p w14:paraId="7D893515">
                  <w:pPr>
                    <w:pStyle w:val="32"/>
                    <w:rPr>
                      <w:rFonts w:hint="default" w:ascii="Times New Roman" w:hAnsi="Times New Roman" w:cs="Times New Roman"/>
                      <w:color w:val="auto"/>
                    </w:rPr>
                  </w:pPr>
                </w:p>
              </w:tc>
              <w:tc>
                <w:tcPr>
                  <w:tcW w:w="429" w:type="pct"/>
                  <w:vMerge w:val="continue"/>
                  <w:vAlign w:val="center"/>
                </w:tcPr>
                <w:p w14:paraId="67F0B8EE">
                  <w:pPr>
                    <w:pStyle w:val="32"/>
                    <w:rPr>
                      <w:rFonts w:hint="default" w:ascii="Times New Roman" w:hAnsi="Times New Roman" w:cs="Times New Roman"/>
                      <w:color w:val="auto"/>
                    </w:rPr>
                  </w:pPr>
                </w:p>
              </w:tc>
              <w:tc>
                <w:tcPr>
                  <w:tcW w:w="624" w:type="pct"/>
                  <w:vMerge w:val="continue"/>
                  <w:vAlign w:val="center"/>
                </w:tcPr>
                <w:p w14:paraId="3A53BC1C">
                  <w:pPr>
                    <w:pStyle w:val="32"/>
                    <w:rPr>
                      <w:rFonts w:hint="default" w:ascii="Times New Roman" w:hAnsi="Times New Roman" w:cs="Times New Roman"/>
                      <w:color w:val="auto"/>
                    </w:rPr>
                  </w:pPr>
                </w:p>
              </w:tc>
              <w:tc>
                <w:tcPr>
                  <w:tcW w:w="740" w:type="pct"/>
                  <w:vAlign w:val="center"/>
                </w:tcPr>
                <w:p w14:paraId="76C8B1C8">
                  <w:pPr>
                    <w:pStyle w:val="32"/>
                    <w:rPr>
                      <w:rFonts w:hint="default" w:ascii="Times New Roman" w:hAnsi="Times New Roman" w:cs="Times New Roman"/>
                      <w:color w:val="auto"/>
                    </w:rPr>
                  </w:pPr>
                  <w:r>
                    <w:rPr>
                      <w:rFonts w:hint="default" w:ascii="Times New Roman" w:hAnsi="Times New Roman" w:cs="Times New Roman"/>
                      <w:color w:val="auto"/>
                    </w:rPr>
                    <w:t>颗粒物</w:t>
                  </w:r>
                </w:p>
              </w:tc>
              <w:tc>
                <w:tcPr>
                  <w:tcW w:w="1097" w:type="pct"/>
                  <w:vAlign w:val="center"/>
                </w:tcPr>
                <w:p w14:paraId="358740B8">
                  <w:pPr>
                    <w:pStyle w:val="32"/>
                    <w:rPr>
                      <w:rFonts w:hint="default" w:ascii="Times New Roman" w:hAnsi="Times New Roman" w:cs="Times New Roman"/>
                      <w:color w:val="auto"/>
                    </w:rPr>
                  </w:pPr>
                  <w:r>
                    <w:rPr>
                      <w:rFonts w:hint="default" w:ascii="Times New Roman" w:hAnsi="Times New Roman" w:cs="Times New Roman"/>
                      <w:color w:val="auto"/>
                    </w:rPr>
                    <w:t>千克/万立方米-燃料</w:t>
                  </w:r>
                </w:p>
              </w:tc>
              <w:tc>
                <w:tcPr>
                  <w:tcW w:w="874" w:type="pct"/>
                  <w:vAlign w:val="center"/>
                </w:tcPr>
                <w:p w14:paraId="68461211">
                  <w:pPr>
                    <w:pStyle w:val="32"/>
                    <w:rPr>
                      <w:rFonts w:hint="default" w:ascii="Times New Roman" w:hAnsi="Times New Roman" w:cs="Times New Roman"/>
                      <w:color w:val="auto"/>
                    </w:rPr>
                  </w:pPr>
                  <w:r>
                    <w:rPr>
                      <w:rFonts w:hint="default" w:ascii="Times New Roman" w:hAnsi="Times New Roman" w:cs="Times New Roman"/>
                      <w:color w:val="auto"/>
                    </w:rPr>
                    <w:t>2.86</w:t>
                  </w:r>
                </w:p>
              </w:tc>
              <w:tc>
                <w:tcPr>
                  <w:tcW w:w="801" w:type="pct"/>
                  <w:vMerge w:val="restart"/>
                  <w:vAlign w:val="center"/>
                </w:tcPr>
                <w:p w14:paraId="205BBFB7">
                  <w:pPr>
                    <w:pStyle w:val="32"/>
                    <w:rPr>
                      <w:rFonts w:hint="default" w:ascii="Times New Roman" w:hAnsi="Times New Roman" w:cs="Times New Roman"/>
                      <w:color w:val="auto"/>
                    </w:rPr>
                  </w:pPr>
                  <w:r>
                    <w:rPr>
                      <w:rFonts w:hint="default" w:ascii="Times New Roman" w:hAnsi="Times New Roman" w:cs="Times New Roman"/>
                      <w:color w:val="auto"/>
                    </w:rPr>
                    <w:t>HJ953-2018《排污许可证申请与核发技术规范 锅炉》</w:t>
                  </w:r>
                </w:p>
              </w:tc>
            </w:tr>
            <w:tr w14:paraId="218D4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3" w:type="pct"/>
                  <w:vMerge w:val="continue"/>
                  <w:vAlign w:val="center"/>
                </w:tcPr>
                <w:p w14:paraId="1D55704B">
                  <w:pPr>
                    <w:pStyle w:val="32"/>
                    <w:rPr>
                      <w:rFonts w:hint="default" w:ascii="Times New Roman" w:hAnsi="Times New Roman" w:cs="Times New Roman"/>
                      <w:color w:val="auto"/>
                    </w:rPr>
                  </w:pPr>
                </w:p>
              </w:tc>
              <w:tc>
                <w:tcPr>
                  <w:tcW w:w="429" w:type="pct"/>
                  <w:vMerge w:val="continue"/>
                  <w:vAlign w:val="center"/>
                </w:tcPr>
                <w:p w14:paraId="5A4833A5">
                  <w:pPr>
                    <w:pStyle w:val="32"/>
                    <w:rPr>
                      <w:rFonts w:hint="default" w:ascii="Times New Roman" w:hAnsi="Times New Roman" w:cs="Times New Roman"/>
                      <w:color w:val="auto"/>
                    </w:rPr>
                  </w:pPr>
                </w:p>
              </w:tc>
              <w:tc>
                <w:tcPr>
                  <w:tcW w:w="624" w:type="pct"/>
                  <w:vMerge w:val="continue"/>
                  <w:vAlign w:val="center"/>
                </w:tcPr>
                <w:p w14:paraId="764F85D5">
                  <w:pPr>
                    <w:pStyle w:val="32"/>
                    <w:rPr>
                      <w:rFonts w:hint="default" w:ascii="Times New Roman" w:hAnsi="Times New Roman" w:cs="Times New Roman"/>
                      <w:color w:val="auto"/>
                    </w:rPr>
                  </w:pPr>
                </w:p>
              </w:tc>
              <w:tc>
                <w:tcPr>
                  <w:tcW w:w="740" w:type="pct"/>
                  <w:vAlign w:val="center"/>
                </w:tcPr>
                <w:p w14:paraId="7A255A78">
                  <w:pPr>
                    <w:pStyle w:val="32"/>
                    <w:rPr>
                      <w:rFonts w:hint="default" w:ascii="Times New Roman" w:hAnsi="Times New Roman" w:cs="Times New Roman"/>
                      <w:color w:val="auto"/>
                    </w:rPr>
                  </w:pPr>
                  <w:r>
                    <w:rPr>
                      <w:rFonts w:hint="default" w:ascii="Times New Roman" w:hAnsi="Times New Roman" w:cs="Times New Roman"/>
                      <w:color w:val="auto"/>
                    </w:rPr>
                    <w:t>二氧化硫</w:t>
                  </w:r>
                </w:p>
              </w:tc>
              <w:tc>
                <w:tcPr>
                  <w:tcW w:w="1097" w:type="pct"/>
                  <w:vAlign w:val="center"/>
                </w:tcPr>
                <w:p w14:paraId="7A6EC7D1">
                  <w:pPr>
                    <w:pStyle w:val="32"/>
                    <w:rPr>
                      <w:rFonts w:hint="default" w:ascii="Times New Roman" w:hAnsi="Times New Roman" w:cs="Times New Roman"/>
                      <w:color w:val="auto"/>
                    </w:rPr>
                  </w:pPr>
                  <w:r>
                    <w:rPr>
                      <w:rFonts w:hint="default" w:ascii="Times New Roman" w:hAnsi="Times New Roman" w:cs="Times New Roman"/>
                      <w:color w:val="auto"/>
                    </w:rPr>
                    <w:t>千克/万立方米-燃料</w:t>
                  </w:r>
                </w:p>
              </w:tc>
              <w:tc>
                <w:tcPr>
                  <w:tcW w:w="874" w:type="pct"/>
                  <w:vAlign w:val="center"/>
                </w:tcPr>
                <w:p w14:paraId="263EB4D2">
                  <w:pPr>
                    <w:pStyle w:val="32"/>
                    <w:rPr>
                      <w:rFonts w:hint="default" w:ascii="Times New Roman" w:hAnsi="Times New Roman" w:cs="Times New Roman"/>
                      <w:color w:val="auto"/>
                    </w:rPr>
                  </w:pPr>
                  <w:r>
                    <w:rPr>
                      <w:rFonts w:hint="default" w:ascii="Times New Roman" w:hAnsi="Times New Roman" w:cs="Times New Roman"/>
                      <w:color w:val="auto"/>
                    </w:rPr>
                    <w:t>0.02S</w:t>
                  </w:r>
                  <w:r>
                    <w:rPr>
                      <w:rFonts w:hint="default" w:ascii="Times New Roman" w:hAnsi="Times New Roman" w:cs="Times New Roman"/>
                      <w:color w:val="auto"/>
                      <w:vertAlign w:val="superscript"/>
                    </w:rPr>
                    <w:t>①</w:t>
                  </w:r>
                </w:p>
              </w:tc>
              <w:tc>
                <w:tcPr>
                  <w:tcW w:w="801" w:type="pct"/>
                  <w:vMerge w:val="continue"/>
                  <w:vAlign w:val="center"/>
                </w:tcPr>
                <w:p w14:paraId="2F4A952B">
                  <w:pPr>
                    <w:pStyle w:val="32"/>
                    <w:rPr>
                      <w:rFonts w:hint="default" w:ascii="Times New Roman" w:hAnsi="Times New Roman" w:cs="Times New Roman"/>
                      <w:color w:val="auto"/>
                    </w:rPr>
                  </w:pPr>
                </w:p>
              </w:tc>
            </w:tr>
            <w:tr w14:paraId="4D1FB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3" w:type="pct"/>
                  <w:vMerge w:val="continue"/>
                  <w:vAlign w:val="center"/>
                </w:tcPr>
                <w:p w14:paraId="4CFC4080">
                  <w:pPr>
                    <w:pStyle w:val="32"/>
                    <w:rPr>
                      <w:rFonts w:hint="default" w:ascii="Times New Roman" w:hAnsi="Times New Roman" w:cs="Times New Roman"/>
                      <w:color w:val="auto"/>
                    </w:rPr>
                  </w:pPr>
                </w:p>
              </w:tc>
              <w:tc>
                <w:tcPr>
                  <w:tcW w:w="429" w:type="pct"/>
                  <w:vMerge w:val="continue"/>
                  <w:vAlign w:val="center"/>
                </w:tcPr>
                <w:p w14:paraId="174E8FEB">
                  <w:pPr>
                    <w:pStyle w:val="32"/>
                    <w:rPr>
                      <w:rFonts w:hint="default" w:ascii="Times New Roman" w:hAnsi="Times New Roman" w:cs="Times New Roman"/>
                      <w:color w:val="auto"/>
                    </w:rPr>
                  </w:pPr>
                </w:p>
              </w:tc>
              <w:tc>
                <w:tcPr>
                  <w:tcW w:w="624" w:type="pct"/>
                  <w:vMerge w:val="continue"/>
                  <w:vAlign w:val="center"/>
                </w:tcPr>
                <w:p w14:paraId="383AE9FD">
                  <w:pPr>
                    <w:pStyle w:val="32"/>
                    <w:rPr>
                      <w:rFonts w:hint="default" w:ascii="Times New Roman" w:hAnsi="Times New Roman" w:cs="Times New Roman"/>
                      <w:color w:val="auto"/>
                    </w:rPr>
                  </w:pPr>
                </w:p>
              </w:tc>
              <w:tc>
                <w:tcPr>
                  <w:tcW w:w="740" w:type="pct"/>
                  <w:vAlign w:val="center"/>
                </w:tcPr>
                <w:p w14:paraId="5AFC09D7">
                  <w:pPr>
                    <w:pStyle w:val="32"/>
                    <w:rPr>
                      <w:rFonts w:hint="default" w:ascii="Times New Roman" w:hAnsi="Times New Roman" w:cs="Times New Roman"/>
                      <w:color w:val="auto"/>
                    </w:rPr>
                  </w:pPr>
                  <w:r>
                    <w:rPr>
                      <w:rFonts w:hint="default" w:ascii="Times New Roman" w:hAnsi="Times New Roman" w:cs="Times New Roman"/>
                      <w:color w:val="auto"/>
                    </w:rPr>
                    <w:t>氮氧化物</w:t>
                  </w:r>
                </w:p>
              </w:tc>
              <w:tc>
                <w:tcPr>
                  <w:tcW w:w="1097" w:type="pct"/>
                  <w:vAlign w:val="center"/>
                </w:tcPr>
                <w:p w14:paraId="5668813D">
                  <w:pPr>
                    <w:pStyle w:val="32"/>
                    <w:rPr>
                      <w:rFonts w:hint="default" w:ascii="Times New Roman" w:hAnsi="Times New Roman" w:cs="Times New Roman"/>
                      <w:color w:val="auto"/>
                    </w:rPr>
                  </w:pPr>
                  <w:r>
                    <w:rPr>
                      <w:rFonts w:hint="default" w:ascii="Times New Roman" w:hAnsi="Times New Roman" w:cs="Times New Roman"/>
                      <w:color w:val="auto"/>
                    </w:rPr>
                    <w:t>千克/万立方米-燃料</w:t>
                  </w:r>
                </w:p>
              </w:tc>
              <w:tc>
                <w:tcPr>
                  <w:tcW w:w="874" w:type="pct"/>
                  <w:vAlign w:val="center"/>
                </w:tcPr>
                <w:p w14:paraId="4D66CA64">
                  <w:pPr>
                    <w:pStyle w:val="32"/>
                    <w:rPr>
                      <w:rFonts w:hint="default" w:ascii="Times New Roman" w:hAnsi="Times New Roman" w:cs="Times New Roman"/>
                      <w:color w:val="auto"/>
                    </w:rPr>
                  </w:pPr>
                  <w:r>
                    <w:rPr>
                      <w:rFonts w:hint="eastAsia" w:cs="Times New Roman"/>
                      <w:color w:val="auto"/>
                      <w:lang w:val="en-US" w:eastAsia="zh-CN"/>
                    </w:rPr>
                    <w:t>9.36</w:t>
                  </w:r>
                  <w:r>
                    <w:rPr>
                      <w:rFonts w:hint="default" w:ascii="Times New Roman" w:hAnsi="Times New Roman" w:cs="Times New Roman"/>
                      <w:color w:val="auto"/>
                    </w:rPr>
                    <w:t>（低氮燃烧）</w:t>
                  </w:r>
                </w:p>
              </w:tc>
              <w:tc>
                <w:tcPr>
                  <w:tcW w:w="801" w:type="pct"/>
                  <w:vMerge w:val="continue"/>
                  <w:vAlign w:val="center"/>
                </w:tcPr>
                <w:p w14:paraId="0EDFE1F8">
                  <w:pPr>
                    <w:pStyle w:val="32"/>
                    <w:rPr>
                      <w:rFonts w:hint="default" w:ascii="Times New Roman" w:hAnsi="Times New Roman" w:cs="Times New Roman"/>
                      <w:color w:val="auto"/>
                    </w:rPr>
                  </w:pPr>
                </w:p>
              </w:tc>
            </w:tr>
            <w:tr w14:paraId="76414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3" w:type="pct"/>
                  <w:vAlign w:val="center"/>
                </w:tcPr>
                <w:p w14:paraId="302D2D45">
                  <w:pPr>
                    <w:pStyle w:val="32"/>
                    <w:rPr>
                      <w:rFonts w:hint="default" w:ascii="Times New Roman" w:hAnsi="Times New Roman" w:cs="Times New Roman"/>
                      <w:color w:val="auto"/>
                    </w:rPr>
                  </w:pPr>
                  <w:r>
                    <w:rPr>
                      <w:rFonts w:hint="default" w:ascii="Times New Roman" w:hAnsi="Times New Roman" w:cs="Times New Roman"/>
                      <w:color w:val="auto"/>
                    </w:rPr>
                    <w:t>备注</w:t>
                  </w:r>
                </w:p>
              </w:tc>
              <w:tc>
                <w:tcPr>
                  <w:tcW w:w="4566" w:type="pct"/>
                  <w:gridSpan w:val="6"/>
                  <w:vAlign w:val="center"/>
                </w:tcPr>
                <w:p w14:paraId="125531D8">
                  <w:pPr>
                    <w:pStyle w:val="32"/>
                    <w:rPr>
                      <w:rFonts w:hint="default" w:ascii="Times New Roman" w:hAnsi="Times New Roman" w:cs="Times New Roman"/>
                      <w:color w:val="auto"/>
                    </w:rPr>
                  </w:pPr>
                  <w:r>
                    <w:rPr>
                      <w:rFonts w:hint="default" w:ascii="Times New Roman" w:hAnsi="Times New Roman" w:cs="Times New Roman"/>
                      <w:color w:val="auto"/>
                    </w:rPr>
                    <w:t>①产排污系数表中二氧化硫的产排污系数是以含硫量（S）的形式表示的，其中含硫量（S）是指燃气收到基硫分含量，单位为毫克/立方米。例如燃料中含硫量（S）为200毫克/立方米，则S=200。</w:t>
                  </w:r>
                </w:p>
              </w:tc>
            </w:tr>
          </w:tbl>
          <w:p w14:paraId="569E26D9">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①燃气锅炉废气量</w:t>
            </w:r>
          </w:p>
          <w:p w14:paraId="7743BE6F">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szCs w:val="32"/>
              </w:rPr>
            </w:pPr>
            <w:r>
              <w:rPr>
                <w:rFonts w:hint="default" w:ascii="Times New Roman" w:hAnsi="Times New Roman" w:cs="Times New Roman"/>
                <w:color w:val="auto"/>
              </w:rPr>
              <w:t>参照《排放源统计调查产排污核算方法和系数手册》中4430工业锅炉（热力供应）行业系数手册可知，燃气工业锅炉的产污系数107753</w:t>
            </w:r>
            <w:r>
              <w:rPr>
                <w:rFonts w:hint="default" w:ascii="Times New Roman" w:hAnsi="Times New Roman" w:cs="Times New Roman"/>
                <w:bCs/>
                <w:color w:val="auto"/>
                <w:szCs w:val="32"/>
              </w:rPr>
              <w:t xml:space="preserve"> m</w:t>
            </w:r>
            <w:r>
              <w:rPr>
                <w:rFonts w:hint="default" w:ascii="Times New Roman" w:hAnsi="Times New Roman" w:cs="Times New Roman"/>
                <w:bCs/>
                <w:color w:val="auto"/>
                <w:szCs w:val="32"/>
                <w:vertAlign w:val="superscript"/>
              </w:rPr>
              <w:t>3</w:t>
            </w:r>
            <w:r>
              <w:rPr>
                <w:rFonts w:hint="default" w:ascii="Times New Roman" w:hAnsi="Times New Roman" w:cs="Times New Roman"/>
                <w:bCs/>
                <w:color w:val="auto"/>
                <w:szCs w:val="32"/>
              </w:rPr>
              <w:t>/万立方米-燃料进行计算，则废气量为</w:t>
            </w:r>
            <w:r>
              <w:rPr>
                <w:rFonts w:hint="eastAsia" w:cs="Times New Roman"/>
                <w:bCs/>
                <w:color w:val="auto"/>
                <w:szCs w:val="32"/>
                <w:lang w:val="en-US" w:eastAsia="zh-CN"/>
              </w:rPr>
              <w:t>413.77</w:t>
            </w:r>
            <w:r>
              <w:rPr>
                <w:rFonts w:hint="default" w:ascii="Times New Roman" w:hAnsi="Times New Roman" w:cs="Times New Roman"/>
                <w:bCs/>
                <w:color w:val="auto"/>
                <w:szCs w:val="32"/>
              </w:rPr>
              <w:t>万m</w:t>
            </w:r>
            <w:r>
              <w:rPr>
                <w:rFonts w:hint="default" w:ascii="Times New Roman" w:hAnsi="Times New Roman" w:cs="Times New Roman"/>
                <w:bCs/>
                <w:color w:val="auto"/>
                <w:szCs w:val="32"/>
                <w:vertAlign w:val="superscript"/>
              </w:rPr>
              <w:t>3</w:t>
            </w:r>
            <w:r>
              <w:rPr>
                <w:rFonts w:hint="default" w:ascii="Times New Roman" w:hAnsi="Times New Roman" w:cs="Times New Roman"/>
                <w:bCs/>
                <w:color w:val="auto"/>
                <w:szCs w:val="32"/>
              </w:rPr>
              <w:t>。</w:t>
            </w:r>
          </w:p>
          <w:p w14:paraId="50A13FF3">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②NO</w:t>
            </w:r>
            <w:r>
              <w:rPr>
                <w:rFonts w:hint="default" w:ascii="Times New Roman" w:hAnsi="Times New Roman" w:cs="Times New Roman"/>
                <w:color w:val="auto"/>
                <w:vertAlign w:val="subscript"/>
              </w:rPr>
              <w:t>X</w:t>
            </w:r>
          </w:p>
          <w:p w14:paraId="5BB92FF2">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szCs w:val="32"/>
              </w:rPr>
            </w:pPr>
            <w:r>
              <w:rPr>
                <w:rFonts w:hint="default" w:ascii="Times New Roman" w:hAnsi="Times New Roman" w:cs="Times New Roman"/>
                <w:color w:val="auto"/>
              </w:rPr>
              <w:t>根据HJ953-2018《排污许可证申请与核发技术规范 锅炉》核算系数，燃气工业锅炉</w:t>
            </w:r>
            <w:r>
              <w:rPr>
                <w:rFonts w:hint="default" w:ascii="Times New Roman" w:hAnsi="Times New Roman" w:cs="Times New Roman"/>
                <w:bCs/>
                <w:color w:val="auto"/>
                <w:szCs w:val="32"/>
              </w:rPr>
              <w:t>NO</w:t>
            </w:r>
            <w:r>
              <w:rPr>
                <w:rFonts w:hint="default" w:ascii="Times New Roman" w:hAnsi="Times New Roman" w:cs="Times New Roman"/>
                <w:bCs/>
                <w:color w:val="auto"/>
                <w:szCs w:val="32"/>
                <w:vertAlign w:val="subscript"/>
              </w:rPr>
              <w:t>X</w:t>
            </w:r>
            <w:r>
              <w:rPr>
                <w:rFonts w:hint="default" w:ascii="Times New Roman" w:hAnsi="Times New Roman" w:cs="Times New Roman"/>
                <w:bCs/>
                <w:color w:val="auto"/>
                <w:szCs w:val="32"/>
              </w:rPr>
              <w:t>的产污系数为</w:t>
            </w:r>
            <w:r>
              <w:rPr>
                <w:rFonts w:hint="eastAsia" w:cs="Times New Roman"/>
                <w:bCs/>
                <w:color w:val="auto"/>
                <w:szCs w:val="32"/>
                <w:lang w:val="en-US" w:eastAsia="zh-CN"/>
              </w:rPr>
              <w:t>9.36</w:t>
            </w:r>
            <w:r>
              <w:rPr>
                <w:rFonts w:hint="default" w:ascii="Times New Roman" w:hAnsi="Times New Roman" w:cs="Times New Roman"/>
                <w:bCs/>
                <w:color w:val="auto"/>
                <w:szCs w:val="32"/>
              </w:rPr>
              <w:t>千克/万立方米-燃料进行计算，则本项目NO</w:t>
            </w:r>
            <w:r>
              <w:rPr>
                <w:rFonts w:hint="default" w:ascii="Times New Roman" w:hAnsi="Times New Roman" w:cs="Times New Roman"/>
                <w:bCs/>
                <w:color w:val="auto"/>
                <w:szCs w:val="32"/>
                <w:vertAlign w:val="subscript"/>
              </w:rPr>
              <w:t>X</w:t>
            </w:r>
            <w:r>
              <w:rPr>
                <w:rFonts w:hint="default" w:ascii="Times New Roman" w:hAnsi="Times New Roman" w:cs="Times New Roman"/>
                <w:bCs/>
                <w:color w:val="auto"/>
                <w:szCs w:val="32"/>
              </w:rPr>
              <w:t>产生量为</w:t>
            </w:r>
            <w:r>
              <w:rPr>
                <w:rFonts w:hint="eastAsia" w:cs="Times New Roman"/>
                <w:bCs/>
                <w:color w:val="auto"/>
                <w:szCs w:val="32"/>
                <w:lang w:val="en-US" w:eastAsia="zh-CN"/>
              </w:rPr>
              <w:t>0.3594</w:t>
            </w:r>
            <w:r>
              <w:rPr>
                <w:rFonts w:hint="default" w:ascii="Times New Roman" w:hAnsi="Times New Roman" w:cs="Times New Roman"/>
                <w:bCs/>
                <w:color w:val="auto"/>
                <w:szCs w:val="32"/>
              </w:rPr>
              <w:t>t/a。</w:t>
            </w:r>
          </w:p>
          <w:p w14:paraId="322F4897">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③</w:t>
            </w:r>
            <w:r>
              <w:rPr>
                <w:rFonts w:hint="default" w:ascii="Times New Roman" w:hAnsi="Times New Roman" w:cs="Times New Roman"/>
                <w:bCs/>
                <w:color w:val="auto"/>
                <w:szCs w:val="32"/>
              </w:rPr>
              <w:t>SO</w:t>
            </w:r>
            <w:r>
              <w:rPr>
                <w:rFonts w:hint="default" w:ascii="Times New Roman" w:hAnsi="Times New Roman" w:cs="Times New Roman"/>
                <w:bCs/>
                <w:color w:val="auto"/>
                <w:szCs w:val="32"/>
                <w:vertAlign w:val="subscript"/>
              </w:rPr>
              <w:t>2</w:t>
            </w:r>
          </w:p>
          <w:p w14:paraId="69E8C451">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szCs w:val="32"/>
              </w:rPr>
            </w:pPr>
            <w:r>
              <w:rPr>
                <w:rFonts w:hint="default" w:ascii="Times New Roman" w:hAnsi="Times New Roman" w:cs="Times New Roman"/>
                <w:color w:val="auto"/>
              </w:rPr>
              <w:t>根据HJ953-2018《排污许可证申请与核发技术规范 锅炉》核算系数，</w:t>
            </w:r>
            <w:r>
              <w:rPr>
                <w:rFonts w:hint="default" w:ascii="Times New Roman" w:hAnsi="Times New Roman" w:cs="Times New Roman"/>
                <w:bCs/>
                <w:color w:val="auto"/>
                <w:szCs w:val="32"/>
              </w:rPr>
              <w:t>则本项目SO</w:t>
            </w:r>
            <w:r>
              <w:rPr>
                <w:rFonts w:hint="default" w:ascii="Times New Roman" w:hAnsi="Times New Roman" w:cs="Times New Roman"/>
                <w:bCs/>
                <w:color w:val="auto"/>
                <w:szCs w:val="32"/>
                <w:vertAlign w:val="subscript"/>
              </w:rPr>
              <w:t>2</w:t>
            </w:r>
            <w:r>
              <w:rPr>
                <w:rFonts w:hint="default" w:ascii="Times New Roman" w:hAnsi="Times New Roman" w:cs="Times New Roman"/>
                <w:bCs/>
                <w:color w:val="auto"/>
                <w:szCs w:val="32"/>
              </w:rPr>
              <w:t>产生量为</w:t>
            </w:r>
            <w:r>
              <w:rPr>
                <w:rFonts w:hint="eastAsia" w:cs="Times New Roman"/>
                <w:bCs/>
                <w:color w:val="auto"/>
                <w:szCs w:val="32"/>
                <w:lang w:val="en-US" w:eastAsia="zh-CN"/>
              </w:rPr>
              <w:t>0.1536</w:t>
            </w:r>
            <w:r>
              <w:rPr>
                <w:rFonts w:hint="default" w:ascii="Times New Roman" w:hAnsi="Times New Roman" w:cs="Times New Roman"/>
                <w:bCs/>
                <w:color w:val="auto"/>
                <w:szCs w:val="32"/>
              </w:rPr>
              <w:t>t/a。</w:t>
            </w:r>
          </w:p>
          <w:p w14:paraId="77FD4B89">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③颗粒物</w:t>
            </w:r>
          </w:p>
          <w:p w14:paraId="6F2F87D3">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szCs w:val="32"/>
              </w:rPr>
            </w:pPr>
            <w:r>
              <w:rPr>
                <w:rFonts w:hint="default" w:ascii="Times New Roman" w:hAnsi="Times New Roman" w:cs="Times New Roman"/>
                <w:color w:val="auto"/>
              </w:rPr>
              <w:t>根据HJ953-2018《排污许可证申请与核发技术规范 锅炉》核算系数，燃气工业锅炉</w:t>
            </w:r>
            <w:r>
              <w:rPr>
                <w:rFonts w:hint="default" w:ascii="Times New Roman" w:hAnsi="Times New Roman" w:cs="Times New Roman"/>
                <w:bCs/>
                <w:color w:val="auto"/>
                <w:szCs w:val="32"/>
              </w:rPr>
              <w:t>颗粒物的产污系数为2.86千克/万立方米-燃料进行计算，则本项目颗粒物产生量为</w:t>
            </w:r>
            <w:r>
              <w:rPr>
                <w:rFonts w:hint="eastAsia" w:cs="Times New Roman"/>
                <w:bCs/>
                <w:color w:val="auto"/>
                <w:szCs w:val="32"/>
                <w:lang w:val="en-US" w:eastAsia="zh-CN"/>
              </w:rPr>
              <w:t>0.1098</w:t>
            </w:r>
            <w:r>
              <w:rPr>
                <w:rFonts w:hint="default" w:ascii="Times New Roman" w:hAnsi="Times New Roman" w:cs="Times New Roman"/>
                <w:bCs/>
                <w:color w:val="auto"/>
                <w:szCs w:val="32"/>
              </w:rPr>
              <w:t>t/a。</w:t>
            </w:r>
          </w:p>
          <w:p w14:paraId="5D46C981">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本项目锅炉每天运行6h，年生产工作日为</w:t>
            </w:r>
            <w:r>
              <w:rPr>
                <w:rFonts w:hint="eastAsia" w:cs="Times New Roman"/>
                <w:color w:val="auto"/>
                <w:lang w:val="en-US" w:eastAsia="zh-CN"/>
              </w:rPr>
              <w:t>200</w:t>
            </w:r>
            <w:r>
              <w:rPr>
                <w:rFonts w:hint="default" w:ascii="Times New Roman" w:hAnsi="Times New Roman" w:cs="Times New Roman"/>
                <w:color w:val="auto"/>
              </w:rPr>
              <w:t>天，因此锅炉运行时长为</w:t>
            </w:r>
            <w:r>
              <w:rPr>
                <w:rFonts w:hint="eastAsia" w:cs="Times New Roman"/>
                <w:color w:val="auto"/>
                <w:lang w:val="en-US" w:eastAsia="zh-CN"/>
              </w:rPr>
              <w:t>1200</w:t>
            </w:r>
            <w:r>
              <w:rPr>
                <w:rFonts w:hint="default" w:ascii="Times New Roman" w:hAnsi="Times New Roman" w:cs="Times New Roman"/>
                <w:color w:val="auto"/>
              </w:rPr>
              <w:t>h。项目废气排放口配套1个引风机，风量为</w:t>
            </w:r>
            <w:r>
              <w:rPr>
                <w:rFonts w:hint="eastAsia" w:ascii="Times New Roman" w:hAnsi="Times New Roman" w:cs="Times New Roman"/>
                <w:color w:val="auto"/>
                <w:lang w:val="en-US" w:eastAsia="zh-CN"/>
              </w:rPr>
              <w:t>5</w:t>
            </w:r>
            <w:r>
              <w:rPr>
                <w:rFonts w:hint="default" w:ascii="Times New Roman" w:hAnsi="Times New Roman" w:cs="Times New Roman"/>
                <w:color w:val="auto"/>
              </w:rPr>
              <w:t>000m</w:t>
            </w:r>
            <w:r>
              <w:rPr>
                <w:rFonts w:hint="default" w:ascii="Times New Roman" w:hAnsi="Times New Roman" w:cs="Times New Roman"/>
                <w:color w:val="auto"/>
                <w:vertAlign w:val="superscript"/>
              </w:rPr>
              <w:t>3</w:t>
            </w:r>
            <w:r>
              <w:rPr>
                <w:rFonts w:hint="default" w:ascii="Times New Roman" w:hAnsi="Times New Roman" w:cs="Times New Roman"/>
                <w:color w:val="auto"/>
              </w:rPr>
              <w:t>/h。项目锅炉燃烧废气经管道收集引入8m高排气筒排放根据产污系数计算，本项目锅炉废气产排情况详见</w:t>
            </w:r>
            <w:r>
              <w:rPr>
                <w:rFonts w:hint="eastAsia" w:cs="Times New Roman"/>
                <w:color w:val="auto"/>
                <w:lang w:eastAsia="zh-CN"/>
              </w:rPr>
              <w:t>表</w:t>
            </w:r>
            <w:r>
              <w:rPr>
                <w:rFonts w:hint="eastAsia" w:cs="Times New Roman"/>
                <w:color w:val="auto"/>
                <w:lang w:val="en-US" w:eastAsia="zh-CN"/>
              </w:rPr>
              <w:t>4.2-2</w:t>
            </w:r>
            <w:r>
              <w:rPr>
                <w:rFonts w:hint="default" w:ascii="Times New Roman" w:hAnsi="Times New Roman" w:cs="Times New Roman"/>
                <w:color w:val="auto"/>
              </w:rPr>
              <w:t>。</w:t>
            </w:r>
          </w:p>
          <w:p w14:paraId="6B378469">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表4.2-2  项目燃气锅炉废气污染物产生情况及排放情况一览表</w:t>
            </w:r>
          </w:p>
          <w:tbl>
            <w:tblPr>
              <w:tblStyle w:val="21"/>
              <w:tblW w:w="496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7"/>
              <w:gridCol w:w="885"/>
              <w:gridCol w:w="735"/>
              <w:gridCol w:w="1185"/>
              <w:gridCol w:w="1185"/>
              <w:gridCol w:w="1050"/>
              <w:gridCol w:w="1035"/>
              <w:gridCol w:w="1161"/>
            </w:tblGrid>
            <w:tr w14:paraId="1C19B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0" w:type="pct"/>
                  <w:noWrap w:val="0"/>
                  <w:tcMar>
                    <w:left w:w="0" w:type="dxa"/>
                    <w:right w:w="0" w:type="dxa"/>
                  </w:tcMar>
                  <w:vAlign w:val="center"/>
                </w:tcPr>
                <w:p w14:paraId="064B5D77">
                  <w:pPr>
                    <w:pStyle w:val="32"/>
                    <w:rPr>
                      <w:rFonts w:hint="default" w:ascii="Times New Roman" w:hAnsi="Times New Roman" w:cs="Times New Roman"/>
                      <w:color w:val="auto"/>
                    </w:rPr>
                  </w:pPr>
                  <w:r>
                    <w:rPr>
                      <w:rFonts w:hint="default" w:ascii="Times New Roman" w:hAnsi="Times New Roman" w:cs="Times New Roman"/>
                      <w:color w:val="auto"/>
                    </w:rPr>
                    <w:t>污染物</w:t>
                  </w:r>
                </w:p>
                <w:p w14:paraId="6E5E9070">
                  <w:pPr>
                    <w:pStyle w:val="32"/>
                    <w:rPr>
                      <w:rFonts w:hint="default" w:ascii="Times New Roman" w:hAnsi="Times New Roman" w:cs="Times New Roman"/>
                      <w:color w:val="auto"/>
                    </w:rPr>
                  </w:pPr>
                  <w:r>
                    <w:rPr>
                      <w:rFonts w:hint="default" w:ascii="Times New Roman" w:hAnsi="Times New Roman" w:cs="Times New Roman"/>
                      <w:color w:val="auto"/>
                    </w:rPr>
                    <w:t>来源</w:t>
                  </w:r>
                </w:p>
              </w:tc>
              <w:tc>
                <w:tcPr>
                  <w:tcW w:w="561" w:type="pct"/>
                  <w:noWrap w:val="0"/>
                  <w:tcMar>
                    <w:left w:w="0" w:type="dxa"/>
                    <w:right w:w="0" w:type="dxa"/>
                  </w:tcMar>
                  <w:vAlign w:val="center"/>
                </w:tcPr>
                <w:p w14:paraId="2D3366D6">
                  <w:pPr>
                    <w:pStyle w:val="32"/>
                    <w:rPr>
                      <w:rFonts w:hint="default" w:ascii="Times New Roman" w:hAnsi="Times New Roman" w:cs="Times New Roman"/>
                      <w:color w:val="auto"/>
                    </w:rPr>
                  </w:pPr>
                  <w:r>
                    <w:rPr>
                      <w:rFonts w:hint="default" w:ascii="Times New Roman" w:hAnsi="Times New Roman" w:cs="Times New Roman"/>
                      <w:color w:val="auto"/>
                    </w:rPr>
                    <w:t>污染物</w:t>
                  </w:r>
                </w:p>
              </w:tc>
              <w:tc>
                <w:tcPr>
                  <w:tcW w:w="466" w:type="pct"/>
                  <w:noWrap w:val="0"/>
                  <w:tcMar>
                    <w:left w:w="0" w:type="dxa"/>
                    <w:right w:w="0" w:type="dxa"/>
                  </w:tcMar>
                  <w:vAlign w:val="center"/>
                </w:tcPr>
                <w:p w14:paraId="0C7B5F41">
                  <w:pPr>
                    <w:pStyle w:val="32"/>
                    <w:rPr>
                      <w:rFonts w:hint="default" w:ascii="Times New Roman" w:hAnsi="Times New Roman" w:cs="Times New Roman"/>
                      <w:color w:val="auto"/>
                    </w:rPr>
                  </w:pPr>
                  <w:r>
                    <w:rPr>
                      <w:rFonts w:hint="default" w:ascii="Times New Roman" w:hAnsi="Times New Roman" w:cs="Times New Roman"/>
                      <w:color w:val="auto"/>
                    </w:rPr>
                    <w:t>天然气</w:t>
                  </w:r>
                </w:p>
                <w:p w14:paraId="3D132803">
                  <w:pPr>
                    <w:pStyle w:val="32"/>
                    <w:rPr>
                      <w:rFonts w:hint="default" w:ascii="Times New Roman" w:hAnsi="Times New Roman" w:cs="Times New Roman"/>
                      <w:color w:val="auto"/>
                    </w:rPr>
                  </w:pPr>
                  <w:r>
                    <w:rPr>
                      <w:rFonts w:hint="default" w:ascii="Times New Roman" w:hAnsi="Times New Roman" w:cs="Times New Roman"/>
                      <w:color w:val="auto"/>
                    </w:rPr>
                    <w:t>年用量</w:t>
                  </w:r>
                </w:p>
              </w:tc>
              <w:tc>
                <w:tcPr>
                  <w:tcW w:w="751" w:type="pct"/>
                  <w:noWrap w:val="0"/>
                  <w:tcMar>
                    <w:left w:w="0" w:type="dxa"/>
                    <w:right w:w="0" w:type="dxa"/>
                  </w:tcMar>
                  <w:vAlign w:val="center"/>
                </w:tcPr>
                <w:p w14:paraId="33539130">
                  <w:pPr>
                    <w:pStyle w:val="32"/>
                    <w:rPr>
                      <w:rFonts w:hint="default" w:ascii="Times New Roman" w:hAnsi="Times New Roman" w:cs="Times New Roman"/>
                      <w:color w:val="auto"/>
                    </w:rPr>
                  </w:pPr>
                  <w:r>
                    <w:rPr>
                      <w:rFonts w:hint="default" w:ascii="Times New Roman" w:hAnsi="Times New Roman" w:cs="Times New Roman"/>
                      <w:color w:val="auto"/>
                    </w:rPr>
                    <w:t>产生量</w:t>
                  </w:r>
                </w:p>
              </w:tc>
              <w:tc>
                <w:tcPr>
                  <w:tcW w:w="751" w:type="pct"/>
                  <w:noWrap w:val="0"/>
                  <w:tcMar>
                    <w:left w:w="0" w:type="dxa"/>
                    <w:right w:w="0" w:type="dxa"/>
                  </w:tcMar>
                  <w:vAlign w:val="center"/>
                </w:tcPr>
                <w:p w14:paraId="76D990B5">
                  <w:pPr>
                    <w:pStyle w:val="32"/>
                    <w:rPr>
                      <w:rFonts w:hint="eastAsia" w:ascii="Times New Roman" w:hAnsi="Times New Roman" w:eastAsia="宋体" w:cs="Times New Roman"/>
                      <w:color w:val="auto"/>
                      <w:lang w:eastAsia="zh-CN"/>
                    </w:rPr>
                  </w:pPr>
                  <w:r>
                    <w:rPr>
                      <w:rFonts w:hint="eastAsia" w:cs="Times New Roman"/>
                      <w:color w:val="auto"/>
                      <w:lang w:eastAsia="zh-CN"/>
                    </w:rPr>
                    <w:t>排放量</w:t>
                  </w:r>
                </w:p>
              </w:tc>
              <w:tc>
                <w:tcPr>
                  <w:tcW w:w="665" w:type="pct"/>
                  <w:noWrap w:val="0"/>
                  <w:tcMar>
                    <w:left w:w="0" w:type="dxa"/>
                    <w:right w:w="0" w:type="dxa"/>
                  </w:tcMar>
                  <w:vAlign w:val="center"/>
                </w:tcPr>
                <w:p w14:paraId="491B366C">
                  <w:pPr>
                    <w:pStyle w:val="32"/>
                    <w:rPr>
                      <w:rFonts w:hint="default" w:ascii="Times New Roman" w:hAnsi="Times New Roman" w:cs="Times New Roman"/>
                      <w:color w:val="auto"/>
                    </w:rPr>
                  </w:pPr>
                  <w:r>
                    <w:rPr>
                      <w:rFonts w:hint="eastAsia" w:cs="Times New Roman"/>
                      <w:color w:val="auto"/>
                      <w:lang w:eastAsia="zh-CN"/>
                    </w:rPr>
                    <w:t>排放</w:t>
                  </w:r>
                  <w:r>
                    <w:rPr>
                      <w:rFonts w:hint="default" w:ascii="Times New Roman" w:hAnsi="Times New Roman" w:cs="Times New Roman"/>
                      <w:color w:val="auto"/>
                    </w:rPr>
                    <w:t>速率</w:t>
                  </w:r>
                </w:p>
                <w:p w14:paraId="09FFF651">
                  <w:pPr>
                    <w:pStyle w:val="32"/>
                    <w:rPr>
                      <w:rFonts w:hint="default" w:ascii="Times New Roman" w:hAnsi="Times New Roman" w:cs="Times New Roman"/>
                      <w:color w:val="auto"/>
                    </w:rPr>
                  </w:pPr>
                  <w:r>
                    <w:rPr>
                      <w:rFonts w:hint="default" w:ascii="Times New Roman" w:hAnsi="Times New Roman" w:cs="Times New Roman"/>
                      <w:color w:val="auto"/>
                    </w:rPr>
                    <w:t>(kg/h)</w:t>
                  </w:r>
                </w:p>
              </w:tc>
              <w:tc>
                <w:tcPr>
                  <w:tcW w:w="656" w:type="pct"/>
                  <w:noWrap w:val="0"/>
                  <w:tcMar>
                    <w:left w:w="0" w:type="dxa"/>
                    <w:right w:w="0" w:type="dxa"/>
                  </w:tcMar>
                  <w:vAlign w:val="center"/>
                </w:tcPr>
                <w:p w14:paraId="68C69630">
                  <w:pPr>
                    <w:pStyle w:val="32"/>
                    <w:rPr>
                      <w:rFonts w:hint="default" w:ascii="Times New Roman" w:hAnsi="Times New Roman" w:cs="Times New Roman"/>
                      <w:color w:val="auto"/>
                    </w:rPr>
                  </w:pPr>
                  <w:r>
                    <w:rPr>
                      <w:rFonts w:hint="eastAsia" w:cs="Times New Roman"/>
                      <w:color w:val="auto"/>
                      <w:lang w:eastAsia="zh-CN"/>
                    </w:rPr>
                    <w:t>排放</w:t>
                  </w:r>
                  <w:r>
                    <w:rPr>
                      <w:rFonts w:hint="default" w:ascii="Times New Roman" w:hAnsi="Times New Roman" w:cs="Times New Roman"/>
                      <w:color w:val="auto"/>
                    </w:rPr>
                    <w:t>浓度(mg/m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736" w:type="pct"/>
                  <w:noWrap w:val="0"/>
                  <w:tcMar>
                    <w:left w:w="0" w:type="dxa"/>
                    <w:right w:w="0" w:type="dxa"/>
                  </w:tcMar>
                  <w:vAlign w:val="center"/>
                </w:tcPr>
                <w:p w14:paraId="7CD403D9">
                  <w:pPr>
                    <w:pStyle w:val="32"/>
                    <w:rPr>
                      <w:rFonts w:hint="default" w:ascii="Times New Roman" w:hAnsi="Times New Roman" w:cs="Times New Roman"/>
                      <w:color w:val="auto"/>
                    </w:rPr>
                  </w:pPr>
                  <w:r>
                    <w:rPr>
                      <w:rFonts w:hint="default" w:ascii="Times New Roman" w:hAnsi="Times New Roman" w:cs="Times New Roman"/>
                      <w:color w:val="auto"/>
                    </w:rPr>
                    <w:t>允许排放浓</w:t>
                  </w:r>
                  <w:r>
                    <w:rPr>
                      <w:rFonts w:hint="eastAsia" w:ascii="Times New Roman" w:hAnsi="Times New Roman" w:cs="Times New Roman"/>
                      <w:color w:val="auto"/>
                      <w:lang w:eastAsia="zh-CN"/>
                    </w:rPr>
                    <w:t>度</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r>
            <w:tr w14:paraId="4FDE0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0" w:type="pct"/>
                  <w:vMerge w:val="restart"/>
                  <w:noWrap w:val="0"/>
                  <w:vAlign w:val="center"/>
                </w:tcPr>
                <w:p w14:paraId="02CF915A">
                  <w:pPr>
                    <w:pStyle w:val="32"/>
                    <w:rPr>
                      <w:rFonts w:hint="default" w:ascii="Times New Roman" w:hAnsi="Times New Roman" w:cs="Times New Roman"/>
                      <w:color w:val="auto"/>
                    </w:rPr>
                  </w:pPr>
                  <w:r>
                    <w:rPr>
                      <w:rFonts w:hint="eastAsia" w:ascii="Times New Roman" w:hAnsi="Times New Roman" w:cs="Times New Roman"/>
                      <w:color w:val="auto"/>
                    </w:rPr>
                    <w:t>天</w:t>
                  </w:r>
                </w:p>
                <w:p w14:paraId="472C76CC">
                  <w:pPr>
                    <w:pStyle w:val="32"/>
                    <w:rPr>
                      <w:rFonts w:hint="default" w:ascii="Times New Roman" w:hAnsi="Times New Roman" w:cs="Times New Roman"/>
                      <w:color w:val="auto"/>
                    </w:rPr>
                  </w:pPr>
                  <w:r>
                    <w:rPr>
                      <w:rFonts w:hint="eastAsia" w:ascii="Times New Roman" w:hAnsi="Times New Roman" w:cs="Times New Roman"/>
                      <w:color w:val="auto"/>
                    </w:rPr>
                    <w:t>然</w:t>
                  </w:r>
                </w:p>
                <w:p w14:paraId="18B22EBB">
                  <w:pPr>
                    <w:pStyle w:val="32"/>
                    <w:rPr>
                      <w:rFonts w:hint="default" w:ascii="Times New Roman" w:hAnsi="Times New Roman" w:cs="Times New Roman"/>
                      <w:color w:val="auto"/>
                    </w:rPr>
                  </w:pPr>
                  <w:r>
                    <w:rPr>
                      <w:rFonts w:hint="eastAsia" w:ascii="Times New Roman" w:hAnsi="Times New Roman" w:cs="Times New Roman"/>
                      <w:color w:val="auto"/>
                    </w:rPr>
                    <w:t>气</w:t>
                  </w:r>
                </w:p>
              </w:tc>
              <w:tc>
                <w:tcPr>
                  <w:tcW w:w="561" w:type="pct"/>
                  <w:noWrap w:val="0"/>
                  <w:vAlign w:val="center"/>
                </w:tcPr>
                <w:p w14:paraId="5F4BC4D1">
                  <w:pPr>
                    <w:pStyle w:val="32"/>
                    <w:rPr>
                      <w:rFonts w:hint="default" w:ascii="Times New Roman" w:hAnsi="Times New Roman" w:cs="Times New Roman"/>
                      <w:color w:val="auto"/>
                    </w:rPr>
                  </w:pPr>
                  <w:r>
                    <w:rPr>
                      <w:rFonts w:hint="eastAsia" w:ascii="Times New Roman" w:hAnsi="Times New Roman" w:cs="Times New Roman"/>
                      <w:color w:val="auto"/>
                    </w:rPr>
                    <w:t>废气量</w:t>
                  </w:r>
                </w:p>
              </w:tc>
              <w:tc>
                <w:tcPr>
                  <w:tcW w:w="466" w:type="pct"/>
                  <w:vMerge w:val="restart"/>
                  <w:noWrap w:val="0"/>
                  <w:vAlign w:val="center"/>
                </w:tcPr>
                <w:p w14:paraId="3A3643D4">
                  <w:pPr>
                    <w:pStyle w:val="32"/>
                    <w:rPr>
                      <w:rFonts w:hint="default" w:ascii="Times New Roman" w:hAnsi="Times New Roman" w:cs="Times New Roman"/>
                      <w:color w:val="auto"/>
                    </w:rPr>
                  </w:pPr>
                  <w:r>
                    <w:rPr>
                      <w:rFonts w:hint="eastAsia" w:ascii="Times New Roman" w:hAnsi="Times New Roman" w:cs="Times New Roman"/>
                      <w:color w:val="auto"/>
                      <w:lang w:val="en-US" w:eastAsia="zh-CN"/>
                    </w:rPr>
                    <w:t>38.4</w:t>
                  </w:r>
                  <w:r>
                    <w:rPr>
                      <w:rFonts w:hint="default" w:ascii="Times New Roman" w:hAnsi="Times New Roman" w:cs="Times New Roman"/>
                      <w:color w:val="auto"/>
                    </w:rPr>
                    <w:t>万m3/a</w:t>
                  </w:r>
                </w:p>
              </w:tc>
              <w:tc>
                <w:tcPr>
                  <w:tcW w:w="751" w:type="pct"/>
                  <w:noWrap w:val="0"/>
                  <w:vAlign w:val="center"/>
                </w:tcPr>
                <w:p w14:paraId="411D2781">
                  <w:pPr>
                    <w:pStyle w:val="32"/>
                    <w:rPr>
                      <w:rFonts w:hint="default" w:ascii="Times New Roman" w:hAnsi="Times New Roman" w:cs="Times New Roman"/>
                      <w:color w:val="auto"/>
                    </w:rPr>
                  </w:pPr>
                  <w:r>
                    <w:rPr>
                      <w:rFonts w:hint="eastAsia" w:cs="Times New Roman"/>
                      <w:bCs/>
                      <w:color w:val="auto"/>
                      <w:szCs w:val="32"/>
                      <w:lang w:val="en-US" w:eastAsia="zh-CN"/>
                    </w:rPr>
                    <w:t>413.77</w:t>
                  </w:r>
                  <w:r>
                    <w:rPr>
                      <w:rFonts w:hint="eastAsia" w:ascii="Times New Roman" w:hAnsi="Times New Roman" w:cs="Times New Roman"/>
                      <w:color w:val="auto"/>
                      <w:lang w:val="en-US" w:eastAsia="zh-CN"/>
                    </w:rPr>
                    <w:t>万</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/a</w:t>
                  </w:r>
                </w:p>
              </w:tc>
              <w:tc>
                <w:tcPr>
                  <w:tcW w:w="751" w:type="pct"/>
                  <w:noWrap w:val="0"/>
                  <w:vAlign w:val="center"/>
                </w:tcPr>
                <w:p w14:paraId="5679FDC3">
                  <w:pPr>
                    <w:pStyle w:val="32"/>
                    <w:ind w:firstLine="0" w:firstLineChars="0"/>
                    <w:rPr>
                      <w:rFonts w:hint="eastAsia" w:ascii="Times New Roman" w:hAnsi="Times New Roman" w:eastAsia="宋体" w:cs="Times New Roman"/>
                      <w:color w:val="auto"/>
                      <w:kern w:val="2"/>
                      <w:sz w:val="21"/>
                      <w:szCs w:val="24"/>
                      <w:lang w:val="en-US" w:eastAsia="zh-CN" w:bidi="ar-SA"/>
                    </w:rPr>
                  </w:pPr>
                  <w:r>
                    <w:rPr>
                      <w:rFonts w:hint="eastAsia" w:cs="Times New Roman"/>
                      <w:bCs/>
                      <w:color w:val="auto"/>
                      <w:szCs w:val="32"/>
                      <w:lang w:val="en-US" w:eastAsia="zh-CN"/>
                    </w:rPr>
                    <w:t>413.77</w:t>
                  </w:r>
                  <w:r>
                    <w:rPr>
                      <w:rFonts w:hint="eastAsia" w:ascii="Times New Roman" w:hAnsi="Times New Roman" w:cs="Times New Roman"/>
                      <w:color w:val="auto"/>
                      <w:lang w:val="en-US" w:eastAsia="zh-CN"/>
                    </w:rPr>
                    <w:t>万</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/a</w:t>
                  </w:r>
                </w:p>
              </w:tc>
              <w:tc>
                <w:tcPr>
                  <w:tcW w:w="665" w:type="pct"/>
                  <w:noWrap w:val="0"/>
                  <w:vAlign w:val="center"/>
                </w:tcPr>
                <w:p w14:paraId="13704D57">
                  <w:pPr>
                    <w:pStyle w:val="32"/>
                    <w:rPr>
                      <w:rFonts w:hint="default" w:ascii="Times New Roman" w:hAnsi="Times New Roman" w:cs="Times New Roman"/>
                      <w:color w:val="auto"/>
                    </w:rPr>
                  </w:pPr>
                  <w:r>
                    <w:rPr>
                      <w:rFonts w:hint="default" w:ascii="Times New Roman" w:hAnsi="Times New Roman" w:cs="Times New Roman"/>
                      <w:color w:val="auto"/>
                    </w:rPr>
                    <w:t>/</w:t>
                  </w:r>
                </w:p>
              </w:tc>
              <w:tc>
                <w:tcPr>
                  <w:tcW w:w="656" w:type="pct"/>
                  <w:noWrap w:val="0"/>
                  <w:vAlign w:val="center"/>
                </w:tcPr>
                <w:p w14:paraId="2C3E1F0E">
                  <w:pPr>
                    <w:pStyle w:val="32"/>
                    <w:rPr>
                      <w:rFonts w:hint="default" w:ascii="Times New Roman" w:hAnsi="Times New Roman" w:cs="Times New Roman"/>
                      <w:color w:val="auto"/>
                    </w:rPr>
                  </w:pPr>
                  <w:r>
                    <w:rPr>
                      <w:rFonts w:hint="default" w:ascii="Times New Roman" w:hAnsi="Times New Roman" w:cs="Times New Roman"/>
                      <w:color w:val="auto"/>
                    </w:rPr>
                    <w:t>/</w:t>
                  </w:r>
                </w:p>
              </w:tc>
              <w:tc>
                <w:tcPr>
                  <w:tcW w:w="736" w:type="pct"/>
                  <w:noWrap w:val="0"/>
                  <w:vAlign w:val="center"/>
                </w:tcPr>
                <w:p w14:paraId="3EE67ED1">
                  <w:pPr>
                    <w:pStyle w:val="32"/>
                    <w:rPr>
                      <w:rFonts w:hint="default" w:ascii="Times New Roman" w:hAnsi="Times New Roman" w:cs="Times New Roman"/>
                      <w:color w:val="auto"/>
                    </w:rPr>
                  </w:pPr>
                  <w:r>
                    <w:rPr>
                      <w:rFonts w:hint="default" w:ascii="Times New Roman" w:hAnsi="Times New Roman" w:cs="Times New Roman"/>
                      <w:color w:val="auto"/>
                    </w:rPr>
                    <w:t>/</w:t>
                  </w:r>
                </w:p>
              </w:tc>
            </w:tr>
            <w:tr w14:paraId="5E494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0" w:type="pct"/>
                  <w:vMerge w:val="continue"/>
                  <w:noWrap w:val="0"/>
                  <w:vAlign w:val="center"/>
                </w:tcPr>
                <w:p w14:paraId="5421A7F6">
                  <w:pPr>
                    <w:pStyle w:val="32"/>
                    <w:rPr>
                      <w:rFonts w:hint="default" w:ascii="Times New Roman" w:hAnsi="Times New Roman" w:cs="Times New Roman"/>
                      <w:color w:val="auto"/>
                    </w:rPr>
                  </w:pPr>
                </w:p>
              </w:tc>
              <w:tc>
                <w:tcPr>
                  <w:tcW w:w="561" w:type="pct"/>
                  <w:noWrap w:val="0"/>
                  <w:vAlign w:val="center"/>
                </w:tcPr>
                <w:p w14:paraId="52EFF15B">
                  <w:pPr>
                    <w:pStyle w:val="32"/>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466" w:type="pct"/>
                  <w:vMerge w:val="continue"/>
                  <w:noWrap w:val="0"/>
                  <w:vAlign w:val="center"/>
                </w:tcPr>
                <w:p w14:paraId="4C7A4CDF">
                  <w:pPr>
                    <w:pStyle w:val="32"/>
                    <w:rPr>
                      <w:rFonts w:hint="default" w:ascii="Times New Roman" w:hAnsi="Times New Roman" w:cs="Times New Roman"/>
                      <w:color w:val="auto"/>
                    </w:rPr>
                  </w:pPr>
                </w:p>
              </w:tc>
              <w:tc>
                <w:tcPr>
                  <w:tcW w:w="751" w:type="pct"/>
                  <w:noWrap w:val="0"/>
                  <w:vAlign w:val="center"/>
                </w:tcPr>
                <w:p w14:paraId="7C8A34E7">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0.1536</w:t>
                  </w:r>
                  <w:r>
                    <w:rPr>
                      <w:rFonts w:hint="default" w:ascii="Times New Roman" w:hAnsi="Times New Roman" w:cs="Times New Roman"/>
                      <w:color w:val="auto"/>
                    </w:rPr>
                    <w:t>t/a</w:t>
                  </w:r>
                </w:p>
              </w:tc>
              <w:tc>
                <w:tcPr>
                  <w:tcW w:w="751" w:type="pct"/>
                  <w:noWrap w:val="0"/>
                  <w:vAlign w:val="center"/>
                </w:tcPr>
                <w:p w14:paraId="41EC36EC">
                  <w:pPr>
                    <w:pStyle w:val="32"/>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lang w:val="en-US" w:eastAsia="zh-CN"/>
                    </w:rPr>
                    <w:t>0.1536</w:t>
                  </w:r>
                  <w:r>
                    <w:rPr>
                      <w:rFonts w:hint="default" w:ascii="Times New Roman" w:hAnsi="Times New Roman" w:cs="Times New Roman"/>
                      <w:color w:val="auto"/>
                    </w:rPr>
                    <w:t>t/a</w:t>
                  </w:r>
                </w:p>
              </w:tc>
              <w:tc>
                <w:tcPr>
                  <w:tcW w:w="665" w:type="pct"/>
                  <w:noWrap w:val="0"/>
                  <w:vAlign w:val="center"/>
                </w:tcPr>
                <w:p w14:paraId="24EE5A6E">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0.128</w:t>
                  </w:r>
                </w:p>
              </w:tc>
              <w:tc>
                <w:tcPr>
                  <w:tcW w:w="656" w:type="pct"/>
                  <w:noWrap w:val="0"/>
                  <w:vAlign w:val="center"/>
                </w:tcPr>
                <w:p w14:paraId="11FEEECC">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25.6</w:t>
                  </w:r>
                </w:p>
              </w:tc>
              <w:tc>
                <w:tcPr>
                  <w:tcW w:w="736" w:type="pct"/>
                  <w:noWrap w:val="0"/>
                  <w:vAlign w:val="center"/>
                </w:tcPr>
                <w:p w14:paraId="736B4C9F">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50</w:t>
                  </w:r>
                </w:p>
              </w:tc>
            </w:tr>
            <w:tr w14:paraId="43FBDA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0" w:type="pct"/>
                  <w:vMerge w:val="continue"/>
                  <w:noWrap w:val="0"/>
                  <w:vAlign w:val="center"/>
                </w:tcPr>
                <w:p w14:paraId="6E25BE85">
                  <w:pPr>
                    <w:pStyle w:val="32"/>
                    <w:rPr>
                      <w:rFonts w:hint="default" w:ascii="Times New Roman" w:hAnsi="Times New Roman" w:cs="Times New Roman"/>
                      <w:color w:val="auto"/>
                    </w:rPr>
                  </w:pPr>
                </w:p>
              </w:tc>
              <w:tc>
                <w:tcPr>
                  <w:tcW w:w="561" w:type="pct"/>
                  <w:noWrap w:val="0"/>
                  <w:vAlign w:val="center"/>
                </w:tcPr>
                <w:p w14:paraId="5B6F437A">
                  <w:pPr>
                    <w:pStyle w:val="32"/>
                    <w:rPr>
                      <w:rFonts w:hint="default" w:ascii="Times New Roman" w:hAnsi="Times New Roman" w:cs="Times New Roman"/>
                      <w:color w:val="auto"/>
                    </w:rPr>
                  </w:pPr>
                  <w:r>
                    <w:rPr>
                      <w:rFonts w:hint="default" w:ascii="Times New Roman" w:hAnsi="Times New Roman" w:cs="Times New Roman"/>
                      <w:color w:val="auto"/>
                    </w:rPr>
                    <w:t>NO</w:t>
                  </w:r>
                  <w:r>
                    <w:rPr>
                      <w:rFonts w:hint="default" w:ascii="Times New Roman" w:hAnsi="Times New Roman" w:cs="Times New Roman"/>
                      <w:color w:val="auto"/>
                      <w:vertAlign w:val="subscript"/>
                    </w:rPr>
                    <w:t>X</w:t>
                  </w:r>
                </w:p>
              </w:tc>
              <w:tc>
                <w:tcPr>
                  <w:tcW w:w="466" w:type="pct"/>
                  <w:vMerge w:val="continue"/>
                  <w:noWrap w:val="0"/>
                  <w:vAlign w:val="center"/>
                </w:tcPr>
                <w:p w14:paraId="35E6F229">
                  <w:pPr>
                    <w:pStyle w:val="32"/>
                    <w:rPr>
                      <w:rFonts w:hint="default" w:ascii="Times New Roman" w:hAnsi="Times New Roman" w:cs="Times New Roman"/>
                      <w:color w:val="auto"/>
                    </w:rPr>
                  </w:pPr>
                </w:p>
              </w:tc>
              <w:tc>
                <w:tcPr>
                  <w:tcW w:w="751" w:type="pct"/>
                  <w:noWrap w:val="0"/>
                  <w:vAlign w:val="center"/>
                </w:tcPr>
                <w:p w14:paraId="06BC8973">
                  <w:pPr>
                    <w:pStyle w:val="32"/>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lang w:val="en-US" w:eastAsia="zh-CN"/>
                    </w:rPr>
                    <w:t>0.3594</w:t>
                  </w:r>
                  <w:r>
                    <w:rPr>
                      <w:rFonts w:hint="default" w:ascii="Times New Roman" w:hAnsi="Times New Roman" w:cs="Times New Roman"/>
                      <w:color w:val="auto"/>
                    </w:rPr>
                    <w:t>t/a</w:t>
                  </w:r>
                </w:p>
              </w:tc>
              <w:tc>
                <w:tcPr>
                  <w:tcW w:w="751" w:type="pct"/>
                  <w:noWrap w:val="0"/>
                  <w:vAlign w:val="center"/>
                </w:tcPr>
                <w:p w14:paraId="35306957">
                  <w:pPr>
                    <w:pStyle w:val="32"/>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lang w:val="en-US" w:eastAsia="zh-CN"/>
                    </w:rPr>
                    <w:t>0.3594</w:t>
                  </w:r>
                  <w:r>
                    <w:rPr>
                      <w:rFonts w:hint="default" w:ascii="Times New Roman" w:hAnsi="Times New Roman" w:cs="Times New Roman"/>
                      <w:color w:val="auto"/>
                    </w:rPr>
                    <w:t>t/a</w:t>
                  </w:r>
                </w:p>
              </w:tc>
              <w:tc>
                <w:tcPr>
                  <w:tcW w:w="665" w:type="pct"/>
                  <w:noWrap w:val="0"/>
                  <w:vAlign w:val="center"/>
                </w:tcPr>
                <w:p w14:paraId="10CB40DD">
                  <w:pPr>
                    <w:pStyle w:val="32"/>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lang w:val="en-US" w:eastAsia="zh-CN"/>
                    </w:rPr>
                    <w:t>0.2995</w:t>
                  </w:r>
                </w:p>
              </w:tc>
              <w:tc>
                <w:tcPr>
                  <w:tcW w:w="656" w:type="pct"/>
                  <w:noWrap w:val="0"/>
                  <w:vAlign w:val="center"/>
                </w:tcPr>
                <w:p w14:paraId="27E34052">
                  <w:pPr>
                    <w:pStyle w:val="32"/>
                    <w:ind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lang w:val="en-US" w:eastAsia="zh-CN"/>
                    </w:rPr>
                    <w:t>59.9</w:t>
                  </w:r>
                </w:p>
              </w:tc>
              <w:tc>
                <w:tcPr>
                  <w:tcW w:w="736" w:type="pct"/>
                  <w:noWrap w:val="0"/>
                  <w:vAlign w:val="center"/>
                </w:tcPr>
                <w:p w14:paraId="260CE84C">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150</w:t>
                  </w:r>
                </w:p>
              </w:tc>
            </w:tr>
            <w:tr w14:paraId="0270E3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0" w:type="pct"/>
                  <w:vMerge w:val="continue"/>
                  <w:noWrap w:val="0"/>
                  <w:vAlign w:val="center"/>
                </w:tcPr>
                <w:p w14:paraId="16F0084C">
                  <w:pPr>
                    <w:pStyle w:val="32"/>
                    <w:rPr>
                      <w:rFonts w:hint="default" w:ascii="Times New Roman" w:hAnsi="Times New Roman" w:cs="Times New Roman"/>
                      <w:color w:val="auto"/>
                    </w:rPr>
                  </w:pPr>
                </w:p>
              </w:tc>
              <w:tc>
                <w:tcPr>
                  <w:tcW w:w="561" w:type="pct"/>
                  <w:noWrap w:val="0"/>
                  <w:vAlign w:val="center"/>
                </w:tcPr>
                <w:p w14:paraId="29A7599E">
                  <w:pPr>
                    <w:pStyle w:val="32"/>
                    <w:rPr>
                      <w:rFonts w:hint="default" w:ascii="Times New Roman" w:hAnsi="Times New Roman" w:cs="Times New Roman"/>
                      <w:color w:val="auto"/>
                    </w:rPr>
                  </w:pPr>
                  <w:r>
                    <w:rPr>
                      <w:rFonts w:hint="default" w:ascii="Times New Roman" w:hAnsi="Times New Roman" w:cs="Times New Roman"/>
                      <w:color w:val="auto"/>
                    </w:rPr>
                    <w:t>颗粒物</w:t>
                  </w:r>
                </w:p>
              </w:tc>
              <w:tc>
                <w:tcPr>
                  <w:tcW w:w="466" w:type="pct"/>
                  <w:vMerge w:val="continue"/>
                  <w:noWrap w:val="0"/>
                  <w:vAlign w:val="center"/>
                </w:tcPr>
                <w:p w14:paraId="2984623D">
                  <w:pPr>
                    <w:pStyle w:val="32"/>
                    <w:rPr>
                      <w:rFonts w:hint="default" w:ascii="Times New Roman" w:hAnsi="Times New Roman" w:cs="Times New Roman"/>
                      <w:color w:val="auto"/>
                    </w:rPr>
                  </w:pPr>
                </w:p>
              </w:tc>
              <w:tc>
                <w:tcPr>
                  <w:tcW w:w="751" w:type="pct"/>
                  <w:noWrap w:val="0"/>
                  <w:vAlign w:val="center"/>
                </w:tcPr>
                <w:p w14:paraId="7066C3A2">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0.1098</w:t>
                  </w:r>
                  <w:r>
                    <w:rPr>
                      <w:rFonts w:hint="default" w:ascii="Times New Roman" w:hAnsi="Times New Roman" w:cs="Times New Roman"/>
                      <w:color w:val="auto"/>
                    </w:rPr>
                    <w:t>t/a</w:t>
                  </w:r>
                </w:p>
              </w:tc>
              <w:tc>
                <w:tcPr>
                  <w:tcW w:w="751" w:type="pct"/>
                  <w:noWrap w:val="0"/>
                  <w:vAlign w:val="center"/>
                </w:tcPr>
                <w:p w14:paraId="6306D17D">
                  <w:pPr>
                    <w:pStyle w:val="32"/>
                    <w:ind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lang w:val="en-US" w:eastAsia="zh-CN"/>
                    </w:rPr>
                    <w:t>0.1098</w:t>
                  </w:r>
                  <w:r>
                    <w:rPr>
                      <w:rFonts w:hint="default" w:ascii="Times New Roman" w:hAnsi="Times New Roman" w:cs="Times New Roman"/>
                      <w:color w:val="auto"/>
                    </w:rPr>
                    <w:t>t/a</w:t>
                  </w:r>
                </w:p>
              </w:tc>
              <w:tc>
                <w:tcPr>
                  <w:tcW w:w="665" w:type="pct"/>
                  <w:noWrap w:val="0"/>
                  <w:vAlign w:val="center"/>
                </w:tcPr>
                <w:p w14:paraId="6E2ED15C">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0.0915</w:t>
                  </w:r>
                </w:p>
              </w:tc>
              <w:tc>
                <w:tcPr>
                  <w:tcW w:w="656" w:type="pct"/>
                  <w:noWrap w:val="0"/>
                  <w:vAlign w:val="center"/>
                </w:tcPr>
                <w:p w14:paraId="77A76000">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18.3</w:t>
                  </w:r>
                </w:p>
              </w:tc>
              <w:tc>
                <w:tcPr>
                  <w:tcW w:w="736" w:type="pct"/>
                  <w:noWrap w:val="0"/>
                  <w:vAlign w:val="center"/>
                </w:tcPr>
                <w:p w14:paraId="238A3AFE">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20</w:t>
                  </w:r>
                </w:p>
              </w:tc>
            </w:tr>
          </w:tbl>
          <w:p w14:paraId="3A78A5BC">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2、大气排放口情况</w:t>
            </w:r>
          </w:p>
          <w:p w14:paraId="01B90EF7">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表4.2-3  大气排放口基本情况</w:t>
            </w:r>
          </w:p>
          <w:tbl>
            <w:tblPr>
              <w:tblStyle w:val="2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9"/>
              <w:gridCol w:w="1196"/>
              <w:gridCol w:w="1260"/>
              <w:gridCol w:w="1907"/>
              <w:gridCol w:w="822"/>
              <w:gridCol w:w="904"/>
              <w:gridCol w:w="829"/>
            </w:tblGrid>
            <w:tr w14:paraId="0EC706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919" w:type="dxa"/>
                  <w:tcBorders>
                    <w:tl2br w:val="nil"/>
                    <w:tr2bl w:val="nil"/>
                  </w:tcBorders>
                  <w:noWrap w:val="0"/>
                  <w:vAlign w:val="center"/>
                </w:tcPr>
                <w:p w14:paraId="68BD18D5">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排放口编号</w:t>
                  </w:r>
                </w:p>
              </w:tc>
              <w:tc>
                <w:tcPr>
                  <w:tcW w:w="1196" w:type="dxa"/>
                  <w:tcBorders>
                    <w:tl2br w:val="nil"/>
                    <w:tr2bl w:val="nil"/>
                  </w:tcBorders>
                  <w:noWrap w:val="0"/>
                  <w:vAlign w:val="center"/>
                </w:tcPr>
                <w:p w14:paraId="6169B6E0">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排放口名称</w:t>
                  </w:r>
                </w:p>
              </w:tc>
              <w:tc>
                <w:tcPr>
                  <w:tcW w:w="1260" w:type="dxa"/>
                  <w:tcBorders>
                    <w:tl2br w:val="nil"/>
                    <w:tr2bl w:val="nil"/>
                  </w:tcBorders>
                  <w:noWrap w:val="0"/>
                  <w:vAlign w:val="center"/>
                </w:tcPr>
                <w:p w14:paraId="6F5F0718">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污染物</w:t>
                  </w:r>
                </w:p>
                <w:p w14:paraId="5FA3F390">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种类</w:t>
                  </w:r>
                </w:p>
              </w:tc>
              <w:tc>
                <w:tcPr>
                  <w:tcW w:w="1907" w:type="dxa"/>
                  <w:tcBorders>
                    <w:tl2br w:val="nil"/>
                    <w:tr2bl w:val="nil"/>
                  </w:tcBorders>
                  <w:noWrap w:val="0"/>
                  <w:vAlign w:val="center"/>
                </w:tcPr>
                <w:p w14:paraId="40FA570A">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排放口地理</w:t>
                  </w:r>
                </w:p>
                <w:p w14:paraId="5AE1F1D5">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坐标</w:t>
                  </w:r>
                </w:p>
              </w:tc>
              <w:tc>
                <w:tcPr>
                  <w:tcW w:w="822" w:type="dxa"/>
                  <w:tcBorders>
                    <w:tl2br w:val="nil"/>
                    <w:tr2bl w:val="nil"/>
                  </w:tcBorders>
                  <w:noWrap w:val="0"/>
                  <w:vAlign w:val="center"/>
                </w:tcPr>
                <w:p w14:paraId="3FF07558">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排气筒高度(m)</w:t>
                  </w:r>
                </w:p>
              </w:tc>
              <w:tc>
                <w:tcPr>
                  <w:tcW w:w="904" w:type="dxa"/>
                  <w:tcBorders>
                    <w:tl2br w:val="nil"/>
                    <w:tr2bl w:val="nil"/>
                  </w:tcBorders>
                  <w:noWrap w:val="0"/>
                  <w:vAlign w:val="center"/>
                </w:tcPr>
                <w:p w14:paraId="2BB46D18">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排气筒出口内径(m)</w:t>
                  </w:r>
                </w:p>
              </w:tc>
              <w:tc>
                <w:tcPr>
                  <w:tcW w:w="829" w:type="dxa"/>
                  <w:tcBorders>
                    <w:tl2br w:val="nil"/>
                    <w:tr2bl w:val="nil"/>
                  </w:tcBorders>
                  <w:noWrap w:val="0"/>
                  <w:vAlign w:val="center"/>
                </w:tcPr>
                <w:p w14:paraId="5A0B9362">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排气温度(</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w:t>
                  </w:r>
                </w:p>
              </w:tc>
            </w:tr>
            <w:tr w14:paraId="54B14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9" w:type="dxa"/>
                  <w:tcBorders>
                    <w:tl2br w:val="nil"/>
                    <w:tr2bl w:val="nil"/>
                  </w:tcBorders>
                  <w:noWrap w:val="0"/>
                  <w:vAlign w:val="center"/>
                </w:tcPr>
                <w:p w14:paraId="0EF84F4D">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DA001</w:t>
                  </w:r>
                </w:p>
              </w:tc>
              <w:tc>
                <w:tcPr>
                  <w:tcW w:w="1196" w:type="dxa"/>
                  <w:tcBorders>
                    <w:tl2br w:val="nil"/>
                    <w:tr2bl w:val="nil"/>
                  </w:tcBorders>
                  <w:noWrap w:val="0"/>
                  <w:vAlign w:val="center"/>
                </w:tcPr>
                <w:p w14:paraId="260DC81B">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一般</w:t>
                  </w:r>
                  <w:r>
                    <w:rPr>
                      <w:rFonts w:hint="default" w:ascii="Times New Roman" w:hAnsi="Times New Roman" w:cs="Times New Roman"/>
                      <w:color w:val="auto"/>
                      <w:lang w:val="en-US" w:eastAsia="zh-CN"/>
                    </w:rPr>
                    <w:t>排放口</w:t>
                  </w:r>
                </w:p>
              </w:tc>
              <w:tc>
                <w:tcPr>
                  <w:tcW w:w="1260" w:type="dxa"/>
                  <w:tcBorders>
                    <w:tl2br w:val="nil"/>
                    <w:tr2bl w:val="nil"/>
                  </w:tcBorders>
                  <w:noWrap w:val="0"/>
                  <w:vAlign w:val="center"/>
                </w:tcPr>
                <w:p w14:paraId="231BFC6E">
                  <w:pPr>
                    <w:pStyle w:val="3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SO2、NOx、烟尘</w:t>
                  </w:r>
                </w:p>
              </w:tc>
              <w:tc>
                <w:tcPr>
                  <w:tcW w:w="1907" w:type="dxa"/>
                  <w:tcBorders>
                    <w:tl2br w:val="nil"/>
                    <w:tr2bl w:val="nil"/>
                  </w:tcBorders>
                  <w:noWrap w:val="0"/>
                  <w:vAlign w:val="center"/>
                </w:tcPr>
                <w:p w14:paraId="27059DBC">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E119°8′54.96″</w:t>
                  </w:r>
                </w:p>
                <w:p w14:paraId="54381C35">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N26°9′41.54″</w:t>
                  </w:r>
                </w:p>
              </w:tc>
              <w:tc>
                <w:tcPr>
                  <w:tcW w:w="822" w:type="dxa"/>
                  <w:tcBorders>
                    <w:tl2br w:val="nil"/>
                    <w:tr2bl w:val="nil"/>
                  </w:tcBorders>
                  <w:noWrap w:val="0"/>
                  <w:vAlign w:val="center"/>
                </w:tcPr>
                <w:p w14:paraId="303046C9">
                  <w:pPr>
                    <w:pStyle w:val="32"/>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w:t>
                  </w:r>
                </w:p>
              </w:tc>
              <w:tc>
                <w:tcPr>
                  <w:tcW w:w="904" w:type="dxa"/>
                  <w:tcBorders>
                    <w:tl2br w:val="nil"/>
                    <w:tr2bl w:val="nil"/>
                  </w:tcBorders>
                  <w:noWrap w:val="0"/>
                  <w:vAlign w:val="center"/>
                </w:tcPr>
                <w:p w14:paraId="71CCE8BF">
                  <w:pPr>
                    <w:pStyle w:val="32"/>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0.</w:t>
                  </w:r>
                  <w:r>
                    <w:rPr>
                      <w:rFonts w:hint="eastAsia" w:ascii="Times New Roman" w:hAnsi="Times New Roman" w:cs="Times New Roman"/>
                      <w:color w:val="auto"/>
                      <w:lang w:val="en-US" w:eastAsia="zh-CN"/>
                    </w:rPr>
                    <w:t>5</w:t>
                  </w:r>
                </w:p>
              </w:tc>
              <w:tc>
                <w:tcPr>
                  <w:tcW w:w="829" w:type="dxa"/>
                  <w:tcBorders>
                    <w:tl2br w:val="nil"/>
                    <w:tr2bl w:val="nil"/>
                  </w:tcBorders>
                  <w:noWrap w:val="0"/>
                  <w:vAlign w:val="center"/>
                </w:tcPr>
                <w:p w14:paraId="709F666C">
                  <w:pPr>
                    <w:pStyle w:val="32"/>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95</w:t>
                  </w:r>
                </w:p>
              </w:tc>
            </w:tr>
          </w:tbl>
          <w:p w14:paraId="23B85730">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3、达标分析</w:t>
            </w:r>
          </w:p>
          <w:p w14:paraId="5105B20F">
            <w:pPr>
              <w:pStyle w:val="35"/>
              <w:ind w:firstLine="480"/>
              <w:rPr>
                <w:rFonts w:hint="default" w:ascii="Times New Roman" w:hAnsi="Times New Roman" w:cs="Times New Roman"/>
                <w:color w:val="auto"/>
              </w:rPr>
            </w:pPr>
            <w:r>
              <w:rPr>
                <w:rFonts w:hint="eastAsia" w:ascii="Times New Roman" w:hAnsi="Times New Roman" w:eastAsia="宋体" w:cs="Times New Roman"/>
              </w:rPr>
              <w:t>根据污染源源强核算，本项目的天然气锅炉废气中的</w:t>
            </w:r>
            <w:r>
              <w:rPr>
                <w:rFonts w:hint="eastAsia" w:ascii="Times New Roman" w:hAnsi="Times New Roman" w:eastAsia="宋体" w:cs="Times New Roman"/>
                <w:lang w:eastAsia="zh-CN"/>
              </w:rPr>
              <w:t>氮氧化物、</w:t>
            </w:r>
            <w:r>
              <w:rPr>
                <w:rFonts w:hint="eastAsia" w:ascii="Times New Roman" w:hAnsi="Times New Roman" w:eastAsia="宋体" w:cs="Times New Roman"/>
              </w:rPr>
              <w:t>二氧化硫</w:t>
            </w:r>
            <w:r>
              <w:rPr>
                <w:rFonts w:hint="eastAsia" w:ascii="Times New Roman" w:hAnsi="Times New Roman" w:eastAsia="宋体" w:cs="Times New Roman"/>
                <w:lang w:eastAsia="zh-CN"/>
              </w:rPr>
              <w:t>以及烟尘</w:t>
            </w:r>
            <w:r>
              <w:rPr>
                <w:rFonts w:hint="eastAsia" w:ascii="Times New Roman" w:hAnsi="Times New Roman" w:eastAsia="宋体" w:cs="Times New Roman"/>
              </w:rPr>
              <w:t>满足《锅炉大气污染物排放标准》（GB13271-2014）中表3中的排放限值（氮氧化物≤150mg/m</w:t>
            </w:r>
            <w:r>
              <w:rPr>
                <w:rFonts w:hint="eastAsia" w:ascii="Times New Roman" w:hAnsi="Times New Roman" w:eastAsia="宋体" w:cs="Times New Roman"/>
                <w:vertAlign w:val="superscript"/>
              </w:rPr>
              <w:t>3</w:t>
            </w:r>
            <w:r>
              <w:rPr>
                <w:rFonts w:hint="eastAsia" w:ascii="Times New Roman" w:hAnsi="Times New Roman" w:eastAsia="宋体" w:cs="Times New Roman"/>
              </w:rPr>
              <w:t>、二氧化硫≤50mg/m</w:t>
            </w:r>
            <w:r>
              <w:rPr>
                <w:rFonts w:hint="eastAsia" w:ascii="Times New Roman" w:hAnsi="Times New Roman" w:eastAsia="宋体" w:cs="Times New Roman"/>
                <w:vertAlign w:val="superscript"/>
              </w:rPr>
              <w:t>3</w:t>
            </w:r>
            <w:r>
              <w:rPr>
                <w:rFonts w:hint="eastAsia" w:ascii="Times New Roman" w:hAnsi="Times New Roman" w:eastAsia="宋体" w:cs="Times New Roman"/>
              </w:rPr>
              <w:t>、颗粒物≤20mg/m</w:t>
            </w:r>
            <w:r>
              <w:rPr>
                <w:rFonts w:hint="eastAsia" w:ascii="Times New Roman" w:hAnsi="Times New Roman" w:eastAsia="宋体" w:cs="Times New Roman"/>
                <w:vertAlign w:val="superscript"/>
              </w:rPr>
              <w:t>3</w:t>
            </w:r>
            <w:r>
              <w:rPr>
                <w:rFonts w:hint="eastAsia" w:ascii="Times New Roman" w:hAnsi="Times New Roman" w:eastAsia="宋体" w:cs="Times New Roman"/>
              </w:rPr>
              <w:t>）</w:t>
            </w:r>
            <w:r>
              <w:rPr>
                <w:rFonts w:hint="eastAsia" w:ascii="Times New Roman" w:hAnsi="Times New Roman" w:eastAsia="宋体" w:cs="Times New Roman"/>
                <w:lang w:eastAsia="zh-CN"/>
              </w:rPr>
              <w:t>，</w:t>
            </w:r>
            <w:r>
              <w:rPr>
                <w:rFonts w:hint="eastAsia" w:ascii="Times New Roman" w:hAnsi="Times New Roman" w:eastAsia="宋体" w:cs="Times New Roman"/>
              </w:rPr>
              <w:t>通过</w:t>
            </w:r>
            <w:r>
              <w:rPr>
                <w:rFonts w:hint="eastAsia" w:ascii="Times New Roman" w:hAnsi="Times New Roman" w:eastAsia="宋体" w:cs="Times New Roman"/>
                <w:lang w:val="en-US" w:eastAsia="zh-CN"/>
              </w:rPr>
              <w:t>8</w:t>
            </w:r>
            <w:r>
              <w:rPr>
                <w:rFonts w:hint="eastAsia" w:ascii="Times New Roman" w:hAnsi="Times New Roman" w:eastAsia="宋体" w:cs="Times New Roman"/>
              </w:rPr>
              <w:t>米高排气筒排放。</w:t>
            </w:r>
          </w:p>
          <w:p w14:paraId="5C2C0F2C">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4、治理措施可行性分析</w:t>
            </w:r>
          </w:p>
          <w:p w14:paraId="4218FF76">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燃气锅炉参照《排污许可申请与核发技术规范 锅炉》中燃气锅炉采用低氮燃烧技术后直接排放，为可行技术。由于项目所在地200m范围内无居民等敏感目标，且废气达标排放，因此项目排气筒高度8m可行。</w:t>
            </w:r>
          </w:p>
          <w:p w14:paraId="796370C9">
            <w:pPr>
              <w:pStyle w:val="35"/>
              <w:ind w:firstLine="480"/>
              <w:rPr>
                <w:rFonts w:hint="eastAsia" w:ascii="Times New Roman" w:hAnsi="Times New Roman" w:eastAsia="宋体" w:cs="Times New Roman"/>
              </w:rPr>
            </w:pPr>
            <w:r>
              <w:rPr>
                <w:rFonts w:hint="eastAsia" w:ascii="Times New Roman" w:hAnsi="Times New Roman" w:eastAsia="宋体" w:cs="Times New Roman"/>
              </w:rPr>
              <w:t>经上述分析，项目排放废气均能达标排放。本项目区大气环境质量良好，SO</w:t>
            </w:r>
            <w:r>
              <w:rPr>
                <w:rFonts w:hint="eastAsia" w:ascii="Times New Roman" w:hAnsi="Times New Roman" w:eastAsia="宋体" w:cs="Times New Roman"/>
                <w:vertAlign w:val="subscript"/>
              </w:rPr>
              <w:t>2</w:t>
            </w:r>
            <w:r>
              <w:rPr>
                <w:rFonts w:hint="eastAsia" w:ascii="Times New Roman" w:hAnsi="Times New Roman" w:eastAsia="宋体" w:cs="Times New Roman"/>
              </w:rPr>
              <w:t>、NO</w:t>
            </w:r>
            <w:r>
              <w:rPr>
                <w:rFonts w:hint="eastAsia" w:ascii="Times New Roman" w:hAnsi="Times New Roman" w:eastAsia="宋体" w:cs="Times New Roman"/>
                <w:vertAlign w:val="subscript"/>
              </w:rPr>
              <w:t>2</w:t>
            </w:r>
            <w:r>
              <w:rPr>
                <w:rFonts w:hint="eastAsia" w:ascii="Times New Roman" w:hAnsi="Times New Roman" w:eastAsia="宋体" w:cs="Times New Roman"/>
              </w:rPr>
              <w:t>、PM</w:t>
            </w:r>
            <w:r>
              <w:rPr>
                <w:rFonts w:hint="eastAsia" w:ascii="Times New Roman" w:hAnsi="Times New Roman" w:eastAsia="宋体" w:cs="Times New Roman"/>
                <w:vertAlign w:val="subscript"/>
              </w:rPr>
              <w:t>10</w:t>
            </w:r>
            <w:r>
              <w:rPr>
                <w:rFonts w:hint="eastAsia" w:ascii="Times New Roman" w:hAnsi="Times New Roman" w:eastAsia="宋体" w:cs="Times New Roman"/>
              </w:rPr>
              <w:t>、PM</w:t>
            </w:r>
            <w:r>
              <w:rPr>
                <w:rFonts w:hint="eastAsia" w:ascii="Times New Roman" w:hAnsi="Times New Roman" w:eastAsia="宋体" w:cs="Times New Roman"/>
                <w:vertAlign w:val="subscript"/>
              </w:rPr>
              <w:t>2.5</w:t>
            </w:r>
            <w:r>
              <w:rPr>
                <w:rFonts w:hint="eastAsia" w:ascii="Times New Roman" w:hAnsi="Times New Roman" w:eastAsia="宋体" w:cs="Times New Roman"/>
              </w:rPr>
              <w:t>、CO、O</w:t>
            </w:r>
            <w:r>
              <w:rPr>
                <w:rFonts w:hint="eastAsia" w:ascii="Times New Roman" w:hAnsi="Times New Roman" w:eastAsia="宋体" w:cs="Times New Roman"/>
                <w:vertAlign w:val="subscript"/>
              </w:rPr>
              <w:t>3</w:t>
            </w:r>
            <w:r>
              <w:rPr>
                <w:rFonts w:hint="eastAsia" w:ascii="Times New Roman" w:hAnsi="Times New Roman" w:eastAsia="宋体" w:cs="Times New Roman"/>
              </w:rPr>
              <w:t>、TSP等污染物符合《环境空气质量标准》(GB3095-2012)中的二级标准要求；SO</w:t>
            </w:r>
            <w:r>
              <w:rPr>
                <w:rFonts w:hint="eastAsia" w:ascii="Times New Roman" w:hAnsi="Times New Roman" w:eastAsia="宋体" w:cs="Times New Roman"/>
                <w:vertAlign w:val="subscript"/>
              </w:rPr>
              <w:t>2</w:t>
            </w:r>
            <w:r>
              <w:rPr>
                <w:rFonts w:hint="eastAsia" w:ascii="Times New Roman" w:hAnsi="Times New Roman" w:eastAsia="宋体" w:cs="Times New Roman"/>
              </w:rPr>
              <w:t>、NOx、烟尘排放浓度符合《锅炉大气污染物排放标准》（GB13271-2014）中表3中的排放限值；因此本项目建设对大气环境影响较小。</w:t>
            </w:r>
          </w:p>
          <w:p w14:paraId="07EA2097">
            <w:pP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4.2.2废水环境保护措施</w:t>
            </w:r>
          </w:p>
          <w:p w14:paraId="3B4E5E8E">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本项目运营期不新增员工，无废水产生。</w:t>
            </w:r>
          </w:p>
          <w:p w14:paraId="5EF9FC4B">
            <w:pP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4.2.3噪声环境保护措施</w:t>
            </w:r>
          </w:p>
          <w:p w14:paraId="2D1C4235">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（1）噪声源情况</w:t>
            </w:r>
          </w:p>
          <w:p w14:paraId="41BBC4D0">
            <w:pPr>
              <w:ind w:firstLine="480"/>
              <w:rPr>
                <w:rFonts w:hint="eastAsia"/>
                <w:szCs w:val="24"/>
              </w:rPr>
            </w:pPr>
            <w:r>
              <w:rPr>
                <w:rFonts w:hint="eastAsia"/>
                <w:szCs w:val="24"/>
              </w:rPr>
              <w:t>项目运营时产生的噪声主要来源于机械设备的运行噪声，据类比，</w:t>
            </w:r>
            <w:r>
              <w:rPr>
                <w:rFonts w:hint="eastAsia"/>
                <w:szCs w:val="24"/>
                <w:lang w:eastAsia="zh-CN"/>
              </w:rPr>
              <w:t>锅炉及配套设备运行</w:t>
            </w:r>
            <w:r>
              <w:rPr>
                <w:rFonts w:hint="eastAsia"/>
                <w:szCs w:val="24"/>
              </w:rPr>
              <w:t>的噪声值约在</w:t>
            </w:r>
            <w:r>
              <w:rPr>
                <w:rFonts w:hint="eastAsia"/>
                <w:szCs w:val="24"/>
                <w:lang w:val="en-US" w:eastAsia="zh-CN"/>
              </w:rPr>
              <w:t>75~80</w:t>
            </w:r>
            <w:r>
              <w:rPr>
                <w:rFonts w:hint="eastAsia"/>
                <w:szCs w:val="24"/>
              </w:rPr>
              <w:t>dB</w:t>
            </w:r>
            <w:r>
              <w:rPr>
                <w:rFonts w:hint="eastAsia"/>
                <w:szCs w:val="24"/>
                <w:lang w:eastAsia="zh-CN"/>
              </w:rPr>
              <w:t>之间</w:t>
            </w:r>
            <w:r>
              <w:rPr>
                <w:rFonts w:hint="eastAsia"/>
                <w:szCs w:val="24"/>
              </w:rPr>
              <w:t>。</w:t>
            </w:r>
          </w:p>
          <w:p w14:paraId="0B4B0BFC">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（2）预测分析</w:t>
            </w:r>
          </w:p>
          <w:p w14:paraId="7FBFAB24">
            <w:pPr>
              <w:ind w:firstLine="480"/>
              <w:rPr>
                <w:rFonts w:hint="default" w:ascii="Times New Roman" w:hAnsi="Times New Roman" w:cs="Times New Roman"/>
                <w:color w:val="auto"/>
              </w:rPr>
            </w:pPr>
            <w:r>
              <w:rPr>
                <w:rFonts w:hint="default" w:ascii="Times New Roman" w:hAnsi="Times New Roman" w:cs="Times New Roman"/>
                <w:color w:val="auto"/>
              </w:rPr>
              <w:t>项目主要设备噪声源均可作为点声源处理，考虑设备噪声向周围空间的传播过程中，近似地认为在半自由场中扩散，根据《环境影响评价技术导则－声环境》（HJ2.4-2009）推荐方法，选取点声源半自由声场传播模式，公式为：</w:t>
            </w:r>
          </w:p>
          <w:p w14:paraId="53646158">
            <w:pPr>
              <w:ind w:firstLine="0" w:firstLineChars="0"/>
              <w:jc w:val="center"/>
              <w:rPr>
                <w:rFonts w:hint="default" w:ascii="Times New Roman" w:hAnsi="Times New Roman" w:cs="Times New Roman"/>
                <w:color w:val="auto"/>
              </w:rPr>
            </w:pPr>
            <w:r>
              <w:rPr>
                <w:rFonts w:hint="default" w:ascii="Times New Roman" w:hAnsi="Times New Roman" w:cs="Times New Roman"/>
                <w:color w:val="auto"/>
              </w:rPr>
              <w:object>
                <v:shape id="_x0000_i1026" o:spt="75" type="#_x0000_t75" style="height:17.85pt;width:118.1pt;" o:ole="t" filled="f" o:preferrelative="t" stroked="f" coordsize="21600,21600">
                  <v:path/>
                  <v:fill on="f" focussize="0,0"/>
                  <v:stroke on="f" joinstyle="miter"/>
                  <v:imagedata r:id="rId19" o:title=""/>
                  <o:lock v:ext="edit" aspectratio="t"/>
                  <w10:wrap type="none"/>
                  <w10:anchorlock/>
                </v:shape>
                <o:OLEObject Type="Embed" ProgID="Equation.KSEE3" ShapeID="_x0000_i1026" DrawAspect="Content" ObjectID="_1468075725" r:id="rId18">
                  <o:LockedField>false</o:LockedField>
                </o:OLEObject>
              </w:object>
            </w:r>
          </w:p>
          <w:p w14:paraId="1732583A">
            <w:pPr>
              <w:ind w:firstLine="480"/>
              <w:rPr>
                <w:rFonts w:hint="default" w:ascii="Times New Roman" w:hAnsi="Times New Roman" w:cs="Times New Roman"/>
                <w:color w:val="auto"/>
              </w:rPr>
            </w:pPr>
            <w:r>
              <w:rPr>
                <w:rFonts w:hint="default" w:ascii="Times New Roman" w:hAnsi="Times New Roman" w:cs="Times New Roman"/>
                <w:color w:val="auto"/>
              </w:rPr>
              <w:t>式中：</w:t>
            </w:r>
            <w:r>
              <w:rPr>
                <w:rFonts w:hint="default" w:ascii="Times New Roman" w:hAnsi="Times New Roman" w:cs="Times New Roman"/>
                <w:color w:val="auto"/>
              </w:rPr>
              <w:object>
                <v:shape id="_x0000_i1027" o:spt="75" type="#_x0000_t75" style="height:17.85pt;width:25.9pt;" o:ole="t" filled="f" o:preferrelative="t" stroked="f" coordsize="21600,21600">
                  <v:path/>
                  <v:fill on="f" focussize="0,0"/>
                  <v:stroke on="f" joinstyle="miter"/>
                  <v:imagedata r:id="rId21" o:title=""/>
                  <o:lock v:ext="edit" aspectratio="t"/>
                  <w10:wrap type="none"/>
                  <w10:anchorlock/>
                </v:shape>
                <o:OLEObject Type="Embed" ProgID="Equation.KSEE3" ShapeID="_x0000_i1027" DrawAspect="Content" ObjectID="_1468075726" r:id="rId20">
                  <o:LockedField>false</o:LockedField>
                </o:OLEObject>
              </w:object>
            </w:r>
            <w:r>
              <w:rPr>
                <w:rFonts w:hint="default" w:ascii="Times New Roman" w:hAnsi="Times New Roman" w:cs="Times New Roman"/>
                <w:color w:val="auto"/>
              </w:rPr>
              <w:t>—距离r处的A声功率级，dB（A）；</w:t>
            </w:r>
          </w:p>
          <w:p w14:paraId="404D539F">
            <w:pPr>
              <w:ind w:firstLine="1200" w:firstLineChars="500"/>
              <w:rPr>
                <w:rFonts w:hint="default" w:ascii="Times New Roman" w:hAnsi="Times New Roman" w:cs="Times New Roman"/>
                <w:color w:val="auto"/>
              </w:rPr>
            </w:pPr>
            <w:r>
              <w:rPr>
                <w:rFonts w:hint="default" w:ascii="Times New Roman" w:hAnsi="Times New Roman" w:cs="Times New Roman"/>
                <w:color w:val="auto"/>
              </w:rPr>
              <w:t>LW—声源的A声功率级，dB（A）；</w:t>
            </w:r>
          </w:p>
          <w:p w14:paraId="37EAD02B">
            <w:pPr>
              <w:ind w:firstLine="1200" w:firstLineChars="500"/>
              <w:rPr>
                <w:rFonts w:hint="default" w:ascii="Times New Roman" w:hAnsi="Times New Roman" w:cs="Times New Roman"/>
                <w:color w:val="auto"/>
              </w:rPr>
            </w:pPr>
            <w:r>
              <w:rPr>
                <w:rFonts w:hint="default" w:ascii="Times New Roman" w:hAnsi="Times New Roman" w:cs="Times New Roman"/>
                <w:color w:val="auto"/>
              </w:rPr>
              <w:t>r—声源至受点的距离，m；</w:t>
            </w:r>
          </w:p>
          <w:p w14:paraId="734EBB5D">
            <w:pPr>
              <w:ind w:firstLine="1200" w:firstLineChars="500"/>
              <w:rPr>
                <w:rFonts w:hint="default" w:ascii="Times New Roman" w:hAnsi="Times New Roman" w:cs="Times New Roman"/>
                <w:color w:val="auto"/>
              </w:rPr>
            </w:pPr>
            <w:r>
              <w:rPr>
                <w:rFonts w:hint="default" w:ascii="Times New Roman" w:hAnsi="Times New Roman" w:cs="Times New Roman"/>
                <w:color w:val="auto"/>
              </w:rPr>
              <w:t>TL—墙体隔声量，dB（A）。</w:t>
            </w:r>
          </w:p>
          <w:p w14:paraId="178B40EF">
            <w:pPr>
              <w:adjustRightInd w:val="0"/>
              <w:snapToGrid w:val="0"/>
              <w:spacing w:before="120" w:beforeLines="50"/>
              <w:ind w:firstLine="480"/>
              <w:rPr>
                <w:rFonts w:hint="default" w:ascii="Times New Roman" w:hAnsi="Times New Roman" w:cs="Times New Roman"/>
                <w:color w:val="auto"/>
              </w:rPr>
            </w:pPr>
            <w:r>
              <w:rPr>
                <w:rFonts w:hint="default" w:ascii="Times New Roman" w:hAnsi="Times New Roman" w:cs="Times New Roman"/>
                <w:color w:val="auto"/>
              </w:rPr>
              <w:t>声源噪声自室内传播至室外，再遇到障碍物，如围墙或建筑物将引起能量衰减；本评价中各声源噪声均有厂房等框架建筑维护结构。参考有关资料，得出车间隔声插入损失值见表4.2-5。</w:t>
            </w:r>
          </w:p>
          <w:p w14:paraId="75D31570">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表4.2-5  车间隔墙传输损失值</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2"/>
              <w:gridCol w:w="1496"/>
              <w:gridCol w:w="1496"/>
              <w:gridCol w:w="1496"/>
              <w:gridCol w:w="1496"/>
            </w:tblGrid>
            <w:tr w14:paraId="68690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2" w:type="dxa"/>
                  <w:vAlign w:val="center"/>
                </w:tcPr>
                <w:p w14:paraId="09750D8F">
                  <w:pPr>
                    <w:pStyle w:val="32"/>
                    <w:rPr>
                      <w:rFonts w:hint="default" w:ascii="Times New Roman" w:hAnsi="Times New Roman" w:cs="Times New Roman"/>
                      <w:color w:val="auto"/>
                    </w:rPr>
                  </w:pPr>
                  <w:r>
                    <w:rPr>
                      <w:rFonts w:hint="default" w:ascii="Times New Roman" w:hAnsi="Times New Roman" w:cs="Times New Roman"/>
                      <w:color w:val="auto"/>
                    </w:rPr>
                    <w:t>条件</w:t>
                  </w:r>
                </w:p>
              </w:tc>
              <w:tc>
                <w:tcPr>
                  <w:tcW w:w="1496" w:type="dxa"/>
                  <w:vAlign w:val="center"/>
                </w:tcPr>
                <w:p w14:paraId="2B66C476">
                  <w:pPr>
                    <w:pStyle w:val="32"/>
                    <w:rPr>
                      <w:rFonts w:hint="default" w:ascii="Times New Roman" w:hAnsi="Times New Roman" w:cs="Times New Roman"/>
                      <w:color w:val="auto"/>
                    </w:rPr>
                  </w:pPr>
                  <w:r>
                    <w:rPr>
                      <w:rFonts w:hint="default" w:ascii="Times New Roman" w:hAnsi="Times New Roman" w:cs="Times New Roman"/>
                      <w:color w:val="auto"/>
                    </w:rPr>
                    <w:t>A</w:t>
                  </w:r>
                </w:p>
              </w:tc>
              <w:tc>
                <w:tcPr>
                  <w:tcW w:w="1496" w:type="dxa"/>
                  <w:vAlign w:val="center"/>
                </w:tcPr>
                <w:p w14:paraId="47BC0533">
                  <w:pPr>
                    <w:pStyle w:val="32"/>
                    <w:rPr>
                      <w:rFonts w:hint="default" w:ascii="Times New Roman" w:hAnsi="Times New Roman" w:cs="Times New Roman"/>
                      <w:color w:val="auto"/>
                    </w:rPr>
                  </w:pPr>
                  <w:r>
                    <w:rPr>
                      <w:rFonts w:hint="default" w:ascii="Times New Roman" w:hAnsi="Times New Roman" w:cs="Times New Roman"/>
                      <w:color w:val="auto"/>
                    </w:rPr>
                    <w:t>B</w:t>
                  </w:r>
                </w:p>
              </w:tc>
              <w:tc>
                <w:tcPr>
                  <w:tcW w:w="1496" w:type="dxa"/>
                  <w:vAlign w:val="center"/>
                </w:tcPr>
                <w:p w14:paraId="2062BEF1">
                  <w:pPr>
                    <w:pStyle w:val="32"/>
                    <w:rPr>
                      <w:rFonts w:hint="default" w:ascii="Times New Roman" w:hAnsi="Times New Roman" w:cs="Times New Roman"/>
                      <w:color w:val="auto"/>
                    </w:rPr>
                  </w:pPr>
                  <w:r>
                    <w:rPr>
                      <w:rFonts w:hint="default" w:ascii="Times New Roman" w:hAnsi="Times New Roman" w:cs="Times New Roman"/>
                      <w:color w:val="auto"/>
                    </w:rPr>
                    <w:t>C</w:t>
                  </w:r>
                </w:p>
              </w:tc>
              <w:tc>
                <w:tcPr>
                  <w:tcW w:w="1496" w:type="dxa"/>
                  <w:vAlign w:val="center"/>
                </w:tcPr>
                <w:p w14:paraId="751B1B1A">
                  <w:pPr>
                    <w:pStyle w:val="32"/>
                    <w:rPr>
                      <w:rFonts w:hint="default" w:ascii="Times New Roman" w:hAnsi="Times New Roman" w:cs="Times New Roman"/>
                      <w:color w:val="auto"/>
                    </w:rPr>
                  </w:pPr>
                  <w:r>
                    <w:rPr>
                      <w:rFonts w:hint="default" w:ascii="Times New Roman" w:hAnsi="Times New Roman" w:cs="Times New Roman"/>
                      <w:color w:val="auto"/>
                    </w:rPr>
                    <w:t>D</w:t>
                  </w:r>
                </w:p>
              </w:tc>
            </w:tr>
            <w:tr w14:paraId="41563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2" w:type="dxa"/>
                  <w:vAlign w:val="center"/>
                </w:tcPr>
                <w:p w14:paraId="0A98EFE0">
                  <w:pPr>
                    <w:pStyle w:val="32"/>
                    <w:rPr>
                      <w:rFonts w:hint="default" w:ascii="Times New Roman" w:hAnsi="Times New Roman" w:cs="Times New Roman"/>
                      <w:color w:val="auto"/>
                    </w:rPr>
                  </w:pPr>
                  <w:r>
                    <w:rPr>
                      <w:rFonts w:hint="default" w:ascii="Times New Roman" w:hAnsi="Times New Roman" w:cs="Times New Roman"/>
                      <w:color w:val="auto"/>
                    </w:rPr>
                    <w:t>传输损失值[dB（A）]</w:t>
                  </w:r>
                </w:p>
              </w:tc>
              <w:tc>
                <w:tcPr>
                  <w:tcW w:w="1496" w:type="dxa"/>
                  <w:vAlign w:val="center"/>
                </w:tcPr>
                <w:p w14:paraId="19EAF714">
                  <w:pPr>
                    <w:pStyle w:val="32"/>
                    <w:rPr>
                      <w:rFonts w:hint="default" w:ascii="Times New Roman" w:hAnsi="Times New Roman" w:eastAsia="宋体" w:cs="Times New Roman"/>
                      <w:color w:val="auto"/>
                      <w:lang w:val="en-US" w:eastAsia="zh-CN"/>
                    </w:rPr>
                  </w:pPr>
                  <w:r>
                    <w:rPr>
                      <w:rFonts w:hint="default" w:ascii="Times New Roman" w:hAnsi="Times New Roman" w:cs="Times New Roman"/>
                      <w:color w:val="auto"/>
                    </w:rPr>
                    <w:t>20</w:t>
                  </w:r>
                </w:p>
              </w:tc>
              <w:tc>
                <w:tcPr>
                  <w:tcW w:w="1496" w:type="dxa"/>
                  <w:vAlign w:val="center"/>
                </w:tcPr>
                <w:p w14:paraId="1ADC7181">
                  <w:pPr>
                    <w:pStyle w:val="32"/>
                    <w:rPr>
                      <w:rFonts w:hint="default" w:ascii="Times New Roman" w:hAnsi="Times New Roman" w:cs="Times New Roman"/>
                      <w:color w:val="auto"/>
                    </w:rPr>
                  </w:pPr>
                  <w:r>
                    <w:rPr>
                      <w:rFonts w:hint="default" w:ascii="Times New Roman" w:hAnsi="Times New Roman" w:cs="Times New Roman"/>
                      <w:color w:val="auto"/>
                    </w:rPr>
                    <w:t>15</w:t>
                  </w:r>
                </w:p>
              </w:tc>
              <w:tc>
                <w:tcPr>
                  <w:tcW w:w="1496" w:type="dxa"/>
                  <w:vAlign w:val="center"/>
                </w:tcPr>
                <w:p w14:paraId="39894D15">
                  <w:pPr>
                    <w:pStyle w:val="32"/>
                    <w:rPr>
                      <w:rFonts w:hint="default" w:ascii="Times New Roman" w:hAnsi="Times New Roman" w:cs="Times New Roman"/>
                      <w:color w:val="auto"/>
                    </w:rPr>
                  </w:pPr>
                  <w:r>
                    <w:rPr>
                      <w:rFonts w:hint="default" w:ascii="Times New Roman" w:hAnsi="Times New Roman" w:cs="Times New Roman"/>
                      <w:color w:val="auto"/>
                    </w:rPr>
                    <w:t>10</w:t>
                  </w:r>
                </w:p>
              </w:tc>
              <w:tc>
                <w:tcPr>
                  <w:tcW w:w="1496" w:type="dxa"/>
                  <w:vAlign w:val="center"/>
                </w:tcPr>
                <w:p w14:paraId="1DC9D4BF">
                  <w:pPr>
                    <w:pStyle w:val="32"/>
                    <w:rPr>
                      <w:rFonts w:hint="default" w:ascii="Times New Roman" w:hAnsi="Times New Roman" w:cs="Times New Roman"/>
                      <w:color w:val="auto"/>
                    </w:rPr>
                  </w:pPr>
                  <w:r>
                    <w:rPr>
                      <w:rFonts w:hint="default" w:ascii="Times New Roman" w:hAnsi="Times New Roman" w:cs="Times New Roman"/>
                      <w:color w:val="auto"/>
                    </w:rPr>
                    <w:t>5</w:t>
                  </w:r>
                </w:p>
              </w:tc>
            </w:tr>
            <w:tr w14:paraId="4096A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16" w:type="dxa"/>
                  <w:gridSpan w:val="5"/>
                  <w:vAlign w:val="center"/>
                </w:tcPr>
                <w:p w14:paraId="68FC1724">
                  <w:pPr>
                    <w:pStyle w:val="32"/>
                    <w:rPr>
                      <w:rFonts w:hint="default" w:ascii="Times New Roman" w:hAnsi="Times New Roman" w:cs="Times New Roman"/>
                      <w:color w:val="auto"/>
                    </w:rPr>
                  </w:pPr>
                  <w:r>
                    <w:rPr>
                      <w:rFonts w:hint="default" w:ascii="Times New Roman" w:hAnsi="Times New Roman" w:cs="Times New Roman"/>
                      <w:color w:val="auto"/>
                    </w:rPr>
                    <w:t>注：A：围墙开小窗且密闭，门经隔声处理；B：围墙开小窗但不密闭，门未经隔声处 理，但较密闭； C：围墙开大窗且不密闭，门不密闭；D：门、窗部分敞开。</w:t>
                  </w:r>
                </w:p>
              </w:tc>
            </w:tr>
          </w:tbl>
          <w:p w14:paraId="5139E49F">
            <w:pPr>
              <w:ind w:firstLine="480"/>
              <w:rPr>
                <w:rFonts w:hint="default" w:ascii="Times New Roman" w:hAnsi="Times New Roman" w:cs="Times New Roman"/>
                <w:color w:val="auto"/>
              </w:rPr>
            </w:pPr>
            <w:r>
              <w:rPr>
                <w:rFonts w:hint="default" w:ascii="Times New Roman" w:hAnsi="Times New Roman" w:cs="Times New Roman"/>
                <w:color w:val="auto"/>
              </w:rPr>
              <w:t>项目声源所在车间墙体及门窗按照表4.2-5中条件B取值，车间墙体隔声损失量按15dB（A）计。</w:t>
            </w:r>
          </w:p>
          <w:p w14:paraId="3B5BE293">
            <w:pPr>
              <w:ind w:firstLine="480"/>
              <w:rPr>
                <w:rFonts w:hint="default" w:ascii="Times New Roman" w:hAnsi="Times New Roman" w:cs="Times New Roman"/>
                <w:color w:val="auto"/>
              </w:rPr>
            </w:pPr>
            <w:r>
              <w:rPr>
                <w:rFonts w:hint="default" w:ascii="Times New Roman" w:hAnsi="Times New Roman" w:cs="Times New Roman"/>
                <w:color w:val="auto"/>
              </w:rPr>
              <w:t>计算各声源在预测点产生的等效声级贡献值，其计算公式如下：</w:t>
            </w:r>
          </w:p>
          <w:p w14:paraId="2E6CBBBA">
            <w:pPr>
              <w:pBdr>
                <w:top w:val="none" w:color="auto" w:sz="0" w:space="1"/>
                <w:left w:val="none" w:color="auto" w:sz="0" w:space="4"/>
                <w:bottom w:val="none" w:color="auto" w:sz="0" w:space="1"/>
                <w:right w:val="none" w:color="auto" w:sz="0" w:space="4"/>
              </w:pBdr>
              <w:ind w:firstLine="480"/>
              <w:jc w:val="center"/>
              <w:rPr>
                <w:rFonts w:hint="default" w:ascii="Times New Roman" w:hAnsi="Times New Roman" w:cs="Times New Roman"/>
                <w:color w:val="auto"/>
              </w:rPr>
            </w:pPr>
            <w:r>
              <w:rPr>
                <w:rFonts w:hint="default" w:ascii="Times New Roman" w:hAnsi="Times New Roman" w:cs="Times New Roman"/>
                <w:color w:val="auto"/>
              </w:rPr>
              <w:object>
                <v:shape id="_x0000_i1028" o:spt="75" type="#_x0000_t75" style="height:33.85pt;width:118.2pt;" o:ole="t" filled="f" o:preferrelative="t" stroked="f" coordsize="21600,21600">
                  <v:path/>
                  <v:fill on="f" focussize="0,0"/>
                  <v:stroke on="f" joinstyle="miter"/>
                  <v:imagedata r:id="rId23" o:title=""/>
                  <o:lock v:ext="edit" aspectratio="t"/>
                  <w10:wrap type="none"/>
                  <w10:anchorlock/>
                </v:shape>
                <o:OLEObject Type="Embed" ProgID="Equation.KSEE3" ShapeID="_x0000_i1028" DrawAspect="Content" ObjectID="_1468075727" r:id="rId22">
                  <o:LockedField>false</o:LockedField>
                </o:OLEObject>
              </w:object>
            </w:r>
          </w:p>
          <w:p w14:paraId="061D37C1">
            <w:pPr>
              <w:ind w:firstLine="480"/>
              <w:rPr>
                <w:rFonts w:hint="default" w:ascii="Times New Roman" w:hAnsi="Times New Roman" w:cs="Times New Roman"/>
                <w:color w:val="auto"/>
              </w:rPr>
            </w:pPr>
            <w:r>
              <w:rPr>
                <w:rFonts w:hint="default" w:ascii="Times New Roman" w:hAnsi="Times New Roman" w:cs="Times New Roman"/>
                <w:color w:val="auto"/>
              </w:rPr>
              <w:t>式中：Leqg：建设项目声源在预测点的等效声级贡献值，dB（A）</w:t>
            </w:r>
          </w:p>
          <w:p w14:paraId="429B5A06">
            <w:pPr>
              <w:ind w:firstLine="1200" w:firstLineChars="500"/>
              <w:rPr>
                <w:rFonts w:hint="default" w:ascii="Times New Roman" w:hAnsi="Times New Roman" w:cs="Times New Roman"/>
                <w:color w:val="auto"/>
              </w:rPr>
            </w:pPr>
            <w:r>
              <w:rPr>
                <w:rFonts w:hint="default" w:ascii="Times New Roman" w:hAnsi="Times New Roman" w:cs="Times New Roman"/>
                <w:color w:val="auto"/>
              </w:rPr>
              <w:t>LAi：第 i 声源至预测点处的声压级，dB（A）；</w:t>
            </w:r>
          </w:p>
          <w:p w14:paraId="6E6272E1">
            <w:pPr>
              <w:ind w:firstLine="1200" w:firstLineChars="500"/>
              <w:rPr>
                <w:rFonts w:hint="default" w:ascii="Times New Roman" w:hAnsi="Times New Roman" w:cs="Times New Roman"/>
                <w:color w:val="auto"/>
              </w:rPr>
            </w:pPr>
            <w:r>
              <w:rPr>
                <w:rFonts w:hint="default" w:ascii="Times New Roman" w:hAnsi="Times New Roman" w:cs="Times New Roman"/>
                <w:color w:val="auto"/>
              </w:rPr>
              <w:t>n：声源个数。</w:t>
            </w:r>
          </w:p>
          <w:p w14:paraId="43E6AD53">
            <w:pPr>
              <w:ind w:firstLine="480"/>
              <w:rPr>
                <w:rFonts w:hint="default" w:ascii="Times New Roman" w:hAnsi="Times New Roman" w:cs="Times New Roman"/>
                <w:color w:val="auto"/>
              </w:rPr>
            </w:pPr>
            <w:r>
              <w:rPr>
                <w:rFonts w:hint="default" w:ascii="Times New Roman" w:hAnsi="Times New Roman" w:cs="Times New Roman"/>
                <w:color w:val="auto"/>
              </w:rPr>
              <w:t>（3）预测结果与分析</w:t>
            </w:r>
          </w:p>
          <w:p w14:paraId="58314707">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根据总平布置分析，并考虑各噪声源分布情况，据此评价推算出高噪声源对各厂界的噪声贡献值。本项目夜间不生产，改建后运营期厂界昼间噪声预测值结果见表4.2-6。</w:t>
            </w:r>
          </w:p>
          <w:p w14:paraId="750DF295">
            <w:pPr>
              <w:pStyle w:val="28"/>
              <w:rPr>
                <w:rFonts w:hint="default" w:ascii="Times New Roman" w:hAnsi="Times New Roman" w:cs="Times New Roman"/>
                <w:color w:val="auto"/>
              </w:rPr>
            </w:pPr>
            <w:r>
              <w:rPr>
                <w:rFonts w:hint="default" w:ascii="Times New Roman" w:hAnsi="Times New Roman" w:cs="Times New Roman"/>
                <w:color w:val="auto"/>
              </w:rPr>
              <w:t>表4.2-6  项目噪声源强及预测值  单位：dB(A)</w:t>
            </w:r>
          </w:p>
          <w:tbl>
            <w:tblPr>
              <w:tblStyle w:val="21"/>
              <w:tblW w:w="82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17"/>
              <w:gridCol w:w="1643"/>
              <w:gridCol w:w="1567"/>
              <w:gridCol w:w="1509"/>
              <w:gridCol w:w="1581"/>
            </w:tblGrid>
            <w:tr w14:paraId="2E5703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7" w:type="dxa"/>
                  <w:noWrap w:val="0"/>
                  <w:vAlign w:val="center"/>
                </w:tcPr>
                <w:p w14:paraId="3EC56F83">
                  <w:pPr>
                    <w:pStyle w:val="32"/>
                    <w:rPr>
                      <w:rFonts w:hint="default"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厂界</w:t>
                  </w:r>
                </w:p>
              </w:tc>
              <w:tc>
                <w:tcPr>
                  <w:tcW w:w="1643" w:type="dxa"/>
                  <w:noWrap w:val="0"/>
                  <w:vAlign w:val="center"/>
                </w:tcPr>
                <w:p w14:paraId="1D07969A">
                  <w:pPr>
                    <w:pStyle w:val="32"/>
                    <w:rPr>
                      <w:rFonts w:hint="default"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东厂界外1m</w:t>
                  </w:r>
                </w:p>
              </w:tc>
              <w:tc>
                <w:tcPr>
                  <w:tcW w:w="1567" w:type="dxa"/>
                  <w:noWrap w:val="0"/>
                  <w:vAlign w:val="center"/>
                </w:tcPr>
                <w:p w14:paraId="4489A156">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南</w:t>
                  </w:r>
                  <w:r>
                    <w:rPr>
                      <w:rFonts w:hint="default" w:ascii="Times New Roman" w:hAnsi="Times New Roman" w:eastAsia="宋体" w:cs="Times New Roman"/>
                      <w:bCs/>
                      <w:color w:val="auto"/>
                      <w:lang w:val="en-US" w:eastAsia="zh-CN"/>
                    </w:rPr>
                    <w:t>厂界外1m</w:t>
                  </w:r>
                </w:p>
              </w:tc>
              <w:tc>
                <w:tcPr>
                  <w:tcW w:w="1509" w:type="dxa"/>
                  <w:noWrap w:val="0"/>
                  <w:vAlign w:val="center"/>
                </w:tcPr>
                <w:p w14:paraId="58E17D10">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西</w:t>
                  </w:r>
                  <w:r>
                    <w:rPr>
                      <w:rFonts w:hint="default" w:ascii="Times New Roman" w:hAnsi="Times New Roman" w:eastAsia="宋体" w:cs="Times New Roman"/>
                      <w:bCs/>
                      <w:color w:val="auto"/>
                      <w:lang w:val="en-US" w:eastAsia="zh-CN"/>
                    </w:rPr>
                    <w:t>厂界外1m</w:t>
                  </w:r>
                </w:p>
              </w:tc>
              <w:tc>
                <w:tcPr>
                  <w:tcW w:w="1581" w:type="dxa"/>
                  <w:noWrap w:val="0"/>
                  <w:vAlign w:val="center"/>
                </w:tcPr>
                <w:p w14:paraId="7EA8A656">
                  <w:pPr>
                    <w:pStyle w:val="32"/>
                    <w:rPr>
                      <w:rFonts w:hint="default"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北厂界外1m</w:t>
                  </w:r>
                </w:p>
              </w:tc>
            </w:tr>
            <w:tr w14:paraId="6A0F9C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7" w:type="dxa"/>
                  <w:noWrap w:val="0"/>
                  <w:vAlign w:val="center"/>
                </w:tcPr>
                <w:p w14:paraId="1B40AEAE">
                  <w:pPr>
                    <w:pStyle w:val="32"/>
                    <w:rPr>
                      <w:rFonts w:hint="default"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噪声贡献值</w:t>
                  </w:r>
                </w:p>
              </w:tc>
              <w:tc>
                <w:tcPr>
                  <w:tcW w:w="1643" w:type="dxa"/>
                  <w:noWrap w:val="0"/>
                  <w:vAlign w:val="center"/>
                </w:tcPr>
                <w:p w14:paraId="3DC68490">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40.3 </w:t>
                  </w:r>
                </w:p>
              </w:tc>
              <w:tc>
                <w:tcPr>
                  <w:tcW w:w="1567" w:type="dxa"/>
                  <w:noWrap w:val="0"/>
                  <w:vAlign w:val="center"/>
                </w:tcPr>
                <w:p w14:paraId="0BF735A7">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41.0 </w:t>
                  </w:r>
                </w:p>
              </w:tc>
              <w:tc>
                <w:tcPr>
                  <w:tcW w:w="1509" w:type="dxa"/>
                  <w:noWrap w:val="0"/>
                  <w:vAlign w:val="center"/>
                </w:tcPr>
                <w:p w14:paraId="0DD54C12">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27.3 </w:t>
                  </w:r>
                </w:p>
              </w:tc>
              <w:tc>
                <w:tcPr>
                  <w:tcW w:w="1581" w:type="dxa"/>
                  <w:noWrap w:val="0"/>
                  <w:vAlign w:val="center"/>
                </w:tcPr>
                <w:p w14:paraId="432F3CEC">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28.3 </w:t>
                  </w:r>
                </w:p>
              </w:tc>
            </w:tr>
            <w:tr w14:paraId="75B93A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7" w:type="dxa"/>
                  <w:noWrap w:val="0"/>
                  <w:vAlign w:val="center"/>
                </w:tcPr>
                <w:p w14:paraId="2951C6A0">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噪声现状值（昼间）</w:t>
                  </w:r>
                </w:p>
              </w:tc>
              <w:tc>
                <w:tcPr>
                  <w:tcW w:w="1643" w:type="dxa"/>
                  <w:noWrap w:val="0"/>
                  <w:vAlign w:val="center"/>
                </w:tcPr>
                <w:p w14:paraId="24E93219">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58.1 </w:t>
                  </w:r>
                </w:p>
              </w:tc>
              <w:tc>
                <w:tcPr>
                  <w:tcW w:w="1567" w:type="dxa"/>
                  <w:noWrap w:val="0"/>
                  <w:vAlign w:val="center"/>
                </w:tcPr>
                <w:p w14:paraId="51206513">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57.1 </w:t>
                  </w:r>
                </w:p>
              </w:tc>
              <w:tc>
                <w:tcPr>
                  <w:tcW w:w="1509" w:type="dxa"/>
                  <w:noWrap w:val="0"/>
                  <w:vAlign w:val="center"/>
                </w:tcPr>
                <w:p w14:paraId="5DAD7214">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55.5 </w:t>
                  </w:r>
                </w:p>
              </w:tc>
              <w:tc>
                <w:tcPr>
                  <w:tcW w:w="1581" w:type="dxa"/>
                  <w:noWrap w:val="0"/>
                  <w:vAlign w:val="center"/>
                </w:tcPr>
                <w:p w14:paraId="10696639">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59.6 </w:t>
                  </w:r>
                </w:p>
              </w:tc>
            </w:tr>
            <w:tr w14:paraId="4EEBBD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7" w:type="dxa"/>
                  <w:noWrap w:val="0"/>
                  <w:vAlign w:val="center"/>
                </w:tcPr>
                <w:p w14:paraId="375EEE15">
                  <w:pPr>
                    <w:pStyle w:val="32"/>
                    <w:rPr>
                      <w:rFonts w:hint="eastAsia"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噪声预测值</w:t>
                  </w:r>
                </w:p>
              </w:tc>
              <w:tc>
                <w:tcPr>
                  <w:tcW w:w="1643" w:type="dxa"/>
                  <w:noWrap w:val="0"/>
                  <w:vAlign w:val="center"/>
                </w:tcPr>
                <w:p w14:paraId="2DCC38B7">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58.2 </w:t>
                  </w:r>
                </w:p>
              </w:tc>
              <w:tc>
                <w:tcPr>
                  <w:tcW w:w="1567" w:type="dxa"/>
                  <w:noWrap w:val="0"/>
                  <w:vAlign w:val="center"/>
                </w:tcPr>
                <w:p w14:paraId="651EAF0A">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57.2 </w:t>
                  </w:r>
                </w:p>
              </w:tc>
              <w:tc>
                <w:tcPr>
                  <w:tcW w:w="1509" w:type="dxa"/>
                  <w:noWrap w:val="0"/>
                  <w:vAlign w:val="center"/>
                </w:tcPr>
                <w:p w14:paraId="5861CD38">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55.5 </w:t>
                  </w:r>
                </w:p>
              </w:tc>
              <w:tc>
                <w:tcPr>
                  <w:tcW w:w="1581" w:type="dxa"/>
                  <w:noWrap w:val="0"/>
                  <w:vAlign w:val="center"/>
                </w:tcPr>
                <w:p w14:paraId="22DF3235">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 xml:space="preserve">59.6 </w:t>
                  </w:r>
                </w:p>
              </w:tc>
            </w:tr>
            <w:tr w14:paraId="1D930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17" w:type="dxa"/>
                  <w:noWrap w:val="0"/>
                  <w:vAlign w:val="center"/>
                </w:tcPr>
                <w:p w14:paraId="73C2FB27">
                  <w:pPr>
                    <w:pStyle w:val="32"/>
                    <w:rPr>
                      <w:rFonts w:hint="eastAsia"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昼间</w:t>
                  </w:r>
                  <w:r>
                    <w:rPr>
                      <w:rFonts w:hint="default" w:ascii="Times New Roman" w:hAnsi="Times New Roman" w:eastAsia="宋体" w:cs="Times New Roman"/>
                      <w:bCs/>
                      <w:color w:val="auto"/>
                      <w:lang w:val="en-US" w:eastAsia="zh-CN"/>
                    </w:rPr>
                    <w:t>标准值</w:t>
                  </w:r>
                </w:p>
              </w:tc>
              <w:tc>
                <w:tcPr>
                  <w:tcW w:w="1643" w:type="dxa"/>
                  <w:noWrap w:val="0"/>
                  <w:vAlign w:val="center"/>
                </w:tcPr>
                <w:p w14:paraId="399CF09F">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65</w:t>
                  </w:r>
                </w:p>
              </w:tc>
              <w:tc>
                <w:tcPr>
                  <w:tcW w:w="1567" w:type="dxa"/>
                  <w:noWrap w:val="0"/>
                  <w:vAlign w:val="center"/>
                </w:tcPr>
                <w:p w14:paraId="71DAF773">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65</w:t>
                  </w:r>
                </w:p>
              </w:tc>
              <w:tc>
                <w:tcPr>
                  <w:tcW w:w="1509" w:type="dxa"/>
                  <w:noWrap w:val="0"/>
                  <w:vAlign w:val="center"/>
                </w:tcPr>
                <w:p w14:paraId="5D114244">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65</w:t>
                  </w:r>
                </w:p>
              </w:tc>
              <w:tc>
                <w:tcPr>
                  <w:tcW w:w="1581" w:type="dxa"/>
                  <w:noWrap w:val="0"/>
                  <w:vAlign w:val="center"/>
                </w:tcPr>
                <w:p w14:paraId="64DD4867">
                  <w:pPr>
                    <w:pStyle w:val="32"/>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65</w:t>
                  </w:r>
                </w:p>
              </w:tc>
            </w:tr>
          </w:tbl>
          <w:p w14:paraId="084BE359">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由上表可知，本项目主要锅炉等设备安置于锅炉房内，在采取相应的环保措施后，厂界四周噪声贡献值满足《工业企业厂界环境噪声排放标准》(GB12348-2008）3类标准要求，厂界50m范围内不存在学校、厂区、居民等敏感目标，不会产生扰民现象，因此本项目噪声不会对周边产生明显影响。</w:t>
            </w:r>
          </w:p>
          <w:p w14:paraId="67C04E45">
            <w:pP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4.2.4固体废物环境保护措施</w:t>
            </w:r>
          </w:p>
          <w:p w14:paraId="36F49C00">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本项目拟新增</w:t>
            </w:r>
            <w:r>
              <w:rPr>
                <w:rFonts w:hint="eastAsia" w:cs="Times New Roman"/>
                <w:color w:val="auto"/>
                <w:lang w:val="en-US" w:eastAsia="zh-CN"/>
              </w:rPr>
              <w:t>2</w:t>
            </w:r>
            <w:r>
              <w:rPr>
                <w:rFonts w:hint="default" w:ascii="Times New Roman" w:hAnsi="Times New Roman" w:cs="Times New Roman"/>
                <w:color w:val="auto"/>
              </w:rPr>
              <w:t>台燃气锅炉，运营后，无新增固体废物产生。</w:t>
            </w:r>
          </w:p>
          <w:p w14:paraId="6C37B855">
            <w:pPr>
              <w:pStyle w:val="4"/>
              <w:pBdr>
                <w:top w:val="none" w:color="auto" w:sz="0" w:space="1"/>
                <w:left w:val="none" w:color="auto" w:sz="0" w:space="4"/>
                <w:bottom w:val="none" w:color="auto" w:sz="0" w:space="1"/>
                <w:right w:val="none" w:color="auto" w:sz="0" w:space="4"/>
              </w:pBdr>
              <w:ind w:left="0" w:firstLine="0"/>
              <w:rPr>
                <w:rFonts w:hint="default" w:ascii="Times New Roman" w:hAnsi="Times New Roman" w:cs="Times New Roman"/>
                <w:color w:val="auto"/>
              </w:rPr>
            </w:pPr>
            <w:r>
              <w:rPr>
                <w:rFonts w:hint="default" w:ascii="Times New Roman" w:hAnsi="Times New Roman" w:cs="Times New Roman"/>
                <w:color w:val="auto"/>
              </w:rPr>
              <w:t>环境风险</w:t>
            </w:r>
          </w:p>
          <w:p w14:paraId="6D8C84CF">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4.3.1风险物质</w:t>
            </w:r>
          </w:p>
          <w:p w14:paraId="4D9F4E21">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项目锅炉使用天然气，本项目天然气主要为输气管道。所以项目运营期主要分析管道天然气在生产过程中存在火灾、爆炸、泄漏等环境风险可能。</w:t>
            </w:r>
          </w:p>
          <w:p w14:paraId="64234FF2">
            <w:pPr>
              <w:ind w:firstLine="482"/>
              <w:jc w:val="center"/>
              <w:rPr>
                <w:rFonts w:hint="default" w:ascii="Times New Roman" w:hAnsi="Times New Roman" w:cs="Times New Roman"/>
                <w:b/>
                <w:color w:val="auto"/>
              </w:rPr>
            </w:pPr>
            <w:r>
              <w:rPr>
                <w:rFonts w:hint="default" w:ascii="Times New Roman" w:hAnsi="Times New Roman" w:cs="Times New Roman"/>
                <w:b/>
                <w:color w:val="auto"/>
              </w:rPr>
              <w:t>表4.3-1 天然气理化性质一览表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5"/>
              <w:gridCol w:w="2432"/>
              <w:gridCol w:w="1984"/>
              <w:gridCol w:w="1985"/>
            </w:tblGrid>
            <w:tr w14:paraId="65491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14:paraId="4D7BD45C">
                  <w:pPr>
                    <w:pStyle w:val="32"/>
                    <w:rPr>
                      <w:rFonts w:hint="default" w:ascii="Times New Roman" w:hAnsi="Times New Roman" w:cs="Times New Roman"/>
                      <w:bCs/>
                      <w:color w:val="auto"/>
                    </w:rPr>
                  </w:pPr>
                  <w:bookmarkStart w:id="44" w:name="_Hlk82091911"/>
                  <w:r>
                    <w:rPr>
                      <w:rFonts w:hint="default" w:ascii="Times New Roman" w:hAnsi="Times New Roman" w:cs="Times New Roman"/>
                      <w:bCs/>
                      <w:color w:val="auto"/>
                    </w:rPr>
                    <w:t>名称</w:t>
                  </w:r>
                </w:p>
              </w:tc>
              <w:tc>
                <w:tcPr>
                  <w:tcW w:w="2893" w:type="dxa"/>
                  <w:shd w:val="clear" w:color="auto" w:fill="auto"/>
                  <w:vAlign w:val="center"/>
                </w:tcPr>
                <w:p w14:paraId="3BF70E36">
                  <w:pPr>
                    <w:pStyle w:val="32"/>
                    <w:rPr>
                      <w:rFonts w:hint="default" w:ascii="Times New Roman" w:hAnsi="Times New Roman" w:cs="Times New Roman"/>
                      <w:bCs/>
                      <w:color w:val="auto"/>
                    </w:rPr>
                  </w:pPr>
                  <w:r>
                    <w:rPr>
                      <w:rFonts w:hint="default" w:ascii="Times New Roman" w:hAnsi="Times New Roman" w:cs="Times New Roman"/>
                      <w:bCs/>
                      <w:color w:val="auto"/>
                    </w:rPr>
                    <w:t>天然气</w:t>
                  </w:r>
                </w:p>
              </w:tc>
              <w:tc>
                <w:tcPr>
                  <w:tcW w:w="2351" w:type="dxa"/>
                  <w:shd w:val="clear" w:color="auto" w:fill="auto"/>
                  <w:vAlign w:val="center"/>
                </w:tcPr>
                <w:p w14:paraId="251A1C39">
                  <w:pPr>
                    <w:pStyle w:val="32"/>
                    <w:rPr>
                      <w:rFonts w:hint="default" w:ascii="Times New Roman" w:hAnsi="Times New Roman" w:cs="Times New Roman"/>
                      <w:bCs/>
                      <w:color w:val="auto"/>
                    </w:rPr>
                  </w:pPr>
                  <w:r>
                    <w:rPr>
                      <w:rFonts w:hint="default" w:ascii="Times New Roman" w:hAnsi="Times New Roman" w:cs="Times New Roman"/>
                      <w:bCs/>
                      <w:color w:val="auto"/>
                    </w:rPr>
                    <w:t>危险性类别</w:t>
                  </w:r>
                </w:p>
              </w:tc>
              <w:tc>
                <w:tcPr>
                  <w:tcW w:w="2352" w:type="dxa"/>
                  <w:shd w:val="clear" w:color="auto" w:fill="auto"/>
                  <w:vAlign w:val="center"/>
                </w:tcPr>
                <w:p w14:paraId="77CC90DD">
                  <w:pPr>
                    <w:pStyle w:val="32"/>
                    <w:rPr>
                      <w:rFonts w:hint="default" w:ascii="Times New Roman" w:hAnsi="Times New Roman" w:cs="Times New Roman"/>
                      <w:bCs/>
                      <w:color w:val="auto"/>
                    </w:rPr>
                  </w:pPr>
                  <w:r>
                    <w:rPr>
                      <w:rFonts w:hint="default" w:ascii="Times New Roman" w:hAnsi="Times New Roman" w:cs="Times New Roman"/>
                      <w:bCs/>
                      <w:color w:val="auto"/>
                    </w:rPr>
                    <w:t>第2.1类易燃气体</w:t>
                  </w:r>
                </w:p>
              </w:tc>
            </w:tr>
            <w:tr w14:paraId="639F2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14:paraId="5F52691B">
                  <w:pPr>
                    <w:pStyle w:val="32"/>
                    <w:rPr>
                      <w:rFonts w:hint="default" w:ascii="Times New Roman" w:hAnsi="Times New Roman" w:cs="Times New Roman"/>
                      <w:bCs/>
                      <w:color w:val="auto"/>
                    </w:rPr>
                  </w:pPr>
                  <w:r>
                    <w:rPr>
                      <w:rFonts w:hint="default" w:ascii="Times New Roman" w:hAnsi="Times New Roman" w:cs="Times New Roman"/>
                      <w:bCs/>
                      <w:color w:val="auto"/>
                    </w:rPr>
                    <w:t>主要成分</w:t>
                  </w:r>
                </w:p>
              </w:tc>
              <w:tc>
                <w:tcPr>
                  <w:tcW w:w="2893" w:type="dxa"/>
                  <w:shd w:val="clear" w:color="auto" w:fill="auto"/>
                  <w:vAlign w:val="center"/>
                </w:tcPr>
                <w:p w14:paraId="5DEFBC5F">
                  <w:pPr>
                    <w:pStyle w:val="32"/>
                    <w:rPr>
                      <w:rFonts w:hint="default" w:ascii="Times New Roman" w:hAnsi="Times New Roman" w:cs="Times New Roman"/>
                      <w:bCs/>
                      <w:color w:val="auto"/>
                    </w:rPr>
                  </w:pPr>
                  <w:r>
                    <w:rPr>
                      <w:rFonts w:hint="default" w:ascii="Times New Roman" w:hAnsi="Times New Roman" w:cs="Times New Roman"/>
                      <w:bCs/>
                      <w:color w:val="auto"/>
                    </w:rPr>
                    <w:t>甲烷（85%）</w:t>
                  </w:r>
                </w:p>
              </w:tc>
              <w:tc>
                <w:tcPr>
                  <w:tcW w:w="2351" w:type="dxa"/>
                  <w:shd w:val="clear" w:color="auto" w:fill="auto"/>
                  <w:vAlign w:val="center"/>
                </w:tcPr>
                <w:p w14:paraId="04F8438F">
                  <w:pPr>
                    <w:pStyle w:val="32"/>
                    <w:rPr>
                      <w:rFonts w:hint="default" w:ascii="Times New Roman" w:hAnsi="Times New Roman" w:cs="Times New Roman"/>
                      <w:bCs/>
                      <w:color w:val="auto"/>
                    </w:rPr>
                  </w:pPr>
                  <w:r>
                    <w:rPr>
                      <w:rFonts w:hint="default" w:ascii="Times New Roman" w:hAnsi="Times New Roman" w:cs="Times New Roman"/>
                      <w:bCs/>
                      <w:color w:val="auto"/>
                    </w:rPr>
                    <w:t>分子式</w:t>
                  </w:r>
                </w:p>
              </w:tc>
              <w:tc>
                <w:tcPr>
                  <w:tcW w:w="2352" w:type="dxa"/>
                  <w:shd w:val="clear" w:color="auto" w:fill="auto"/>
                  <w:vAlign w:val="center"/>
                </w:tcPr>
                <w:p w14:paraId="05E875A5">
                  <w:pPr>
                    <w:pStyle w:val="32"/>
                    <w:rPr>
                      <w:rFonts w:hint="default" w:ascii="Times New Roman" w:hAnsi="Times New Roman" w:cs="Times New Roman"/>
                      <w:bCs/>
                      <w:color w:val="auto"/>
                    </w:rPr>
                  </w:pPr>
                  <w:r>
                    <w:rPr>
                      <w:rFonts w:hint="default" w:ascii="Times New Roman" w:hAnsi="Times New Roman" w:cs="Times New Roman"/>
                      <w:bCs/>
                      <w:color w:val="auto"/>
                    </w:rPr>
                    <w:t>CH4</w:t>
                  </w:r>
                </w:p>
              </w:tc>
            </w:tr>
            <w:tr w14:paraId="6BF05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14:paraId="7124372D">
                  <w:pPr>
                    <w:pStyle w:val="32"/>
                    <w:rPr>
                      <w:rFonts w:hint="default" w:ascii="Times New Roman" w:hAnsi="Times New Roman" w:cs="Times New Roman"/>
                      <w:bCs/>
                      <w:color w:val="auto"/>
                    </w:rPr>
                  </w:pPr>
                  <w:r>
                    <w:rPr>
                      <w:rFonts w:hint="default" w:ascii="Times New Roman" w:hAnsi="Times New Roman" w:cs="Times New Roman"/>
                      <w:bCs/>
                      <w:color w:val="auto"/>
                    </w:rPr>
                    <w:t>用途</w:t>
                  </w:r>
                </w:p>
              </w:tc>
              <w:tc>
                <w:tcPr>
                  <w:tcW w:w="7596" w:type="dxa"/>
                  <w:gridSpan w:val="3"/>
                  <w:shd w:val="clear" w:color="auto" w:fill="auto"/>
                  <w:vAlign w:val="center"/>
                </w:tcPr>
                <w:p w14:paraId="425DA0C1">
                  <w:pPr>
                    <w:pStyle w:val="32"/>
                    <w:rPr>
                      <w:rFonts w:hint="default" w:ascii="Times New Roman" w:hAnsi="Times New Roman" w:cs="Times New Roman"/>
                      <w:bCs/>
                      <w:color w:val="auto"/>
                    </w:rPr>
                  </w:pPr>
                  <w:r>
                    <w:rPr>
                      <w:rFonts w:hint="default" w:ascii="Times New Roman" w:hAnsi="Times New Roman" w:cs="Times New Roman"/>
                      <w:bCs/>
                      <w:color w:val="auto"/>
                    </w:rPr>
                    <w:t>用作燃料和用于炭黑、 氢、 乙炔、 甲醛等的制造。</w:t>
                  </w:r>
                </w:p>
              </w:tc>
            </w:tr>
            <w:tr w14:paraId="11B9B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restart"/>
                  <w:shd w:val="clear" w:color="auto" w:fill="auto"/>
                  <w:vAlign w:val="center"/>
                </w:tcPr>
                <w:p w14:paraId="63A7CA8D">
                  <w:pPr>
                    <w:pStyle w:val="32"/>
                    <w:rPr>
                      <w:rFonts w:hint="default" w:ascii="Times New Roman" w:hAnsi="Times New Roman" w:cs="Times New Roman"/>
                      <w:bCs/>
                      <w:color w:val="auto"/>
                    </w:rPr>
                  </w:pPr>
                  <w:r>
                    <w:rPr>
                      <w:rFonts w:hint="default" w:ascii="Times New Roman" w:hAnsi="Times New Roman" w:cs="Times New Roman"/>
                      <w:bCs/>
                      <w:color w:val="auto"/>
                    </w:rPr>
                    <w:t>理化性质</w:t>
                  </w:r>
                </w:p>
              </w:tc>
              <w:tc>
                <w:tcPr>
                  <w:tcW w:w="7596" w:type="dxa"/>
                  <w:gridSpan w:val="3"/>
                  <w:shd w:val="clear" w:color="auto" w:fill="auto"/>
                  <w:vAlign w:val="center"/>
                </w:tcPr>
                <w:p w14:paraId="333BAFFE">
                  <w:pPr>
                    <w:pStyle w:val="32"/>
                    <w:rPr>
                      <w:rFonts w:hint="default" w:ascii="Times New Roman" w:hAnsi="Times New Roman" w:cs="Times New Roman"/>
                      <w:bCs/>
                      <w:color w:val="auto"/>
                    </w:rPr>
                  </w:pPr>
                  <w:r>
                    <w:rPr>
                      <w:rFonts w:hint="default" w:ascii="Times New Roman" w:hAnsi="Times New Roman" w:cs="Times New Roman"/>
                      <w:bCs/>
                      <w:color w:val="auto"/>
                    </w:rPr>
                    <w:t>外观与性状：无色无臭气体；燃烧热（kJ/mol）：889.5</w:t>
                  </w:r>
                </w:p>
              </w:tc>
            </w:tr>
            <w:tr w14:paraId="25D2E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14:paraId="405E8F74">
                  <w:pPr>
                    <w:pStyle w:val="32"/>
                    <w:rPr>
                      <w:rFonts w:hint="default" w:ascii="Times New Roman" w:hAnsi="Times New Roman" w:cs="Times New Roman"/>
                      <w:bCs/>
                      <w:color w:val="auto"/>
                    </w:rPr>
                  </w:pPr>
                </w:p>
              </w:tc>
              <w:tc>
                <w:tcPr>
                  <w:tcW w:w="7596" w:type="dxa"/>
                  <w:gridSpan w:val="3"/>
                  <w:shd w:val="clear" w:color="auto" w:fill="auto"/>
                  <w:vAlign w:val="center"/>
                </w:tcPr>
                <w:p w14:paraId="30640F48">
                  <w:pPr>
                    <w:pStyle w:val="32"/>
                    <w:rPr>
                      <w:rFonts w:hint="default" w:ascii="Times New Roman" w:hAnsi="Times New Roman" w:cs="Times New Roman"/>
                      <w:bCs/>
                      <w:color w:val="auto"/>
                    </w:rPr>
                  </w:pPr>
                  <w:r>
                    <w:rPr>
                      <w:rFonts w:hint="default" w:ascii="Times New Roman" w:hAnsi="Times New Roman" w:cs="Times New Roman"/>
                      <w:bCs/>
                      <w:color w:val="auto"/>
                    </w:rPr>
                    <w:t>相对密度（水=1）：0.42（-164℃）；熔点（℃）： -182.5</w:t>
                  </w:r>
                </w:p>
              </w:tc>
            </w:tr>
            <w:tr w14:paraId="40966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14:paraId="2A67AA5D">
                  <w:pPr>
                    <w:pStyle w:val="32"/>
                    <w:rPr>
                      <w:rFonts w:hint="default" w:ascii="Times New Roman" w:hAnsi="Times New Roman" w:cs="Times New Roman"/>
                      <w:bCs/>
                      <w:color w:val="auto"/>
                    </w:rPr>
                  </w:pPr>
                </w:p>
              </w:tc>
              <w:tc>
                <w:tcPr>
                  <w:tcW w:w="7596" w:type="dxa"/>
                  <w:gridSpan w:val="3"/>
                  <w:shd w:val="clear" w:color="auto" w:fill="auto"/>
                  <w:vAlign w:val="center"/>
                </w:tcPr>
                <w:p w14:paraId="05454918">
                  <w:pPr>
                    <w:pStyle w:val="32"/>
                    <w:rPr>
                      <w:rFonts w:hint="default" w:ascii="Times New Roman" w:hAnsi="Times New Roman" w:cs="Times New Roman"/>
                      <w:bCs/>
                      <w:color w:val="auto"/>
                    </w:rPr>
                  </w:pPr>
                  <w:r>
                    <w:rPr>
                      <w:rFonts w:hint="default" w:ascii="Times New Roman" w:hAnsi="Times New Roman" w:cs="Times New Roman"/>
                      <w:bCs/>
                      <w:color w:val="auto"/>
                    </w:rPr>
                    <w:t>相对密度（空气=1）：0.6 ；沸点（℃）：-161.5</w:t>
                  </w:r>
                </w:p>
              </w:tc>
            </w:tr>
            <w:tr w14:paraId="3670F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14:paraId="6A3CCA5A">
                  <w:pPr>
                    <w:pStyle w:val="32"/>
                    <w:rPr>
                      <w:rFonts w:hint="default" w:ascii="Times New Roman" w:hAnsi="Times New Roman" w:cs="Times New Roman"/>
                      <w:bCs/>
                      <w:color w:val="auto"/>
                    </w:rPr>
                  </w:pPr>
                </w:p>
              </w:tc>
              <w:tc>
                <w:tcPr>
                  <w:tcW w:w="7596" w:type="dxa"/>
                  <w:gridSpan w:val="3"/>
                  <w:shd w:val="clear" w:color="auto" w:fill="auto"/>
                  <w:vAlign w:val="center"/>
                </w:tcPr>
                <w:p w14:paraId="10A5FC14">
                  <w:pPr>
                    <w:pStyle w:val="32"/>
                    <w:rPr>
                      <w:rFonts w:hint="default" w:ascii="Times New Roman" w:hAnsi="Times New Roman" w:cs="Times New Roman"/>
                      <w:bCs/>
                      <w:color w:val="auto"/>
                    </w:rPr>
                  </w:pPr>
                  <w:r>
                    <w:rPr>
                      <w:rFonts w:hint="default" w:ascii="Times New Roman" w:hAnsi="Times New Roman" w:cs="Times New Roman"/>
                      <w:bCs/>
                      <w:color w:val="auto"/>
                    </w:rPr>
                    <w:t>临界温度（℃）：-82.6 ；饱和蒸气压（kPa）：53.32（-168.8℃）</w:t>
                  </w:r>
                </w:p>
              </w:tc>
            </w:tr>
            <w:tr w14:paraId="24025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14:paraId="16C600E5">
                  <w:pPr>
                    <w:pStyle w:val="32"/>
                    <w:rPr>
                      <w:rFonts w:hint="default" w:ascii="Times New Roman" w:hAnsi="Times New Roman" w:cs="Times New Roman"/>
                      <w:bCs/>
                      <w:color w:val="auto"/>
                    </w:rPr>
                  </w:pPr>
                </w:p>
              </w:tc>
              <w:tc>
                <w:tcPr>
                  <w:tcW w:w="7596" w:type="dxa"/>
                  <w:gridSpan w:val="3"/>
                  <w:shd w:val="clear" w:color="auto" w:fill="auto"/>
                  <w:vAlign w:val="center"/>
                </w:tcPr>
                <w:p w14:paraId="6B28DEFA">
                  <w:pPr>
                    <w:pStyle w:val="32"/>
                    <w:rPr>
                      <w:rFonts w:hint="default" w:ascii="Times New Roman" w:hAnsi="Times New Roman" w:cs="Times New Roman"/>
                      <w:bCs/>
                      <w:color w:val="auto"/>
                    </w:rPr>
                  </w:pPr>
                  <w:r>
                    <w:rPr>
                      <w:rFonts w:hint="default" w:ascii="Times New Roman" w:hAnsi="Times New Roman" w:cs="Times New Roman"/>
                      <w:bCs/>
                      <w:color w:val="auto"/>
                    </w:rPr>
                    <w:t>爆炸下限％（V/V）：5.3；爆炸上限％（V/V）：15</w:t>
                  </w:r>
                </w:p>
              </w:tc>
            </w:tr>
            <w:tr w14:paraId="40EC8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14:paraId="7120C07D">
                  <w:pPr>
                    <w:pStyle w:val="32"/>
                    <w:rPr>
                      <w:rFonts w:hint="default" w:ascii="Times New Roman" w:hAnsi="Times New Roman" w:cs="Times New Roman"/>
                      <w:bCs/>
                      <w:color w:val="auto"/>
                    </w:rPr>
                  </w:pPr>
                </w:p>
              </w:tc>
              <w:tc>
                <w:tcPr>
                  <w:tcW w:w="7596" w:type="dxa"/>
                  <w:gridSpan w:val="3"/>
                  <w:shd w:val="clear" w:color="auto" w:fill="auto"/>
                  <w:vAlign w:val="center"/>
                </w:tcPr>
                <w:p w14:paraId="155C68A8">
                  <w:pPr>
                    <w:pStyle w:val="32"/>
                    <w:rPr>
                      <w:rFonts w:hint="default" w:ascii="Times New Roman" w:hAnsi="Times New Roman" w:cs="Times New Roman"/>
                      <w:bCs/>
                      <w:color w:val="auto"/>
                    </w:rPr>
                  </w:pPr>
                  <w:r>
                    <w:rPr>
                      <w:rFonts w:hint="default" w:ascii="Times New Roman" w:hAnsi="Times New Roman" w:cs="Times New Roman"/>
                      <w:bCs/>
                      <w:color w:val="auto"/>
                    </w:rPr>
                    <w:t>引燃温度（℃）：538 ；最小点火能（mJ）：0.28</w:t>
                  </w:r>
                </w:p>
              </w:tc>
            </w:tr>
            <w:tr w14:paraId="5022D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14:paraId="52E74645">
                  <w:pPr>
                    <w:pStyle w:val="32"/>
                    <w:rPr>
                      <w:rFonts w:hint="default" w:ascii="Times New Roman" w:hAnsi="Times New Roman" w:cs="Times New Roman"/>
                      <w:bCs/>
                      <w:color w:val="auto"/>
                    </w:rPr>
                  </w:pPr>
                </w:p>
              </w:tc>
              <w:tc>
                <w:tcPr>
                  <w:tcW w:w="7596" w:type="dxa"/>
                  <w:gridSpan w:val="3"/>
                  <w:shd w:val="clear" w:color="auto" w:fill="auto"/>
                  <w:vAlign w:val="center"/>
                </w:tcPr>
                <w:p w14:paraId="7E378129">
                  <w:pPr>
                    <w:pStyle w:val="32"/>
                    <w:rPr>
                      <w:rFonts w:hint="default" w:ascii="Times New Roman" w:hAnsi="Times New Roman" w:cs="Times New Roman"/>
                      <w:bCs/>
                      <w:color w:val="auto"/>
                    </w:rPr>
                  </w:pPr>
                  <w:r>
                    <w:rPr>
                      <w:rFonts w:hint="default" w:ascii="Times New Roman" w:hAnsi="Times New Roman" w:cs="Times New Roman"/>
                      <w:bCs/>
                      <w:color w:val="auto"/>
                    </w:rPr>
                    <w:t>闪点（℃）： -188；最大爆炸压力（MPa）：0.717</w:t>
                  </w:r>
                </w:p>
              </w:tc>
            </w:tr>
            <w:tr w14:paraId="3C15F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14:paraId="51C07D4E">
                  <w:pPr>
                    <w:pStyle w:val="32"/>
                    <w:rPr>
                      <w:rFonts w:hint="default" w:ascii="Times New Roman" w:hAnsi="Times New Roman" w:cs="Times New Roman"/>
                      <w:bCs/>
                      <w:color w:val="auto"/>
                    </w:rPr>
                  </w:pPr>
                </w:p>
              </w:tc>
              <w:tc>
                <w:tcPr>
                  <w:tcW w:w="7596" w:type="dxa"/>
                  <w:gridSpan w:val="3"/>
                  <w:shd w:val="clear" w:color="auto" w:fill="auto"/>
                  <w:vAlign w:val="center"/>
                </w:tcPr>
                <w:p w14:paraId="0DAD5822">
                  <w:pPr>
                    <w:pStyle w:val="32"/>
                    <w:rPr>
                      <w:rFonts w:hint="default" w:ascii="Times New Roman" w:hAnsi="Times New Roman" w:cs="Times New Roman"/>
                      <w:bCs/>
                      <w:color w:val="auto"/>
                    </w:rPr>
                  </w:pPr>
                  <w:r>
                    <w:rPr>
                      <w:rFonts w:hint="default" w:ascii="Times New Roman" w:hAnsi="Times New Roman" w:cs="Times New Roman"/>
                      <w:bCs/>
                      <w:color w:val="auto"/>
                    </w:rPr>
                    <w:t>溶解性：微溶于水、 溶于醇、 乙醚；临界压力（MPa）： 4.59</w:t>
                  </w:r>
                </w:p>
              </w:tc>
            </w:tr>
            <w:tr w14:paraId="6EBBA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14:paraId="0216F436">
                  <w:pPr>
                    <w:pStyle w:val="32"/>
                    <w:rPr>
                      <w:rFonts w:hint="default" w:ascii="Times New Roman" w:hAnsi="Times New Roman" w:cs="Times New Roman"/>
                      <w:bCs/>
                      <w:color w:val="auto"/>
                    </w:rPr>
                  </w:pPr>
                  <w:r>
                    <w:rPr>
                      <w:rFonts w:hint="default" w:ascii="Times New Roman" w:hAnsi="Times New Roman" w:cs="Times New Roman"/>
                      <w:bCs/>
                      <w:color w:val="auto"/>
                    </w:rPr>
                    <w:t>毒理性质及健康危害</w:t>
                  </w:r>
                </w:p>
              </w:tc>
              <w:tc>
                <w:tcPr>
                  <w:tcW w:w="7596" w:type="dxa"/>
                  <w:gridSpan w:val="3"/>
                  <w:shd w:val="clear" w:color="auto" w:fill="auto"/>
                  <w:vAlign w:val="center"/>
                </w:tcPr>
                <w:p w14:paraId="365D99AA">
                  <w:pPr>
                    <w:pStyle w:val="32"/>
                    <w:jc w:val="left"/>
                    <w:rPr>
                      <w:rFonts w:hint="default" w:ascii="Times New Roman" w:hAnsi="Times New Roman" w:cs="Times New Roman"/>
                      <w:bCs/>
                      <w:color w:val="auto"/>
                    </w:rPr>
                  </w:pPr>
                  <w:r>
                    <w:rPr>
                      <w:rFonts w:hint="default" w:ascii="Times New Roman" w:hAnsi="Times New Roman" w:cs="Times New Roman"/>
                      <w:bCs/>
                      <w:color w:val="auto"/>
                    </w:rPr>
                    <w:t>对人基本无毒， 但浓度过高时， 使空气中氧含量明显降低， 使人窒息， 当空气中甲烷达 25%～30%时， 可引起头痛、 头晕、 乏力、 注意力不集中、 呼吸和心跳加速、 共济失调， 若不及时脱离， 可致窒息死亡。 皮肤接触液化本品，可致冻伤</w:t>
                  </w:r>
                </w:p>
              </w:tc>
            </w:tr>
            <w:tr w14:paraId="13AC4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14:paraId="792EFA72">
                  <w:pPr>
                    <w:pStyle w:val="32"/>
                    <w:rPr>
                      <w:rFonts w:hint="default" w:ascii="Times New Roman" w:hAnsi="Times New Roman" w:cs="Times New Roman"/>
                      <w:bCs/>
                      <w:color w:val="auto"/>
                    </w:rPr>
                  </w:pPr>
                  <w:r>
                    <w:rPr>
                      <w:rFonts w:hint="default" w:ascii="Times New Roman" w:hAnsi="Times New Roman" w:cs="Times New Roman"/>
                      <w:bCs/>
                      <w:color w:val="auto"/>
                    </w:rPr>
                    <w:t>急救措施</w:t>
                  </w:r>
                </w:p>
              </w:tc>
              <w:tc>
                <w:tcPr>
                  <w:tcW w:w="7596" w:type="dxa"/>
                  <w:gridSpan w:val="3"/>
                  <w:shd w:val="clear" w:color="auto" w:fill="auto"/>
                  <w:vAlign w:val="center"/>
                </w:tcPr>
                <w:p w14:paraId="120B08EE">
                  <w:pPr>
                    <w:pStyle w:val="32"/>
                    <w:jc w:val="left"/>
                    <w:rPr>
                      <w:rFonts w:hint="default" w:ascii="Times New Roman" w:hAnsi="Times New Roman" w:cs="Times New Roman"/>
                      <w:bCs/>
                      <w:color w:val="auto"/>
                    </w:rPr>
                  </w:pPr>
                  <w:r>
                    <w:rPr>
                      <w:rFonts w:hint="default" w:ascii="Times New Roman" w:hAnsi="Times New Roman" w:cs="Times New Roman"/>
                      <w:bCs/>
                      <w:color w:val="auto"/>
                    </w:rPr>
                    <w:t>吸入：迅速脱离现场至空气新鲜处。保持呼吸道通畅。呼吸困难时给输氧。呼吸停止时，立即进行人工呼吸，就医。</w:t>
                  </w:r>
                </w:p>
                <w:p w14:paraId="56ABD590">
                  <w:pPr>
                    <w:pStyle w:val="32"/>
                    <w:jc w:val="left"/>
                    <w:rPr>
                      <w:rFonts w:hint="default" w:ascii="Times New Roman" w:hAnsi="Times New Roman" w:cs="Times New Roman"/>
                      <w:bCs/>
                      <w:color w:val="auto"/>
                    </w:rPr>
                  </w:pPr>
                  <w:r>
                    <w:rPr>
                      <w:rFonts w:hint="default" w:ascii="Times New Roman" w:hAnsi="Times New Roman" w:cs="Times New Roman"/>
                      <w:bCs/>
                      <w:color w:val="auto"/>
                    </w:rPr>
                    <w:t>眼睛接触：眼睛接触导致冻伤或冻灼伤，立即侵入温水中，不要用超过41℃的热水洗，如果没有浸洗条件，用大量温水至少冲洗 15 分钟。提起眼睑，并充分清洗。 如没有医学建议，请勿使用药膏，马上就医。</w:t>
                  </w:r>
                </w:p>
                <w:p w14:paraId="54EB4DD4">
                  <w:pPr>
                    <w:pStyle w:val="32"/>
                    <w:jc w:val="left"/>
                    <w:rPr>
                      <w:rFonts w:hint="default" w:ascii="Times New Roman" w:hAnsi="Times New Roman" w:cs="Times New Roman"/>
                      <w:bCs/>
                      <w:color w:val="auto"/>
                    </w:rPr>
                  </w:pPr>
                  <w:r>
                    <w:rPr>
                      <w:rFonts w:hint="default" w:ascii="Times New Roman" w:hAnsi="Times New Roman" w:cs="Times New Roman"/>
                      <w:bCs/>
                      <w:color w:val="auto"/>
                    </w:rPr>
                    <w:t>皮肤接触：皮肤接触导致冻伤或冻灼伤，不可用手揉搓冻伤的部位，如果大面积冻伤，需要用温水冲洗，不要用超过 41℃的热水洗，同时脱去衣物，立即就医。</w:t>
                  </w:r>
                </w:p>
              </w:tc>
            </w:tr>
            <w:tr w14:paraId="67E42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14:paraId="376CA0A6">
                  <w:pPr>
                    <w:pStyle w:val="32"/>
                    <w:rPr>
                      <w:rFonts w:hint="default" w:ascii="Times New Roman" w:hAnsi="Times New Roman" w:cs="Times New Roman"/>
                      <w:bCs/>
                      <w:color w:val="auto"/>
                    </w:rPr>
                  </w:pPr>
                  <w:r>
                    <w:rPr>
                      <w:rFonts w:hint="default" w:ascii="Times New Roman" w:hAnsi="Times New Roman" w:cs="Times New Roman"/>
                      <w:bCs/>
                      <w:color w:val="auto"/>
                    </w:rPr>
                    <w:t>泄露应急处理</w:t>
                  </w:r>
                </w:p>
              </w:tc>
              <w:tc>
                <w:tcPr>
                  <w:tcW w:w="7596" w:type="dxa"/>
                  <w:gridSpan w:val="3"/>
                  <w:shd w:val="clear" w:color="auto" w:fill="auto"/>
                  <w:vAlign w:val="center"/>
                </w:tcPr>
                <w:p w14:paraId="2EE96316">
                  <w:pPr>
                    <w:pStyle w:val="32"/>
                    <w:jc w:val="left"/>
                    <w:rPr>
                      <w:rFonts w:hint="default" w:ascii="Times New Roman" w:hAnsi="Times New Roman" w:cs="Times New Roman"/>
                      <w:bCs/>
                      <w:color w:val="auto"/>
                    </w:rPr>
                  </w:pPr>
                  <w:r>
                    <w:rPr>
                      <w:rFonts w:hint="default" w:ascii="Times New Roman" w:hAnsi="Times New Roman" w:cs="Times New Roman"/>
                      <w:bCs/>
                      <w:color w:val="auto"/>
                    </w:rP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w:t>
                  </w:r>
                </w:p>
              </w:tc>
            </w:tr>
            <w:bookmarkEnd w:id="44"/>
          </w:tbl>
          <w:p w14:paraId="11BDE7CC">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4.3.2环境风险潜势</w:t>
            </w:r>
          </w:p>
          <w:p w14:paraId="4B30CDEF">
            <w:pPr>
              <w:ind w:firstLine="480"/>
              <w:rPr>
                <w:rFonts w:hint="default" w:ascii="Times New Roman" w:hAnsi="Times New Roman" w:cs="Times New Roman"/>
                <w:color w:val="auto"/>
              </w:rPr>
            </w:pPr>
            <w:r>
              <w:rPr>
                <w:rFonts w:hint="default" w:ascii="Times New Roman" w:hAnsi="Times New Roman" w:cs="Times New Roman"/>
                <w:color w:val="auto"/>
                <w:lang w:val="zh-CN"/>
              </w:rPr>
              <w:t>根据</w:t>
            </w:r>
            <w:r>
              <w:rPr>
                <w:rFonts w:hint="default" w:ascii="Times New Roman" w:hAnsi="Times New Roman" w:cs="Times New Roman"/>
                <w:color w:val="auto"/>
                <w:kern w:val="0"/>
                <w:lang w:bidi="ar"/>
              </w:rPr>
              <w:t>《建设项目环境风险评价技术导则》（HJ169-2018）附录C，</w:t>
            </w:r>
            <w:r>
              <w:rPr>
                <w:rFonts w:hint="default" w:ascii="Times New Roman" w:hAnsi="Times New Roman" w:cs="Times New Roman"/>
                <w:color w:val="auto"/>
              </w:rPr>
              <w:t>计算所涉及的每种危险物质在厂界内的最大存在总量与其在《建设项目环境风险评价技术导则》（HJ169-2018）附录B中对应临界量的比值Q。在不同厂区的同一种物质，按其在厂界内的最大存在总量计算。当企业只涉及一种风险物质时，该物质的数量与其临界量的比值，即为Q。当企业存在多种化学物质时，则按下式计算物质总量与其临界量比值（Q）：</w:t>
            </w:r>
          </w:p>
          <w:p w14:paraId="357ADF70">
            <w:pPr>
              <w:ind w:firstLine="48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1903730" cy="464185"/>
                  <wp:effectExtent l="0" t="0" r="1270" b="0"/>
                  <wp:docPr id="2" name="图片 2" descr="C:\Users\admin\AppData\Roaming\Tencent\Users\506048567\QQ\WinTemp\RichOle\`_O{@QX45~6E2EU4~BK~(Z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AppData\Roaming\Tencent\Users\506048567\QQ\WinTemp\RichOle\`_O{@QX45~6E2EU4~BK~(ZR.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903730" cy="464185"/>
                          </a:xfrm>
                          <a:prstGeom prst="rect">
                            <a:avLst/>
                          </a:prstGeom>
                          <a:noFill/>
                          <a:ln>
                            <a:noFill/>
                          </a:ln>
                        </pic:spPr>
                      </pic:pic>
                    </a:graphicData>
                  </a:graphic>
                </wp:inline>
              </w:drawing>
            </w:r>
          </w:p>
          <w:p w14:paraId="7837D00E">
            <w:pPr>
              <w:ind w:firstLine="480"/>
              <w:rPr>
                <w:rFonts w:hint="default" w:ascii="Times New Roman" w:hAnsi="Times New Roman" w:cs="Times New Roman"/>
                <w:color w:val="auto"/>
              </w:rPr>
            </w:pPr>
            <w:r>
              <w:rPr>
                <w:rFonts w:hint="default" w:ascii="Times New Roman" w:hAnsi="Times New Roman" w:cs="Times New Roman"/>
                <w:color w:val="auto"/>
              </w:rPr>
              <w:t>式中：q1，q2，...，qn——每种风险物质的存在量，t；</w:t>
            </w:r>
          </w:p>
          <w:p w14:paraId="4E0284C9">
            <w:pPr>
              <w:ind w:firstLine="480"/>
              <w:rPr>
                <w:rFonts w:hint="default" w:ascii="Times New Roman" w:hAnsi="Times New Roman" w:cs="Times New Roman"/>
                <w:color w:val="auto"/>
              </w:rPr>
            </w:pPr>
            <w:r>
              <w:rPr>
                <w:rFonts w:hint="default" w:ascii="Times New Roman" w:hAnsi="Times New Roman" w:cs="Times New Roman"/>
                <w:color w:val="auto"/>
              </w:rPr>
              <w:t>Q1，Q2，...，Qn——每种风险物质的临界量，t。</w:t>
            </w:r>
          </w:p>
          <w:p w14:paraId="442910CC">
            <w:pPr>
              <w:ind w:firstLine="480"/>
              <w:rPr>
                <w:rFonts w:hint="default" w:ascii="Times New Roman" w:hAnsi="Times New Roman" w:cs="Times New Roman"/>
                <w:color w:val="auto"/>
              </w:rPr>
            </w:pPr>
            <w:r>
              <w:rPr>
                <w:rFonts w:hint="default" w:ascii="Times New Roman" w:hAnsi="Times New Roman" w:cs="Times New Roman"/>
                <w:color w:val="auto"/>
              </w:rPr>
              <w:t>当Q＜1时，该项目环境风险潜势为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t>。</w:t>
            </w:r>
          </w:p>
          <w:p w14:paraId="1AAFB0EE">
            <w:pPr>
              <w:ind w:firstLine="480"/>
              <w:rPr>
                <w:rFonts w:hint="default" w:ascii="Times New Roman" w:hAnsi="Times New Roman" w:cs="Times New Roman"/>
                <w:color w:val="auto"/>
              </w:rPr>
            </w:pPr>
            <w:r>
              <w:rPr>
                <w:rFonts w:hint="default" w:ascii="Times New Roman" w:hAnsi="Times New Roman" w:cs="Times New Roman"/>
                <w:color w:val="auto"/>
              </w:rPr>
              <w:t>当Q≥1时，将Q值划分为：（1）1≤Q＜10；（2）10≤Q＜100；（3）Q≥100。</w:t>
            </w:r>
          </w:p>
          <w:p w14:paraId="4B8354DD">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lang w:val="zh-CN"/>
              </w:rPr>
              <w:t>本项目涉及的危险物质情况及临界量比值详见表</w:t>
            </w:r>
            <w:r>
              <w:rPr>
                <w:rFonts w:hint="default" w:ascii="Times New Roman" w:hAnsi="Times New Roman" w:cs="Times New Roman"/>
                <w:color w:val="auto"/>
                <w:lang w:val="en-US" w:eastAsia="zh-CN"/>
              </w:rPr>
              <w:t>4.6-2</w:t>
            </w:r>
            <w:r>
              <w:rPr>
                <w:rFonts w:hint="default" w:ascii="Times New Roman" w:hAnsi="Times New Roman" w:cs="Times New Roman"/>
                <w:color w:val="auto"/>
                <w:lang w:val="zh-CN"/>
              </w:rPr>
              <w:t>。由下表可知项目危险物质的临界量比值</w:t>
            </w:r>
            <w:r>
              <w:rPr>
                <w:rFonts w:hint="default" w:ascii="Times New Roman" w:hAnsi="Times New Roman" w:cs="Times New Roman"/>
                <w:color w:val="auto"/>
                <w:kern w:val="0"/>
                <w:lang w:bidi="ar"/>
              </w:rPr>
              <w:t>Q=0.0001＜1，</w:t>
            </w:r>
            <w:r>
              <w:rPr>
                <w:rFonts w:hint="default" w:ascii="Times New Roman" w:hAnsi="Times New Roman" w:cs="Times New Roman"/>
                <w:color w:val="auto"/>
              </w:rPr>
              <w:t>项目环境风险潜势为Ⅰ。</w:t>
            </w:r>
          </w:p>
          <w:p w14:paraId="32D9C0E0">
            <w:pPr>
              <w:ind w:firstLine="482"/>
              <w:jc w:val="center"/>
              <w:rPr>
                <w:rFonts w:hint="default" w:ascii="Times New Roman" w:hAnsi="Times New Roman" w:cs="Times New Roman"/>
                <w:b/>
                <w:color w:val="auto"/>
              </w:rPr>
            </w:pPr>
            <w:r>
              <w:rPr>
                <w:rFonts w:hint="default" w:ascii="Times New Roman" w:hAnsi="Times New Roman" w:cs="Times New Roman"/>
                <w:b/>
                <w:color w:val="auto"/>
              </w:rPr>
              <w:t>表4.3-2  项目危险物质情况及临界量比值</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6"/>
              <w:gridCol w:w="1973"/>
              <w:gridCol w:w="935"/>
              <w:gridCol w:w="1695"/>
              <w:gridCol w:w="1288"/>
              <w:gridCol w:w="1429"/>
            </w:tblGrid>
            <w:tr w14:paraId="6A3A8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8" w:type="pct"/>
                  <w:vAlign w:val="center"/>
                </w:tcPr>
                <w:p w14:paraId="46B14A57">
                  <w:pPr>
                    <w:pStyle w:val="32"/>
                    <w:rPr>
                      <w:rFonts w:hint="default" w:ascii="Times New Roman" w:hAnsi="Times New Roman" w:cs="Times New Roman"/>
                      <w:bCs/>
                      <w:color w:val="auto"/>
                    </w:rPr>
                  </w:pPr>
                  <w:r>
                    <w:rPr>
                      <w:rFonts w:hint="default" w:ascii="Times New Roman" w:hAnsi="Times New Roman" w:cs="Times New Roman"/>
                      <w:bCs/>
                      <w:color w:val="auto"/>
                    </w:rPr>
                    <w:t>序号</w:t>
                  </w:r>
                </w:p>
              </w:tc>
              <w:tc>
                <w:tcPr>
                  <w:tcW w:w="1242" w:type="pct"/>
                  <w:vAlign w:val="center"/>
                </w:tcPr>
                <w:p w14:paraId="0552C177">
                  <w:pPr>
                    <w:pStyle w:val="32"/>
                    <w:rPr>
                      <w:rFonts w:hint="default" w:ascii="Times New Roman" w:hAnsi="Times New Roman" w:cs="Times New Roman"/>
                      <w:bCs/>
                      <w:color w:val="auto"/>
                    </w:rPr>
                  </w:pPr>
                  <w:r>
                    <w:rPr>
                      <w:rFonts w:hint="default" w:ascii="Times New Roman" w:hAnsi="Times New Roman" w:cs="Times New Roman"/>
                      <w:bCs/>
                      <w:color w:val="auto"/>
                    </w:rPr>
                    <w:t>危险物质名称</w:t>
                  </w:r>
                </w:p>
              </w:tc>
              <w:tc>
                <w:tcPr>
                  <w:tcW w:w="589" w:type="pct"/>
                  <w:vAlign w:val="center"/>
                </w:tcPr>
                <w:p w14:paraId="081DD900">
                  <w:pPr>
                    <w:pStyle w:val="32"/>
                    <w:rPr>
                      <w:rFonts w:hint="default" w:ascii="Times New Roman" w:hAnsi="Times New Roman" w:cs="Times New Roman"/>
                      <w:bCs/>
                      <w:color w:val="auto"/>
                    </w:rPr>
                  </w:pPr>
                  <w:r>
                    <w:rPr>
                      <w:rFonts w:hint="default" w:ascii="Times New Roman" w:hAnsi="Times New Roman" w:cs="Times New Roman"/>
                      <w:bCs/>
                      <w:color w:val="auto"/>
                    </w:rPr>
                    <w:t>CAS号</w:t>
                  </w:r>
                </w:p>
              </w:tc>
              <w:tc>
                <w:tcPr>
                  <w:tcW w:w="1067" w:type="pct"/>
                  <w:vAlign w:val="center"/>
                </w:tcPr>
                <w:p w14:paraId="34F00F5B">
                  <w:pPr>
                    <w:pStyle w:val="32"/>
                    <w:rPr>
                      <w:rFonts w:hint="default" w:ascii="Times New Roman" w:hAnsi="Times New Roman" w:cs="Times New Roman"/>
                      <w:bCs/>
                      <w:color w:val="auto"/>
                    </w:rPr>
                  </w:pPr>
                  <w:r>
                    <w:rPr>
                      <w:rFonts w:hint="default" w:ascii="Times New Roman" w:hAnsi="Times New Roman" w:cs="Times New Roman"/>
                      <w:bCs/>
                      <w:color w:val="auto"/>
                    </w:rPr>
                    <w:t>最大贮存量/</w:t>
                  </w:r>
                </w:p>
                <w:p w14:paraId="0C471621">
                  <w:pPr>
                    <w:pStyle w:val="32"/>
                    <w:rPr>
                      <w:rFonts w:hint="default" w:ascii="Times New Roman" w:hAnsi="Times New Roman" w:cs="Times New Roman"/>
                      <w:bCs/>
                      <w:color w:val="auto"/>
                    </w:rPr>
                  </w:pPr>
                  <w:r>
                    <w:rPr>
                      <w:rFonts w:hint="default" w:ascii="Times New Roman" w:hAnsi="Times New Roman" w:cs="Times New Roman"/>
                      <w:bCs/>
                      <w:color w:val="auto"/>
                    </w:rPr>
                    <w:t>最大在线量（t）</w:t>
                  </w:r>
                </w:p>
              </w:tc>
              <w:tc>
                <w:tcPr>
                  <w:tcW w:w="811" w:type="pct"/>
                  <w:vAlign w:val="center"/>
                </w:tcPr>
                <w:p w14:paraId="6A0E9781">
                  <w:pPr>
                    <w:pStyle w:val="32"/>
                    <w:rPr>
                      <w:rFonts w:hint="default" w:ascii="Times New Roman" w:hAnsi="Times New Roman" w:cs="Times New Roman"/>
                      <w:bCs/>
                      <w:color w:val="auto"/>
                    </w:rPr>
                  </w:pPr>
                  <w:r>
                    <w:rPr>
                      <w:rFonts w:hint="default" w:ascii="Times New Roman" w:hAnsi="Times New Roman" w:cs="Times New Roman"/>
                      <w:bCs/>
                      <w:color w:val="auto"/>
                    </w:rPr>
                    <w:t>临界量（t）</w:t>
                  </w:r>
                </w:p>
              </w:tc>
              <w:tc>
                <w:tcPr>
                  <w:tcW w:w="900" w:type="pct"/>
                  <w:vAlign w:val="center"/>
                </w:tcPr>
                <w:p w14:paraId="7B4432A6">
                  <w:pPr>
                    <w:pStyle w:val="32"/>
                    <w:rPr>
                      <w:rFonts w:hint="default" w:ascii="Times New Roman" w:hAnsi="Times New Roman" w:cs="Times New Roman"/>
                      <w:bCs/>
                      <w:color w:val="auto"/>
                    </w:rPr>
                  </w:pPr>
                  <w:r>
                    <w:rPr>
                      <w:rFonts w:hint="default" w:ascii="Times New Roman" w:hAnsi="Times New Roman" w:cs="Times New Roman"/>
                      <w:bCs/>
                      <w:color w:val="auto"/>
                    </w:rPr>
                    <w:t>临界量比值Q</w:t>
                  </w:r>
                </w:p>
              </w:tc>
            </w:tr>
            <w:tr w14:paraId="59055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8" w:type="pct"/>
                  <w:vAlign w:val="center"/>
                </w:tcPr>
                <w:p w14:paraId="5E6AF8F5">
                  <w:pPr>
                    <w:pStyle w:val="32"/>
                    <w:rPr>
                      <w:rFonts w:hint="default" w:ascii="Times New Roman" w:hAnsi="Times New Roman" w:cs="Times New Roman"/>
                      <w:bCs/>
                      <w:color w:val="auto"/>
                    </w:rPr>
                  </w:pPr>
                  <w:r>
                    <w:rPr>
                      <w:rFonts w:hint="default" w:ascii="Times New Roman" w:hAnsi="Times New Roman" w:cs="Times New Roman"/>
                      <w:bCs/>
                      <w:color w:val="auto"/>
                    </w:rPr>
                    <w:t>1</w:t>
                  </w:r>
                </w:p>
              </w:tc>
              <w:tc>
                <w:tcPr>
                  <w:tcW w:w="1242" w:type="pct"/>
                  <w:vAlign w:val="center"/>
                </w:tcPr>
                <w:p w14:paraId="46C00877">
                  <w:pPr>
                    <w:pStyle w:val="32"/>
                    <w:rPr>
                      <w:rFonts w:hint="default" w:ascii="Times New Roman" w:hAnsi="Times New Roman" w:cs="Times New Roman"/>
                      <w:bCs/>
                      <w:color w:val="auto"/>
                    </w:rPr>
                  </w:pPr>
                  <w:r>
                    <w:rPr>
                      <w:rFonts w:hint="default" w:ascii="Times New Roman" w:hAnsi="Times New Roman" w:cs="Times New Roman"/>
                      <w:bCs/>
                      <w:color w:val="auto"/>
                    </w:rPr>
                    <w:t>天然气（以甲烷计）</w:t>
                  </w:r>
                </w:p>
              </w:tc>
              <w:tc>
                <w:tcPr>
                  <w:tcW w:w="589" w:type="pct"/>
                  <w:vAlign w:val="center"/>
                </w:tcPr>
                <w:p w14:paraId="34EBA98F">
                  <w:pPr>
                    <w:pStyle w:val="32"/>
                    <w:rPr>
                      <w:rFonts w:hint="default" w:ascii="Times New Roman" w:hAnsi="Times New Roman" w:cs="Times New Roman"/>
                      <w:bCs/>
                      <w:color w:val="auto"/>
                    </w:rPr>
                  </w:pPr>
                  <w:r>
                    <w:rPr>
                      <w:rFonts w:hint="default" w:ascii="Times New Roman" w:hAnsi="Times New Roman" w:cs="Times New Roman"/>
                      <w:bCs/>
                      <w:color w:val="auto"/>
                    </w:rPr>
                    <w:t>74-82-8</w:t>
                  </w:r>
                </w:p>
              </w:tc>
              <w:tc>
                <w:tcPr>
                  <w:tcW w:w="1067" w:type="pct"/>
                  <w:vAlign w:val="center"/>
                </w:tcPr>
                <w:p w14:paraId="3341B118">
                  <w:pPr>
                    <w:pStyle w:val="32"/>
                    <w:rPr>
                      <w:rFonts w:hint="default" w:ascii="Times New Roman" w:hAnsi="Times New Roman" w:cs="Times New Roman"/>
                      <w:bCs/>
                      <w:color w:val="auto"/>
                    </w:rPr>
                  </w:pPr>
                  <w:r>
                    <w:rPr>
                      <w:rFonts w:hint="default" w:ascii="Times New Roman" w:hAnsi="Times New Roman" w:cs="Times New Roman"/>
                      <w:bCs/>
                      <w:color w:val="auto"/>
                    </w:rPr>
                    <w:t>0.001</w:t>
                  </w:r>
                </w:p>
              </w:tc>
              <w:tc>
                <w:tcPr>
                  <w:tcW w:w="811" w:type="pct"/>
                  <w:vAlign w:val="center"/>
                </w:tcPr>
                <w:p w14:paraId="0FB2B2AB">
                  <w:pPr>
                    <w:pStyle w:val="32"/>
                    <w:rPr>
                      <w:rFonts w:hint="default" w:ascii="Times New Roman" w:hAnsi="Times New Roman" w:cs="Times New Roman"/>
                      <w:bCs/>
                      <w:color w:val="auto"/>
                    </w:rPr>
                  </w:pPr>
                  <w:r>
                    <w:rPr>
                      <w:rFonts w:hint="default" w:ascii="Times New Roman" w:hAnsi="Times New Roman" w:cs="Times New Roman"/>
                      <w:bCs/>
                      <w:color w:val="auto"/>
                    </w:rPr>
                    <w:t>10</w:t>
                  </w:r>
                </w:p>
              </w:tc>
              <w:tc>
                <w:tcPr>
                  <w:tcW w:w="900" w:type="pct"/>
                  <w:vAlign w:val="center"/>
                </w:tcPr>
                <w:p w14:paraId="0EEF6CCB">
                  <w:pPr>
                    <w:pStyle w:val="32"/>
                    <w:rPr>
                      <w:rFonts w:hint="default" w:ascii="Times New Roman" w:hAnsi="Times New Roman" w:cs="Times New Roman"/>
                      <w:bCs/>
                      <w:color w:val="auto"/>
                    </w:rPr>
                  </w:pPr>
                  <w:r>
                    <w:rPr>
                      <w:rFonts w:hint="default" w:ascii="Times New Roman" w:hAnsi="Times New Roman" w:cs="Times New Roman"/>
                      <w:bCs/>
                      <w:color w:val="auto"/>
                    </w:rPr>
                    <w:t>0.0001</w:t>
                  </w:r>
                </w:p>
              </w:tc>
            </w:tr>
          </w:tbl>
          <w:p w14:paraId="3206CA50">
            <w:pPr>
              <w:pBdr>
                <w:top w:val="none" w:color="auto" w:sz="0" w:space="1"/>
                <w:left w:val="none" w:color="auto" w:sz="0" w:space="4"/>
                <w:bottom w:val="none" w:color="auto" w:sz="0" w:space="1"/>
                <w:right w:val="none" w:color="auto" w:sz="0" w:space="4"/>
              </w:pBdr>
              <w:ind w:firstLine="0" w:firstLineChars="0"/>
              <w:rPr>
                <w:rFonts w:hint="default" w:ascii="Times New Roman" w:hAnsi="Times New Roman" w:cs="Times New Roman"/>
                <w:color w:val="auto"/>
                <w:sz w:val="21"/>
              </w:rPr>
            </w:pPr>
            <w:r>
              <w:rPr>
                <w:rFonts w:hint="default" w:ascii="Times New Roman" w:hAnsi="Times New Roman" w:cs="Times New Roman"/>
                <w:color w:val="auto"/>
                <w:sz w:val="21"/>
              </w:rPr>
              <w:t>注：项目使用的天然气由市政天然气管网提供，厂区内不设天然气储存区，厂区内天然气管道在线量约为0.001t。</w:t>
            </w:r>
          </w:p>
          <w:p w14:paraId="784E9B37">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4.3.3风险源分布情况</w:t>
            </w:r>
          </w:p>
          <w:p w14:paraId="4272191B">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根据本项目生产工艺特点，本项目存在的主要环境风险单元为天然气管道、锅炉房。天然气管道和锅炉房会存在一定的环境风险。</w:t>
            </w:r>
          </w:p>
          <w:p w14:paraId="0515B822">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4.3.4环境风险分析</w:t>
            </w:r>
          </w:p>
          <w:p w14:paraId="5382450F">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天然气泄漏事故：根据建设方提供资料，本项目天然气管道设有切断阀门，在管线发生泄漏后，可及时关闭阀门，在最短的时间内切断气源，防止大量天然气外泄，事故响应时间约为1分钟，天然气泄漏时间最多为5分钟，天然气为清洁气体，对周边大气环境影响不大。</w:t>
            </w:r>
          </w:p>
          <w:p w14:paraId="22F0CD8B">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火灾爆炸事故次生伴生影响:天然气为易燃气体，与空气能形成爆炸性混合物，容易发生火灾爆炸。除爆炸冲击波和热辐射伤害之外，火灾和爆炸过程中天然气燃烧后主要产生水、CO、CO</w:t>
            </w:r>
            <w:r>
              <w:rPr>
                <w:rFonts w:hint="default" w:ascii="Times New Roman" w:hAnsi="Times New Roman" w:cs="Times New Roman"/>
                <w:color w:val="auto"/>
                <w:vertAlign w:val="subscript"/>
              </w:rPr>
              <w:t>2</w:t>
            </w:r>
            <w:r>
              <w:rPr>
                <w:rFonts w:hint="default" w:ascii="Times New Roman" w:hAnsi="Times New Roman" w:cs="Times New Roman"/>
                <w:color w:val="auto"/>
              </w:rPr>
              <w:t>、SO</w:t>
            </w:r>
            <w:r>
              <w:rPr>
                <w:rFonts w:hint="default" w:ascii="Times New Roman" w:hAnsi="Times New Roman" w:cs="Times New Roman"/>
                <w:color w:val="auto"/>
                <w:vertAlign w:val="subscript"/>
              </w:rPr>
              <w:t>2</w:t>
            </w:r>
            <w:r>
              <w:rPr>
                <w:rFonts w:hint="default" w:ascii="Times New Roman" w:hAnsi="Times New Roman" w:cs="Times New Roman"/>
                <w:color w:val="auto"/>
              </w:rPr>
              <w:t>等物质，短时间内会对周边大气环境造成影响。管道天然气起火，应切断气源，用泡沫、干粉、二氧化碳等进行灭火。</w:t>
            </w:r>
          </w:p>
          <w:p w14:paraId="0FB334E7">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4.3.5环境风险防范措施和事故应急措施</w:t>
            </w:r>
          </w:p>
          <w:p w14:paraId="3F98D446">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（1）环境风险防范措施</w:t>
            </w:r>
          </w:p>
          <w:p w14:paraId="585D78BB">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为保障安全，减少事故的发生，并降低事故对环境的影响，建设单位应根据有关法规及管理要求，建立系统完善的事故风险防范与应急措施的计划和实施。在项目建设过程中采取的事故防范与应急措施具体如下：</w:t>
            </w:r>
          </w:p>
          <w:p w14:paraId="48E2F60D">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大气：</w:t>
            </w:r>
          </w:p>
          <w:p w14:paraId="718A3914">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①企业应加强设备管理维护，严防天然气泄漏的发生，定期对天然气管线检查，及时发现破损和漏处，及时处理，设置天然气气体浓度报警装置及其他安全措施；</w:t>
            </w:r>
          </w:p>
          <w:p w14:paraId="6097D0B9">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②移动式灭火设备，按照、GB50140-2005《建筑灭火器配置设计规范》，锅炉房和厂房内配置一定数量不同类型、不同规格的移动式灭火器材，以便及时扑救初始零星火灾；</w:t>
            </w:r>
          </w:p>
          <w:p w14:paraId="5252FDAF">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③锅炉房内应设置可燃气体报警系统，房内照明灯具及其它电器设备均要求采用防爆型设备；</w:t>
            </w:r>
          </w:p>
          <w:p w14:paraId="3E440CB1">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④张贴有安全事故告知标识、区域安全提示牌、“禁止烟火”等制度及标识；</w:t>
            </w:r>
          </w:p>
          <w:p w14:paraId="700FB4BA">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⑤设置事故状态下人员疏散通道，并进行张贴；</w:t>
            </w:r>
          </w:p>
          <w:p w14:paraId="10151F44">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⑥根据《中华人民共和国安全生产法》、《</w:t>
            </w:r>
            <w:r>
              <w:rPr>
                <w:rFonts w:hint="eastAsia" w:cs="Times New Roman"/>
                <w:color w:val="auto"/>
                <w:lang w:eastAsia="zh-CN"/>
              </w:rPr>
              <w:t>安全生产许可证条例</w:t>
            </w:r>
            <w:r>
              <w:rPr>
                <w:rFonts w:hint="default" w:ascii="Times New Roman" w:hAnsi="Times New Roman" w:cs="Times New Roman"/>
                <w:color w:val="auto"/>
              </w:rPr>
              <w:t>》等法律法规要求，履行安全评价相关手续。</w:t>
            </w:r>
          </w:p>
          <w:p w14:paraId="621244D3">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（2）根据项目特性,对发生环境风险事故的应急措施如下：</w:t>
            </w:r>
          </w:p>
          <w:p w14:paraId="4E2A35BE">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①调压装置设计采用在线并联监控、调压器自投的切换方式，一旦因故障至使调压器失效，调压器后压力会迅速升高，该路切断阀立刻自动关闭，当备用调压器检测到压力骤升信号后，自动进入运行状态。同时控制室发出声光报警信号，通知操作人员去现场分析检查事故原因以备维修更换；</w:t>
            </w:r>
          </w:p>
          <w:p w14:paraId="2478AA93">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②燃气管道与锅炉的连接处以及燃气调压柜附近设置可燃气体浓度报警器，一旦检测到泄漏的天然气后，立刻发出声光报警信号，通知操作人员去现场排除事故隐患，同时系统自动启动事故排风设施，将泄露的天然气迅速排至室外，确保锅炉的安全运行；</w:t>
            </w:r>
          </w:p>
          <w:p w14:paraId="52C8370C">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③一旦发生天然气泄漏事故，应迅速撤离污染区人员至安全区，并进行隔离，周围设警告标志，严格限制出入；</w:t>
            </w:r>
          </w:p>
          <w:p w14:paraId="7BD39CF9">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④当发生火灾及燃爆事故时，现场人员或其他人员应该立刻拨打火警电话119并立即通知有关人员停止作业，尽快切断所有电源，组织人员和其他易燃物品的疏散，并利用就近的消防器材将火苗扑灭。当火灾进入发展阶段、猛烈阶段，应由消防队来组织灭火，现场人员在确保安全的情况下不可逃离现场，应和消防人员配合，做好灭火工作。</w:t>
            </w:r>
          </w:p>
          <w:p w14:paraId="63AE6620">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4.3.6分析结论</w:t>
            </w:r>
          </w:p>
          <w:p w14:paraId="357ACA19">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评价对本项目的环境风险提出相应的应急措施及计划，为建设单位提供参考，建设单位应根据生产中的实际情况认真落实，在采取有效的防范措施、制定相应的应急防范措施的前提下，建设单位可将事故风险的影响减至最小，本项目环境风险可防控。</w:t>
            </w:r>
          </w:p>
          <w:p w14:paraId="5E43320D">
            <w:pPr>
              <w:pStyle w:val="4"/>
              <w:pBdr>
                <w:top w:val="none" w:color="auto" w:sz="0" w:space="1"/>
                <w:left w:val="none" w:color="auto" w:sz="0" w:space="4"/>
                <w:bottom w:val="none" w:color="auto" w:sz="0" w:space="1"/>
                <w:right w:val="none" w:color="auto" w:sz="0" w:space="4"/>
              </w:pBdr>
              <w:ind w:left="0" w:firstLine="0"/>
              <w:rPr>
                <w:rFonts w:hint="default" w:ascii="Times New Roman" w:hAnsi="Times New Roman" w:cs="Times New Roman"/>
                <w:color w:val="auto"/>
              </w:rPr>
            </w:pPr>
            <w:r>
              <w:rPr>
                <w:rFonts w:hint="default" w:ascii="Times New Roman" w:hAnsi="Times New Roman" w:cs="Times New Roman"/>
                <w:color w:val="auto"/>
              </w:rPr>
              <w:t>地下水、土壤环境影响和保护措施</w:t>
            </w:r>
          </w:p>
          <w:p w14:paraId="4217E66D">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4.4.1地下水、土壤环境影响分析</w:t>
            </w:r>
          </w:p>
          <w:p w14:paraId="245B45EC">
            <w:pPr>
              <w:ind w:firstLine="480"/>
              <w:rPr>
                <w:rFonts w:hint="default" w:ascii="Times New Roman" w:hAnsi="Times New Roman" w:cs="Times New Roman"/>
                <w:color w:val="auto"/>
              </w:rPr>
            </w:pPr>
            <w:r>
              <w:rPr>
                <w:rFonts w:hint="default" w:ascii="Times New Roman" w:hAnsi="Times New Roman" w:cs="Times New Roman"/>
                <w:color w:val="auto"/>
              </w:rPr>
              <w:t>（1）地下水环境</w:t>
            </w:r>
          </w:p>
          <w:p w14:paraId="38F67A5D">
            <w:pPr>
              <w:ind w:firstLine="480"/>
              <w:rPr>
                <w:rFonts w:hint="default" w:ascii="Times New Roman" w:hAnsi="Times New Roman" w:cs="Times New Roman"/>
                <w:color w:val="auto"/>
              </w:rPr>
            </w:pPr>
            <w:r>
              <w:rPr>
                <w:rFonts w:hint="default" w:ascii="Times New Roman" w:hAnsi="Times New Roman" w:cs="Times New Roman"/>
                <w:color w:val="auto"/>
              </w:rPr>
              <w:t>根据《环境影响评价技术导则 地下水环境》(HJ610-2016)“地下水环境影响评价行业分类表”，本项目地下水环境影响评价类别为Ⅳ类，不进行评价工作等级的划分，本评价不再对地下水环境影响进行评价。</w:t>
            </w:r>
          </w:p>
          <w:p w14:paraId="6E3BE912">
            <w:pPr>
              <w:ind w:firstLine="480"/>
              <w:rPr>
                <w:rFonts w:hint="default" w:ascii="Times New Roman" w:hAnsi="Times New Roman" w:cs="Times New Roman"/>
                <w:color w:val="auto"/>
              </w:rPr>
            </w:pPr>
            <w:r>
              <w:rPr>
                <w:rFonts w:hint="default" w:ascii="Times New Roman" w:hAnsi="Times New Roman" w:cs="Times New Roman"/>
                <w:color w:val="auto"/>
              </w:rPr>
              <w:t>（2）土壤环境</w:t>
            </w:r>
          </w:p>
          <w:p w14:paraId="42AE9492">
            <w:pPr>
              <w:ind w:firstLine="480"/>
              <w:rPr>
                <w:rFonts w:hint="default" w:ascii="Times New Roman" w:hAnsi="Times New Roman" w:cs="Times New Roman"/>
                <w:bCs/>
                <w:color w:val="auto"/>
              </w:rPr>
            </w:pPr>
            <w:r>
              <w:rPr>
                <w:rFonts w:hint="default" w:ascii="Times New Roman" w:hAnsi="Times New Roman" w:cs="Times New Roman"/>
                <w:bCs/>
                <w:color w:val="auto"/>
              </w:rPr>
              <w:t>根据《中华人民共和国土壤污染防治法》（2018.8.31）第十八条的规定，“各类涉及土地利用的规划和可能造成土壤污染的建设项目，应当依法进行环境影响评价”。根据《环境影响评价技术导则  土壤环境（试行）》（HJ964-2018）中的评价工作等级的判定依据。</w:t>
            </w:r>
          </w:p>
          <w:p w14:paraId="24E4E6F7">
            <w:pPr>
              <w:ind w:firstLine="480"/>
              <w:rPr>
                <w:rFonts w:hint="default" w:ascii="Times New Roman" w:hAnsi="Times New Roman" w:cs="Times New Roman"/>
                <w:bCs/>
                <w:color w:val="auto"/>
              </w:rPr>
            </w:pPr>
            <w:r>
              <w:rPr>
                <w:rFonts w:hint="default" w:ascii="Times New Roman" w:hAnsi="Times New Roman" w:cs="Times New Roman"/>
                <w:bCs/>
                <w:color w:val="auto"/>
              </w:rPr>
              <w:t>根据《环境影响评价技术导则  土壤环境（试行）》（HJ964-2018）表3污染影响型项目分级表，本项目利用已有的锅炉房进行改建，对土壤的污染较轻，本项目属于不敏感类型，对照导则中附录A 土壤环境影响评价项目类别，项目类别为Ⅱ类，占地面积为60m</w:t>
            </w:r>
            <w:r>
              <w:rPr>
                <w:rFonts w:hint="default" w:ascii="Times New Roman" w:hAnsi="Times New Roman" w:cs="Times New Roman"/>
                <w:bCs/>
                <w:color w:val="auto"/>
                <w:vertAlign w:val="superscript"/>
              </w:rPr>
              <w:t>2</w:t>
            </w:r>
            <w:r>
              <w:rPr>
                <w:rFonts w:hint="default" w:ascii="Times New Roman" w:hAnsi="Times New Roman" w:cs="Times New Roman"/>
                <w:bCs/>
                <w:color w:val="auto"/>
              </w:rPr>
              <w:t>，属于小型（≤5hm</w:t>
            </w:r>
            <w:r>
              <w:rPr>
                <w:rFonts w:hint="default" w:ascii="Times New Roman" w:hAnsi="Times New Roman" w:cs="Times New Roman"/>
                <w:bCs/>
                <w:color w:val="auto"/>
                <w:vertAlign w:val="superscript"/>
              </w:rPr>
              <w:t>2</w:t>
            </w:r>
            <w:r>
              <w:rPr>
                <w:rFonts w:hint="default" w:ascii="Times New Roman" w:hAnsi="Times New Roman" w:cs="Times New Roman"/>
                <w:bCs/>
                <w:color w:val="auto"/>
              </w:rPr>
              <w:t>）。</w:t>
            </w:r>
          </w:p>
          <w:p w14:paraId="0EE1FCE0">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rPr>
            </w:pPr>
            <w:r>
              <w:rPr>
                <w:rFonts w:hint="default" w:ascii="Times New Roman" w:hAnsi="Times New Roman" w:cs="Times New Roman"/>
                <w:bCs/>
                <w:color w:val="auto"/>
              </w:rPr>
              <w:t>综上所述，根据《环境影响评价技术导则  土壤环境（试行）》（HJ964-2018）表4中污染影响型评价工作等级划分表，本项目土壤评价等级为三级。本项目地面硬化，无生产废水产生，</w:t>
            </w:r>
            <w:r>
              <w:rPr>
                <w:rFonts w:hint="default" w:ascii="Times New Roman" w:hAnsi="Times New Roman" w:cs="Times New Roman"/>
                <w:color w:val="auto"/>
              </w:rPr>
              <w:t>不存在污染物地面漫流、垂直入渗问题；本项目天然气为清洁能源，燃烧废气经8m烟囱高空达标排放，因此本项目可不考虑大气沉降，不涉及地面漫流影响及入渗途径影响，项目对土壤环境的影响无源无途径，因此本项目对厂区及周边土壤的环境影响很小</w:t>
            </w:r>
            <w:r>
              <w:rPr>
                <w:rFonts w:hint="default" w:ascii="Times New Roman" w:hAnsi="Times New Roman" w:cs="Times New Roman"/>
                <w:bCs/>
                <w:color w:val="auto"/>
              </w:rPr>
              <w:t>。</w:t>
            </w:r>
          </w:p>
          <w:p w14:paraId="5981F91B">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4.4.2土壤环境防控措施</w:t>
            </w:r>
          </w:p>
          <w:p w14:paraId="5CE614FC">
            <w:pPr>
              <w:ind w:firstLine="480"/>
              <w:rPr>
                <w:rFonts w:hint="default" w:ascii="Times New Roman" w:hAnsi="Times New Roman" w:cs="Times New Roman"/>
                <w:color w:val="auto"/>
              </w:rPr>
            </w:pPr>
            <w:r>
              <w:rPr>
                <w:rFonts w:hint="default" w:ascii="Times New Roman" w:hAnsi="Times New Roman" w:cs="Times New Roman"/>
                <w:color w:val="auto"/>
              </w:rPr>
              <w:t>根据</w:t>
            </w:r>
            <w:r>
              <w:rPr>
                <w:rFonts w:hint="default" w:ascii="Times New Roman" w:hAnsi="Times New Roman" w:cs="Times New Roman"/>
                <w:bCs/>
                <w:color w:val="auto"/>
              </w:rPr>
              <w:t>《环境影响评价技术导则－土壤环境（试行）》（HJ964-2018）</w:t>
            </w:r>
            <w:r>
              <w:rPr>
                <w:rFonts w:hint="default" w:ascii="Times New Roman" w:hAnsi="Times New Roman" w:cs="Times New Roman"/>
                <w:color w:val="auto"/>
              </w:rPr>
              <w:t>，污染影响类项目，涉及大气沉降影响的，占地范围内应采取绿化措施，以种植具有较强吸附能力的植物为主；涉及地面漫流影响，应根据建设项目所在地的地形特点优化地面布局，必要时设置地面硬化、围堰或围墙，以防止土壤环境污染；涉及入渗途径影响的，应根据相关标准规范要求，对设备设施采取相应的防渗措施，以防止土壤环境污染。本项目地面均已硬化，建议建设单位加强对设备的规范管理。</w:t>
            </w:r>
          </w:p>
          <w:p w14:paraId="51741AEC">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4.4.3跟踪监测要求</w:t>
            </w:r>
          </w:p>
          <w:p w14:paraId="0FB5724C">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本项目选址于</w:t>
            </w:r>
            <w:r>
              <w:rPr>
                <w:rFonts w:hint="eastAsia" w:cs="Times New Roman"/>
                <w:color w:val="auto"/>
                <w:lang w:eastAsia="zh-CN"/>
              </w:rPr>
              <w:t>福建省福州市闽侯县铁岭工业区长龙西路1号福建福老酒业有限公司</w:t>
            </w:r>
            <w:r>
              <w:rPr>
                <w:rFonts w:hint="default" w:ascii="Times New Roman" w:hAnsi="Times New Roman" w:cs="Times New Roman"/>
                <w:color w:val="auto"/>
              </w:rPr>
              <w:t>已有锅炉房内，周边以工业企业为主，项目周边地面均已硬化，土壤环境相对不敏感，采取有效的防渗措施后，项目对土壤环境影响很小，本评价不对项目土壤环境进行跟踪监测。</w:t>
            </w:r>
          </w:p>
          <w:p w14:paraId="09088E32">
            <w:pPr>
              <w:pStyle w:val="4"/>
              <w:keepNext/>
              <w:keepLines/>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before="0" w:after="0"/>
              <w:ind w:left="0" w:firstLine="0"/>
              <w:textAlignment w:val="auto"/>
              <w:rPr>
                <w:rFonts w:hint="default" w:ascii="Times New Roman" w:hAnsi="Times New Roman" w:cs="Times New Roman"/>
                <w:color w:val="auto"/>
              </w:rPr>
            </w:pPr>
            <w:r>
              <w:rPr>
                <w:rFonts w:hint="default" w:ascii="Times New Roman" w:hAnsi="Times New Roman" w:cs="Times New Roman"/>
                <w:color w:val="auto"/>
              </w:rPr>
              <w:t>自行监测计划</w:t>
            </w:r>
          </w:p>
          <w:p w14:paraId="40CB9063">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本项目已于20</w:t>
            </w:r>
            <w:r>
              <w:rPr>
                <w:rFonts w:hint="eastAsia" w:cs="Times New Roman"/>
                <w:color w:val="auto"/>
                <w:lang w:val="en-US" w:eastAsia="zh-CN"/>
              </w:rPr>
              <w:t>19</w:t>
            </w:r>
            <w:r>
              <w:rPr>
                <w:rFonts w:hint="default" w:ascii="Times New Roman" w:hAnsi="Times New Roman" w:cs="Times New Roman"/>
                <w:color w:val="auto"/>
              </w:rPr>
              <w:t>年</w:t>
            </w:r>
            <w:r>
              <w:rPr>
                <w:rFonts w:hint="eastAsia" w:cs="Times New Roman"/>
                <w:color w:val="auto"/>
                <w:lang w:val="en-US" w:eastAsia="zh-CN"/>
              </w:rPr>
              <w:t>12</w:t>
            </w:r>
            <w:r>
              <w:rPr>
                <w:rFonts w:hint="default" w:ascii="Times New Roman" w:hAnsi="Times New Roman" w:cs="Times New Roman"/>
                <w:color w:val="auto"/>
              </w:rPr>
              <w:t>月申领排污许可证（编码：91350121671938358Y001V），本次拟改建锅炉根据《排污单位自行监测技术指南—火力发电及锅炉》（HJ 820-2017），制定相应的自行监测计划，具体见表4.5-1。</w:t>
            </w:r>
          </w:p>
          <w:p w14:paraId="6CFDF952">
            <w:pPr>
              <w:pBdr>
                <w:top w:val="none" w:color="auto" w:sz="0" w:space="1"/>
                <w:left w:val="none" w:color="auto" w:sz="0" w:space="4"/>
                <w:bottom w:val="none" w:color="auto" w:sz="0" w:space="1"/>
                <w:right w:val="none" w:color="auto" w:sz="0" w:space="4"/>
              </w:pBdr>
              <w:spacing w:line="240" w:lineRule="auto"/>
              <w:ind w:firstLine="482"/>
              <w:jc w:val="center"/>
              <w:rPr>
                <w:rFonts w:hint="default" w:ascii="Times New Roman" w:hAnsi="Times New Roman" w:cs="Times New Roman"/>
                <w:b/>
                <w:color w:val="auto"/>
              </w:rPr>
            </w:pPr>
            <w:r>
              <w:rPr>
                <w:rFonts w:hint="default" w:ascii="Times New Roman" w:hAnsi="Times New Roman" w:cs="Times New Roman"/>
                <w:b/>
                <w:color w:val="auto"/>
              </w:rPr>
              <w:t>表4.5-1  本项目环境监测计划监测内容一览表</w:t>
            </w:r>
          </w:p>
          <w:tbl>
            <w:tblPr>
              <w:tblStyle w:val="2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25"/>
              <w:gridCol w:w="1002"/>
              <w:gridCol w:w="3357"/>
              <w:gridCol w:w="1261"/>
              <w:gridCol w:w="1701"/>
            </w:tblGrid>
            <w:tr w14:paraId="236B4B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31" w:type="dxa"/>
                  <w:vMerge w:val="restart"/>
                  <w:tcBorders>
                    <w:top w:val="single" w:color="000000" w:sz="12" w:space="0"/>
                    <w:left w:val="nil"/>
                    <w:right w:val="single" w:color="000000" w:sz="4" w:space="0"/>
                    <w:tl2br w:val="nil"/>
                    <w:tr2bl w:val="nil"/>
                  </w:tcBorders>
                  <w:vAlign w:val="center"/>
                </w:tcPr>
                <w:p w14:paraId="51A0F157">
                  <w:pPr>
                    <w:pStyle w:val="32"/>
                    <w:rPr>
                      <w:rFonts w:hint="default" w:ascii="Times New Roman" w:hAnsi="Times New Roman" w:cs="Times New Roman"/>
                      <w:color w:val="auto"/>
                    </w:rPr>
                  </w:pPr>
                  <w:r>
                    <w:rPr>
                      <w:rFonts w:hint="default" w:ascii="Times New Roman" w:hAnsi="Times New Roman" w:cs="Times New Roman"/>
                      <w:color w:val="auto"/>
                    </w:rPr>
                    <w:t>自行监测</w:t>
                  </w:r>
                </w:p>
              </w:tc>
              <w:tc>
                <w:tcPr>
                  <w:tcW w:w="1013" w:type="dxa"/>
                  <w:tcBorders>
                    <w:top w:val="single" w:color="000000" w:sz="12" w:space="0"/>
                    <w:left w:val="single" w:color="000000" w:sz="4" w:space="0"/>
                    <w:bottom w:val="single" w:color="000000" w:sz="4" w:space="0"/>
                    <w:right w:val="single" w:color="000000" w:sz="4" w:space="0"/>
                    <w:tl2br w:val="nil"/>
                    <w:tr2bl w:val="nil"/>
                  </w:tcBorders>
                  <w:vAlign w:val="center"/>
                </w:tcPr>
                <w:p w14:paraId="7CDFA0F7">
                  <w:pPr>
                    <w:pStyle w:val="32"/>
                    <w:rPr>
                      <w:rFonts w:hint="default" w:ascii="Times New Roman" w:hAnsi="Times New Roman" w:cs="Times New Roman"/>
                      <w:color w:val="auto"/>
                    </w:rPr>
                  </w:pPr>
                  <w:r>
                    <w:rPr>
                      <w:rFonts w:hint="default" w:ascii="Times New Roman" w:hAnsi="Times New Roman" w:cs="Times New Roman"/>
                      <w:color w:val="auto"/>
                    </w:rPr>
                    <w:t>项目</w:t>
                  </w:r>
                </w:p>
              </w:tc>
              <w:tc>
                <w:tcPr>
                  <w:tcW w:w="3402" w:type="dxa"/>
                  <w:tcBorders>
                    <w:top w:val="single" w:color="000000" w:sz="12" w:space="0"/>
                    <w:left w:val="single" w:color="000000" w:sz="4" w:space="0"/>
                    <w:bottom w:val="single" w:color="000000" w:sz="4" w:space="0"/>
                    <w:right w:val="single" w:color="000000" w:sz="4" w:space="0"/>
                    <w:tl2br w:val="nil"/>
                    <w:tr2bl w:val="nil"/>
                  </w:tcBorders>
                  <w:vAlign w:val="center"/>
                </w:tcPr>
                <w:p w14:paraId="6F67F01A">
                  <w:pPr>
                    <w:pStyle w:val="32"/>
                    <w:rPr>
                      <w:rFonts w:hint="default" w:ascii="Times New Roman" w:hAnsi="Times New Roman" w:cs="Times New Roman"/>
                      <w:color w:val="auto"/>
                    </w:rPr>
                  </w:pPr>
                  <w:r>
                    <w:rPr>
                      <w:rFonts w:hint="default" w:ascii="Times New Roman" w:hAnsi="Times New Roman" w:cs="Times New Roman"/>
                      <w:color w:val="auto"/>
                    </w:rPr>
                    <w:t>监测内容</w:t>
                  </w:r>
                </w:p>
              </w:tc>
              <w:tc>
                <w:tcPr>
                  <w:tcW w:w="1276" w:type="dxa"/>
                  <w:tcBorders>
                    <w:top w:val="single" w:color="000000" w:sz="12" w:space="0"/>
                    <w:left w:val="single" w:color="000000" w:sz="4" w:space="0"/>
                    <w:bottom w:val="single" w:color="000000" w:sz="4" w:space="0"/>
                    <w:right w:val="single" w:color="000000" w:sz="4" w:space="0"/>
                    <w:tl2br w:val="nil"/>
                    <w:tr2bl w:val="nil"/>
                  </w:tcBorders>
                  <w:vAlign w:val="center"/>
                </w:tcPr>
                <w:p w14:paraId="6B981975">
                  <w:pPr>
                    <w:pStyle w:val="32"/>
                    <w:rPr>
                      <w:rFonts w:hint="default" w:ascii="Times New Roman" w:hAnsi="Times New Roman" w:cs="Times New Roman"/>
                      <w:color w:val="auto"/>
                    </w:rPr>
                  </w:pPr>
                  <w:r>
                    <w:rPr>
                      <w:rFonts w:hint="default" w:ascii="Times New Roman" w:hAnsi="Times New Roman" w:cs="Times New Roman"/>
                      <w:color w:val="auto"/>
                    </w:rPr>
                    <w:t>监测频次</w:t>
                  </w:r>
                </w:p>
              </w:tc>
              <w:tc>
                <w:tcPr>
                  <w:tcW w:w="1722" w:type="dxa"/>
                  <w:tcBorders>
                    <w:top w:val="single" w:color="000000" w:sz="12" w:space="0"/>
                    <w:left w:val="single" w:color="000000" w:sz="4" w:space="0"/>
                    <w:bottom w:val="single" w:color="000000" w:sz="4" w:space="0"/>
                    <w:right w:val="nil"/>
                    <w:tl2br w:val="nil"/>
                    <w:tr2bl w:val="nil"/>
                  </w:tcBorders>
                  <w:vAlign w:val="center"/>
                </w:tcPr>
                <w:p w14:paraId="70B4A4EA">
                  <w:pPr>
                    <w:pStyle w:val="32"/>
                    <w:rPr>
                      <w:rFonts w:hint="default" w:ascii="Times New Roman" w:hAnsi="Times New Roman" w:cs="Times New Roman"/>
                      <w:color w:val="auto"/>
                    </w:rPr>
                  </w:pPr>
                  <w:r>
                    <w:rPr>
                      <w:rFonts w:hint="default" w:ascii="Times New Roman" w:hAnsi="Times New Roman" w:cs="Times New Roman"/>
                      <w:color w:val="auto"/>
                    </w:rPr>
                    <w:t>监测点位</w:t>
                  </w:r>
                </w:p>
              </w:tc>
            </w:tr>
            <w:tr w14:paraId="67E396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31" w:type="dxa"/>
                  <w:vMerge w:val="continue"/>
                  <w:tcBorders>
                    <w:left w:val="nil"/>
                    <w:right w:val="single" w:color="000000" w:sz="4" w:space="0"/>
                    <w:tl2br w:val="nil"/>
                    <w:tr2bl w:val="nil"/>
                  </w:tcBorders>
                  <w:vAlign w:val="center"/>
                </w:tcPr>
                <w:p w14:paraId="2668E8E5">
                  <w:pPr>
                    <w:pStyle w:val="32"/>
                    <w:rPr>
                      <w:rFonts w:hint="default" w:ascii="Times New Roman" w:hAnsi="Times New Roman" w:cs="Times New Roman"/>
                      <w:color w:val="auto"/>
                    </w:rPr>
                  </w:pPr>
                </w:p>
              </w:tc>
              <w:tc>
                <w:tcPr>
                  <w:tcW w:w="1013" w:type="dxa"/>
                  <w:vMerge w:val="restart"/>
                  <w:tcBorders>
                    <w:top w:val="single" w:color="000000" w:sz="4" w:space="0"/>
                    <w:left w:val="single" w:color="000000" w:sz="4" w:space="0"/>
                    <w:right w:val="single" w:color="000000" w:sz="4" w:space="0"/>
                    <w:tl2br w:val="nil"/>
                    <w:tr2bl w:val="nil"/>
                  </w:tcBorders>
                  <w:vAlign w:val="center"/>
                </w:tcPr>
                <w:p w14:paraId="74803FA9">
                  <w:pPr>
                    <w:pStyle w:val="32"/>
                    <w:rPr>
                      <w:rFonts w:hint="default" w:ascii="Times New Roman" w:hAnsi="Times New Roman" w:cs="Times New Roman"/>
                      <w:color w:val="auto"/>
                    </w:rPr>
                  </w:pPr>
                  <w:r>
                    <w:rPr>
                      <w:rFonts w:hint="default" w:ascii="Times New Roman" w:hAnsi="Times New Roman" w:cs="Times New Roman"/>
                      <w:color w:val="auto"/>
                    </w:rPr>
                    <w:t>废气</w:t>
                  </w:r>
                </w:p>
              </w:tc>
              <w:tc>
                <w:tcPr>
                  <w:tcW w:w="3402" w:type="dxa"/>
                  <w:tcBorders>
                    <w:top w:val="single" w:color="000000" w:sz="4" w:space="0"/>
                    <w:left w:val="single" w:color="000000" w:sz="4" w:space="0"/>
                    <w:bottom w:val="single" w:color="000000" w:sz="4" w:space="0"/>
                    <w:right w:val="single" w:color="000000" w:sz="4" w:space="0"/>
                    <w:tl2br w:val="nil"/>
                    <w:tr2bl w:val="nil"/>
                  </w:tcBorders>
                  <w:vAlign w:val="center"/>
                </w:tcPr>
                <w:p w14:paraId="46803DE1">
                  <w:pPr>
                    <w:pStyle w:val="32"/>
                    <w:rPr>
                      <w:rFonts w:hint="default" w:ascii="Times New Roman" w:hAnsi="Times New Roman" w:cs="Times New Roman"/>
                      <w:color w:val="auto"/>
                    </w:rPr>
                  </w:pPr>
                  <w:r>
                    <w:rPr>
                      <w:rFonts w:hint="default" w:ascii="Times New Roman" w:hAnsi="Times New Roman" w:cs="Times New Roman"/>
                      <w:color w:val="auto"/>
                    </w:rPr>
                    <w:t>氮氧化物</w:t>
                  </w:r>
                </w:p>
              </w:tc>
              <w:tc>
                <w:tcPr>
                  <w:tcW w:w="1276" w:type="dxa"/>
                  <w:tcBorders>
                    <w:top w:val="single" w:color="000000" w:sz="4" w:space="0"/>
                    <w:left w:val="single" w:color="000000" w:sz="4" w:space="0"/>
                    <w:bottom w:val="single" w:color="000000" w:sz="4" w:space="0"/>
                    <w:right w:val="single" w:color="000000" w:sz="4" w:space="0"/>
                    <w:tl2br w:val="nil"/>
                    <w:tr2bl w:val="nil"/>
                  </w:tcBorders>
                  <w:vAlign w:val="center"/>
                </w:tcPr>
                <w:p w14:paraId="7BDE3F09">
                  <w:pPr>
                    <w:pStyle w:val="32"/>
                    <w:rPr>
                      <w:rFonts w:hint="default" w:ascii="Times New Roman" w:hAnsi="Times New Roman" w:cs="Times New Roman"/>
                      <w:color w:val="auto"/>
                    </w:rPr>
                  </w:pPr>
                  <w:r>
                    <w:rPr>
                      <w:rFonts w:hint="default" w:ascii="Times New Roman" w:hAnsi="Times New Roman" w:cs="Times New Roman"/>
                      <w:color w:val="auto"/>
                    </w:rPr>
                    <w:t>每月一次</w:t>
                  </w:r>
                </w:p>
              </w:tc>
              <w:tc>
                <w:tcPr>
                  <w:tcW w:w="1722" w:type="dxa"/>
                  <w:vMerge w:val="restart"/>
                  <w:tcBorders>
                    <w:top w:val="single" w:color="000000" w:sz="4" w:space="0"/>
                    <w:left w:val="single" w:color="000000" w:sz="4" w:space="0"/>
                    <w:right w:val="nil"/>
                    <w:tl2br w:val="nil"/>
                    <w:tr2bl w:val="nil"/>
                  </w:tcBorders>
                  <w:vAlign w:val="center"/>
                </w:tcPr>
                <w:p w14:paraId="5BC2A2AA">
                  <w:pPr>
                    <w:pStyle w:val="32"/>
                    <w:rPr>
                      <w:rFonts w:hint="default" w:ascii="Times New Roman" w:hAnsi="Times New Roman" w:cs="Times New Roman"/>
                      <w:color w:val="auto"/>
                    </w:rPr>
                  </w:pPr>
                  <w:r>
                    <w:rPr>
                      <w:rFonts w:hint="default" w:ascii="Times New Roman" w:hAnsi="Times New Roman" w:cs="Times New Roman"/>
                      <w:color w:val="auto"/>
                    </w:rPr>
                    <w:t>锅炉排气筒出口</w:t>
                  </w:r>
                </w:p>
              </w:tc>
            </w:tr>
            <w:tr w14:paraId="2CADCF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31" w:type="dxa"/>
                  <w:vMerge w:val="continue"/>
                  <w:tcBorders>
                    <w:left w:val="nil"/>
                    <w:bottom w:val="single" w:color="000000" w:sz="4" w:space="0"/>
                    <w:right w:val="single" w:color="000000" w:sz="4" w:space="0"/>
                    <w:tl2br w:val="nil"/>
                    <w:tr2bl w:val="nil"/>
                  </w:tcBorders>
                  <w:vAlign w:val="center"/>
                </w:tcPr>
                <w:p w14:paraId="0BEA96FF">
                  <w:pPr>
                    <w:pStyle w:val="32"/>
                    <w:rPr>
                      <w:rFonts w:hint="default" w:ascii="Times New Roman" w:hAnsi="Times New Roman" w:cs="Times New Roman"/>
                      <w:color w:val="auto"/>
                    </w:rPr>
                  </w:pPr>
                </w:p>
              </w:tc>
              <w:tc>
                <w:tcPr>
                  <w:tcW w:w="1013" w:type="dxa"/>
                  <w:vMerge w:val="continue"/>
                  <w:tcBorders>
                    <w:left w:val="single" w:color="000000" w:sz="4" w:space="0"/>
                    <w:bottom w:val="single" w:color="000000" w:sz="4" w:space="0"/>
                    <w:right w:val="single" w:color="000000" w:sz="4" w:space="0"/>
                    <w:tl2br w:val="nil"/>
                    <w:tr2bl w:val="nil"/>
                  </w:tcBorders>
                  <w:vAlign w:val="center"/>
                </w:tcPr>
                <w:p w14:paraId="7F3D4D40">
                  <w:pPr>
                    <w:pStyle w:val="32"/>
                    <w:rPr>
                      <w:rFonts w:hint="default" w:ascii="Times New Roman" w:hAnsi="Times New Roman" w:cs="Times New Roman"/>
                      <w:color w:val="auto"/>
                    </w:rPr>
                  </w:pPr>
                </w:p>
              </w:tc>
              <w:tc>
                <w:tcPr>
                  <w:tcW w:w="3402" w:type="dxa"/>
                  <w:tcBorders>
                    <w:top w:val="single" w:color="000000" w:sz="4" w:space="0"/>
                    <w:left w:val="single" w:color="000000" w:sz="4" w:space="0"/>
                    <w:bottom w:val="single" w:color="000000" w:sz="4" w:space="0"/>
                    <w:right w:val="single" w:color="000000" w:sz="4" w:space="0"/>
                    <w:tl2br w:val="nil"/>
                    <w:tr2bl w:val="nil"/>
                  </w:tcBorders>
                  <w:vAlign w:val="center"/>
                </w:tcPr>
                <w:p w14:paraId="7D160086">
                  <w:pPr>
                    <w:pStyle w:val="32"/>
                    <w:rPr>
                      <w:rFonts w:hint="default" w:ascii="Times New Roman" w:hAnsi="Times New Roman" w:cs="Times New Roman"/>
                      <w:color w:val="auto"/>
                    </w:rPr>
                  </w:pPr>
                  <w:r>
                    <w:rPr>
                      <w:rFonts w:hint="default" w:ascii="Times New Roman" w:hAnsi="Times New Roman" w:cs="Times New Roman"/>
                      <w:color w:val="auto"/>
                    </w:rPr>
                    <w:t>二氧化硫、颗粒物、林格曼黑度</w:t>
                  </w:r>
                </w:p>
              </w:tc>
              <w:tc>
                <w:tcPr>
                  <w:tcW w:w="1276" w:type="dxa"/>
                  <w:tcBorders>
                    <w:top w:val="single" w:color="000000" w:sz="4" w:space="0"/>
                    <w:left w:val="single" w:color="000000" w:sz="4" w:space="0"/>
                    <w:bottom w:val="single" w:color="000000" w:sz="4" w:space="0"/>
                    <w:right w:val="single" w:color="000000" w:sz="4" w:space="0"/>
                    <w:tl2br w:val="nil"/>
                    <w:tr2bl w:val="nil"/>
                  </w:tcBorders>
                  <w:vAlign w:val="center"/>
                </w:tcPr>
                <w:p w14:paraId="6E5DFD7D">
                  <w:pPr>
                    <w:pStyle w:val="32"/>
                    <w:rPr>
                      <w:rFonts w:hint="default" w:ascii="Times New Roman" w:hAnsi="Times New Roman" w:cs="Times New Roman"/>
                      <w:color w:val="auto"/>
                    </w:rPr>
                  </w:pPr>
                  <w:r>
                    <w:rPr>
                      <w:rFonts w:hint="default" w:ascii="Times New Roman" w:hAnsi="Times New Roman" w:cs="Times New Roman"/>
                      <w:color w:val="auto"/>
                    </w:rPr>
                    <w:t>每年一次</w:t>
                  </w:r>
                </w:p>
              </w:tc>
              <w:tc>
                <w:tcPr>
                  <w:tcW w:w="1722" w:type="dxa"/>
                  <w:vMerge w:val="continue"/>
                  <w:tcBorders>
                    <w:left w:val="single" w:color="000000" w:sz="4" w:space="0"/>
                    <w:bottom w:val="single" w:color="000000" w:sz="4" w:space="0"/>
                    <w:right w:val="nil"/>
                    <w:tl2br w:val="nil"/>
                    <w:tr2bl w:val="nil"/>
                  </w:tcBorders>
                  <w:vAlign w:val="center"/>
                </w:tcPr>
                <w:p w14:paraId="6923C194">
                  <w:pPr>
                    <w:pStyle w:val="32"/>
                    <w:rPr>
                      <w:rFonts w:hint="default" w:ascii="Times New Roman" w:hAnsi="Times New Roman" w:cs="Times New Roman"/>
                      <w:color w:val="auto"/>
                    </w:rPr>
                  </w:pPr>
                </w:p>
              </w:tc>
            </w:tr>
          </w:tbl>
          <w:p w14:paraId="4F183490">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p>
        </w:tc>
      </w:tr>
    </w:tbl>
    <w:p w14:paraId="0A82D2F2">
      <w:pPr>
        <w:adjustRightInd w:val="0"/>
        <w:snapToGrid w:val="0"/>
        <w:ind w:firstLine="562"/>
        <w:rPr>
          <w:rFonts w:hint="default" w:ascii="Times New Roman" w:hAnsi="Times New Roman" w:cs="Times New Roman"/>
          <w:b/>
          <w:color w:val="auto"/>
          <w:kern w:val="0"/>
          <w:sz w:val="28"/>
          <w:szCs w:val="28"/>
        </w:rPr>
        <w:sectPr>
          <w:pgSz w:w="11907" w:h="16840"/>
          <w:pgMar w:top="1701" w:right="1531" w:bottom="2127" w:left="1531" w:header="851" w:footer="851" w:gutter="0"/>
          <w:cols w:space="720" w:num="1"/>
          <w:docGrid w:linePitch="312" w:charSpace="0"/>
        </w:sectPr>
      </w:pPr>
    </w:p>
    <w:p w14:paraId="49201475">
      <w:pPr>
        <w:pStyle w:val="3"/>
        <w:ind w:firstLineChars="0"/>
        <w:rPr>
          <w:rFonts w:hint="default" w:ascii="Times New Roman" w:hAnsi="Times New Roman" w:cs="Times New Roman"/>
          <w:color w:val="auto"/>
        </w:rPr>
      </w:pPr>
      <w:bookmarkStart w:id="45" w:name="_Toc408"/>
      <w:bookmarkStart w:id="46" w:name="_Toc30005"/>
      <w:bookmarkStart w:id="47" w:name="_Hlk54167917"/>
      <w:r>
        <w:rPr>
          <w:rFonts w:hint="default" w:ascii="Times New Roman" w:hAnsi="Times New Roman" w:cs="Times New Roman"/>
          <w:color w:val="auto"/>
        </w:rPr>
        <w:t>环境保护措施监督检查清单</w:t>
      </w:r>
      <w:bookmarkEnd w:id="45"/>
      <w:bookmarkEnd w:id="46"/>
      <w:bookmarkEnd w:id="47"/>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1326"/>
        <w:gridCol w:w="1063"/>
        <w:gridCol w:w="1989"/>
        <w:gridCol w:w="3150"/>
      </w:tblGrid>
      <w:tr w14:paraId="32404B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2" w:type="dxa"/>
            <w:tcBorders>
              <w:tl2br w:val="single" w:color="auto" w:sz="4" w:space="0"/>
            </w:tcBorders>
          </w:tcPr>
          <w:p w14:paraId="3B9CDA00">
            <w:pPr>
              <w:adjustRightInd w:val="0"/>
              <w:snapToGrid w:val="0"/>
              <w:spacing w:line="240" w:lineRule="auto"/>
              <w:ind w:firstLine="0" w:firstLineChars="0"/>
              <w:rPr>
                <w:rFonts w:hint="default" w:ascii="Times New Roman" w:hAnsi="Times New Roman" w:cs="Times New Roman"/>
                <w:b/>
                <w:bCs/>
                <w:color w:val="auto"/>
                <w:sz w:val="21"/>
                <w:szCs w:val="21"/>
              </w:rPr>
            </w:pPr>
          </w:p>
          <w:p w14:paraId="338FED54">
            <w:pPr>
              <w:adjustRightInd w:val="0"/>
              <w:snapToGrid w:val="0"/>
              <w:spacing w:line="240" w:lineRule="auto"/>
              <w:ind w:firstLine="0" w:firstLineChars="0"/>
              <w:jc w:val="right"/>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内容</w:t>
            </w:r>
          </w:p>
          <w:p w14:paraId="6C97A7D5">
            <w:pPr>
              <w:adjustRightInd w:val="0"/>
              <w:snapToGrid w:val="0"/>
              <w:spacing w:line="240" w:lineRule="auto"/>
              <w:ind w:firstLine="0" w:firstLineChars="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要素</w:t>
            </w:r>
          </w:p>
        </w:tc>
        <w:tc>
          <w:tcPr>
            <w:tcW w:w="1326" w:type="dxa"/>
            <w:vAlign w:val="center"/>
          </w:tcPr>
          <w:p w14:paraId="5ACE3586">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排放口(编号、名称)</w:t>
            </w:r>
          </w:p>
          <w:p w14:paraId="2BDD6A48">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/污染源</w:t>
            </w:r>
          </w:p>
        </w:tc>
        <w:tc>
          <w:tcPr>
            <w:tcW w:w="1063" w:type="dxa"/>
            <w:vAlign w:val="center"/>
          </w:tcPr>
          <w:p w14:paraId="635E6867">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污染物项目</w:t>
            </w:r>
          </w:p>
        </w:tc>
        <w:tc>
          <w:tcPr>
            <w:tcW w:w="1989" w:type="dxa"/>
            <w:vAlign w:val="center"/>
          </w:tcPr>
          <w:p w14:paraId="25E47464">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环境保护措施</w:t>
            </w:r>
          </w:p>
        </w:tc>
        <w:tc>
          <w:tcPr>
            <w:tcW w:w="3150" w:type="dxa"/>
            <w:vAlign w:val="center"/>
          </w:tcPr>
          <w:p w14:paraId="297F8E44">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执行标准</w:t>
            </w:r>
          </w:p>
        </w:tc>
      </w:tr>
      <w:tr w14:paraId="066835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272" w:type="dxa"/>
            <w:vAlign w:val="center"/>
          </w:tcPr>
          <w:p w14:paraId="0ED50FBF">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w:t>
            </w:r>
          </w:p>
        </w:tc>
        <w:tc>
          <w:tcPr>
            <w:tcW w:w="1326" w:type="dxa"/>
            <w:vAlign w:val="center"/>
          </w:tcPr>
          <w:p w14:paraId="49C551AF">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DA001</w:t>
            </w:r>
          </w:p>
          <w:p w14:paraId="12C61CCD">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废气排放口</w:t>
            </w:r>
          </w:p>
        </w:tc>
        <w:tc>
          <w:tcPr>
            <w:tcW w:w="1063" w:type="dxa"/>
            <w:vAlign w:val="center"/>
          </w:tcPr>
          <w:p w14:paraId="7D64226F">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r>
              <w:rPr>
                <w:rStyle w:val="46"/>
                <w:rFonts w:hint="default" w:ascii="Times New Roman" w:hAnsi="Times New Roman" w:cs="Times New Roman"/>
                <w:color w:val="auto"/>
              </w:rPr>
              <w:t>二氧化硫、氮氧化物</w:t>
            </w:r>
          </w:p>
        </w:tc>
        <w:tc>
          <w:tcPr>
            <w:tcW w:w="1989" w:type="dxa"/>
            <w:vAlign w:val="center"/>
          </w:tcPr>
          <w:p w14:paraId="33DC3EB6">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8m高烟囱排放</w:t>
            </w:r>
          </w:p>
        </w:tc>
        <w:tc>
          <w:tcPr>
            <w:tcW w:w="3150" w:type="dxa"/>
            <w:vAlign w:val="center"/>
          </w:tcPr>
          <w:p w14:paraId="213F234F">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《锅炉大气污染物排放标准》(GB13271-2014) 表3中重点区域燃气锅炉标准（SO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允许排放浓度50mg/m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，氮氧化物允许排放浓度150mg/m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r>
              <w:rPr>
                <w:rFonts w:hint="eastAsia" w:cs="Times New Roman"/>
                <w:color w:val="auto"/>
                <w:sz w:val="21"/>
                <w:szCs w:val="21"/>
                <w:lang w:val="en-US" w:eastAsia="zh-CN"/>
              </w:rPr>
              <w:t>颗粒物</w:t>
            </w:r>
            <w:r>
              <w:rPr>
                <w:rFonts w:hint="default" w:ascii="Times New Roman" w:hAnsi="Times New Roman" w:cs="Times New Roman"/>
                <w:color w:val="auto"/>
                <w:sz w:val="21"/>
                <w:szCs w:val="21"/>
              </w:rPr>
              <w:t>允许排放浓度</w:t>
            </w:r>
            <w:r>
              <w:rPr>
                <w:rFonts w:hint="eastAsia" w:cs="Times New Roman"/>
                <w:color w:val="auto"/>
                <w:sz w:val="21"/>
                <w:szCs w:val="21"/>
                <w:lang w:val="en-US" w:eastAsia="zh-CN"/>
              </w:rPr>
              <w:t>20</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，烟气黑度(林格曼级)排放限值≤1级)</w:t>
            </w:r>
          </w:p>
        </w:tc>
      </w:tr>
      <w:tr w14:paraId="782232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7" w:hRule="atLeast"/>
          <w:jc w:val="center"/>
        </w:trPr>
        <w:tc>
          <w:tcPr>
            <w:tcW w:w="1272" w:type="dxa"/>
            <w:vAlign w:val="center"/>
          </w:tcPr>
          <w:p w14:paraId="698BE9F4">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tc>
        <w:tc>
          <w:tcPr>
            <w:tcW w:w="1326" w:type="dxa"/>
            <w:vAlign w:val="center"/>
          </w:tcPr>
          <w:p w14:paraId="24BC942D">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63" w:type="dxa"/>
            <w:vAlign w:val="center"/>
          </w:tcPr>
          <w:p w14:paraId="48F122F9">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989" w:type="dxa"/>
            <w:vAlign w:val="center"/>
          </w:tcPr>
          <w:p w14:paraId="3669096F">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0" w:type="dxa"/>
            <w:vAlign w:val="center"/>
          </w:tcPr>
          <w:p w14:paraId="584C6A2B">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587EF0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4" w:hRule="atLeast"/>
          <w:jc w:val="center"/>
        </w:trPr>
        <w:tc>
          <w:tcPr>
            <w:tcW w:w="1272" w:type="dxa"/>
            <w:vAlign w:val="center"/>
          </w:tcPr>
          <w:p w14:paraId="05D0AD3C">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1326" w:type="dxa"/>
            <w:vAlign w:val="center"/>
          </w:tcPr>
          <w:p w14:paraId="1E1D92B5">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厂界噪声</w:t>
            </w:r>
          </w:p>
        </w:tc>
        <w:tc>
          <w:tcPr>
            <w:tcW w:w="1063" w:type="dxa"/>
            <w:vAlign w:val="center"/>
          </w:tcPr>
          <w:p w14:paraId="178EF11A">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噪声值</w:t>
            </w:r>
          </w:p>
        </w:tc>
        <w:tc>
          <w:tcPr>
            <w:tcW w:w="1989" w:type="dxa"/>
            <w:vAlign w:val="center"/>
          </w:tcPr>
          <w:p w14:paraId="1535E3AC">
            <w:pPr>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基础减振，厂房隔音，加强设备维护保持设备良好运行状态</w:t>
            </w:r>
          </w:p>
        </w:tc>
        <w:tc>
          <w:tcPr>
            <w:tcW w:w="3150" w:type="dxa"/>
            <w:vAlign w:val="center"/>
          </w:tcPr>
          <w:p w14:paraId="11C7E06B">
            <w:pPr>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《工业企业厂界环境噪声排放标准》（GB12348-2008）中3类标准</w:t>
            </w:r>
          </w:p>
        </w:tc>
      </w:tr>
      <w:tr w14:paraId="46CC2F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1272" w:type="dxa"/>
            <w:vAlign w:val="center"/>
          </w:tcPr>
          <w:p w14:paraId="18BD79E4">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电磁辐射</w:t>
            </w:r>
          </w:p>
        </w:tc>
        <w:tc>
          <w:tcPr>
            <w:tcW w:w="1326" w:type="dxa"/>
            <w:vAlign w:val="center"/>
          </w:tcPr>
          <w:p w14:paraId="032394D0">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63" w:type="dxa"/>
            <w:vAlign w:val="center"/>
          </w:tcPr>
          <w:p w14:paraId="701F0900">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989" w:type="dxa"/>
            <w:vAlign w:val="center"/>
          </w:tcPr>
          <w:p w14:paraId="2C6F44F5">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0" w:type="dxa"/>
            <w:vAlign w:val="center"/>
          </w:tcPr>
          <w:p w14:paraId="30B90466">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230823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2" w:hRule="atLeast"/>
          <w:jc w:val="center"/>
        </w:trPr>
        <w:tc>
          <w:tcPr>
            <w:tcW w:w="1272" w:type="dxa"/>
            <w:vAlign w:val="center"/>
          </w:tcPr>
          <w:p w14:paraId="63CBD810">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w:t>
            </w:r>
          </w:p>
        </w:tc>
        <w:tc>
          <w:tcPr>
            <w:tcW w:w="7528" w:type="dxa"/>
            <w:gridSpan w:val="4"/>
            <w:vAlign w:val="center"/>
          </w:tcPr>
          <w:p w14:paraId="52366696">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w:t>
            </w:r>
          </w:p>
        </w:tc>
      </w:tr>
      <w:tr w14:paraId="4DC739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1272" w:type="dxa"/>
            <w:vAlign w:val="center"/>
          </w:tcPr>
          <w:p w14:paraId="3AD2F7CF">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土壤及地下水污染防治措施</w:t>
            </w:r>
          </w:p>
        </w:tc>
        <w:tc>
          <w:tcPr>
            <w:tcW w:w="7528" w:type="dxa"/>
            <w:gridSpan w:val="4"/>
            <w:vAlign w:val="center"/>
          </w:tcPr>
          <w:p w14:paraId="2AE64DDA">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148516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1272" w:type="dxa"/>
            <w:vAlign w:val="center"/>
          </w:tcPr>
          <w:p w14:paraId="3CE39EE9">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生态保护</w:t>
            </w:r>
          </w:p>
          <w:p w14:paraId="55D669F9">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措施</w:t>
            </w:r>
          </w:p>
        </w:tc>
        <w:tc>
          <w:tcPr>
            <w:tcW w:w="7528" w:type="dxa"/>
            <w:gridSpan w:val="4"/>
            <w:vAlign w:val="center"/>
          </w:tcPr>
          <w:p w14:paraId="26E93902">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本项目不涉及生态环境影响。</w:t>
            </w:r>
          </w:p>
        </w:tc>
      </w:tr>
      <w:tr w14:paraId="018C0B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60" w:hRule="atLeast"/>
          <w:jc w:val="center"/>
        </w:trPr>
        <w:tc>
          <w:tcPr>
            <w:tcW w:w="1272" w:type="dxa"/>
            <w:vAlign w:val="center"/>
          </w:tcPr>
          <w:p w14:paraId="2A6BBDA9">
            <w:pPr>
              <w:adjustRightInd w:val="0"/>
              <w:snapToGrid w:val="0"/>
              <w:spacing w:line="240" w:lineRule="auto"/>
              <w:ind w:firstLine="0" w:firstLineChars="0"/>
              <w:jc w:val="center"/>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环境风险</w:t>
            </w:r>
          </w:p>
          <w:p w14:paraId="38AB7E6C">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防范措施</w:t>
            </w:r>
          </w:p>
        </w:tc>
        <w:tc>
          <w:tcPr>
            <w:tcW w:w="7528" w:type="dxa"/>
            <w:gridSpan w:val="4"/>
            <w:vAlign w:val="center"/>
          </w:tcPr>
          <w:p w14:paraId="54A3A0CA">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①总平面布置和建筑物分布物按《建筑设计防火规范》(GB500016-2006)等相关规范执行。</w:t>
            </w:r>
          </w:p>
          <w:p w14:paraId="37DD94BE">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②天然气管道的材料应符合要求，对管道进行防腐保护，防止因腐蚀产生泄漏。③管道接管上必须设置安全阀和检修用的放散管；并设置紧急切断阀；在意外事故出现时，及时切断气源，避免事故范围的扩大。</w:t>
            </w:r>
          </w:p>
          <w:p w14:paraId="6DA30BE7">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④强化安全、消防和环保管理，完善环保安全管理机制，制定严格操作规程和环境管理的规章制度，加强日常监督检查；厂区内严禁烟火。</w:t>
            </w:r>
          </w:p>
          <w:p w14:paraId="66FCEF1E">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⑤加强职工的职业培训，规范操作，安全生产。</w:t>
            </w:r>
          </w:p>
        </w:tc>
      </w:tr>
      <w:tr w14:paraId="1FDE61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06" w:hRule="atLeast"/>
          <w:jc w:val="center"/>
        </w:trPr>
        <w:tc>
          <w:tcPr>
            <w:tcW w:w="1272" w:type="dxa"/>
            <w:vAlign w:val="center"/>
          </w:tcPr>
          <w:p w14:paraId="01EBCFED">
            <w:pPr>
              <w:adjustRightInd w:val="0"/>
              <w:snapToGrid w:val="0"/>
              <w:spacing w:line="240" w:lineRule="auto"/>
              <w:ind w:firstLine="0" w:firstLineChars="0"/>
              <w:jc w:val="center"/>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其他环境管理要求</w:t>
            </w:r>
          </w:p>
        </w:tc>
        <w:tc>
          <w:tcPr>
            <w:tcW w:w="7528" w:type="dxa"/>
            <w:gridSpan w:val="4"/>
            <w:vAlign w:val="center"/>
          </w:tcPr>
          <w:p w14:paraId="24636A98">
            <w:pPr>
              <w:autoSpaceDE w:val="0"/>
              <w:autoSpaceDN w:val="0"/>
              <w:adjustRightInd w:val="0"/>
              <w:snapToGrid w:val="0"/>
              <w:spacing w:line="240" w:lineRule="auto"/>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1、竣工环境保护验收</w:t>
            </w:r>
          </w:p>
          <w:p w14:paraId="56A9A69E">
            <w:pPr>
              <w:autoSpaceDE w:val="0"/>
              <w:autoSpaceDN w:val="0"/>
              <w:adjustRightInd w:val="0"/>
              <w:snapToGrid w:val="0"/>
              <w:spacing w:line="240" w:lineRule="auto"/>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根据《建设项目竣工环境保护验收暂行办法》的规定，建设项目竣工后，建设单位应当如实查验、监测、记载建设项目环境保护设施的建设和调试情况，编制验收监测报告表。</w:t>
            </w:r>
          </w:p>
          <w:p w14:paraId="09ED6924">
            <w:pPr>
              <w:autoSpaceDE w:val="0"/>
              <w:autoSpaceDN w:val="0"/>
              <w:adjustRightInd w:val="0"/>
              <w:snapToGrid w:val="0"/>
              <w:spacing w:line="240" w:lineRule="auto"/>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2、排污许可管理要求</w:t>
            </w:r>
          </w:p>
          <w:p w14:paraId="0CF2CE3A">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根据《固定污染源排污许可分类管理名录（2019年版）》（生态环境部 第11号）可知，本项目涉及通用工序“锅炉”中的“，单台或者合计出力20吨/小时（14兆瓦）及以上的锅炉（不含电热锅炉）”，应进行排污许可简化管理。因此，建设单位应当在改建锅炉启动生产或者发生实际排污之前在全国排污许可证管理信息平台进行排污许可变更。</w:t>
            </w:r>
          </w:p>
          <w:p w14:paraId="6936EC2D">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3、环保信息公开要求</w:t>
            </w:r>
          </w:p>
          <w:p w14:paraId="463BAC95">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企业事业单位环境信息公开办法》(环境保护部令第31号)，企业事业单位应当按照强制公开和自愿公开相结合的原则，及时、如实地公开其环境信息。企业事业单位应当建立健全本单位环境信息公开制度，指定机构负责本单位环境信息公开日常工作，排污单位应当公开以下信息：</w:t>
            </w:r>
          </w:p>
          <w:p w14:paraId="2AC2DEA1">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(一)基础信息，包括单位名称、组织机构代码、法定代表人、生产地址、联系方式，以及生产经营和管理服务的主要内容、产品及规模；</w:t>
            </w:r>
          </w:p>
          <w:p w14:paraId="613F535F">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(二)排污信息，包括主要污染物及其他污染物的名称、排放方式、排放口数量和分布情况、排放浓度和总量、超标情况，以及执行的污染物排放标准、核定的排放总量；</w:t>
            </w:r>
          </w:p>
          <w:p w14:paraId="02A5218F">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(三)防治污染设施的建设和运行情况；</w:t>
            </w:r>
          </w:p>
          <w:p w14:paraId="1209D76E">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(四)建设项目环境影响评价及其他环境保护行政许可情况；</w:t>
            </w:r>
          </w:p>
          <w:p w14:paraId="14F8D7C6">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(五)其他应当公开的环境信息；</w:t>
            </w:r>
          </w:p>
          <w:p w14:paraId="78A4D46A">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列入国家重点监控企业名单的重点排污单位还应当公开其环境自行监测方案。</w:t>
            </w:r>
          </w:p>
          <w:p w14:paraId="2898D0F7">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单位应按照上述要求公开建设项目的相关信息，采取的信息公开途径可包括：①公告或者公开发行的信息专刊；②广播、电视等新闻媒体；③信息公开服务、监督热线电话；④本单位的资料索取点、信息公开栏、信息亭、电子屏幕、电子触摸屏等场所或者设施；⑤其他便于公众及时、准确获得信息的方式。。</w:t>
            </w:r>
          </w:p>
          <w:p w14:paraId="1AF595EB">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4、排污口规范管理</w:t>
            </w:r>
          </w:p>
          <w:p w14:paraId="35395071">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切排污单位的污染物排放口(源)必须实行规范化整治，按照(GB15562.2-1995)《环境保护图形标志》的规定，设置与之相适应的环境保护图形标志牌，见表12-1。一般性污染物排放口(源)可设置提示性环境保护图形标志牌，排污口可根据情况分别选择设置立式或平面固定式标志牌。要求各排污口（源）提示标志形状采用正方形边框，背景颜色用绿色，图形颜色用白色。标志牌应设在与之功能相应的醒目处，并保持清晰、完整。</w:t>
            </w:r>
          </w:p>
          <w:p w14:paraId="0D5C8889">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（1）废气排放口的整治及规范</w:t>
            </w:r>
          </w:p>
          <w:p w14:paraId="35764E47">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①有组织排放的废气。对其排气筒数量、高度和泄漏情况进行整治。</w:t>
            </w:r>
          </w:p>
          <w:p w14:paraId="42230B1A">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②排气筒应设置便于采样、监测的采样口。采样口的设置应符合《污染源监测技术规范》要求</w:t>
            </w:r>
          </w:p>
          <w:p w14:paraId="60EAF65F">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③无组织排放有毒有害气体的，应加装引风装置，进行收集、处理，并设置采样点。</w:t>
            </w:r>
          </w:p>
          <w:p w14:paraId="503FC71F">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废水排放口的整治及规范</w:t>
            </w:r>
          </w:p>
          <w:p w14:paraId="58350C9C">
            <w:pPr>
              <w:pStyle w:val="1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本项目生活污水依托租赁厂房排放口进行排放，要求做到雨污分流，设置便于采样、监测的采样口。采样口的设置应符合《污染源监测技术规范》要求。</w:t>
            </w:r>
          </w:p>
          <w:p w14:paraId="012276F8">
            <w:pPr>
              <w:spacing w:line="240" w:lineRule="auto"/>
              <w:ind w:firstLine="0" w:firstLineChars="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表</w:t>
            </w:r>
            <w:r>
              <w:rPr>
                <w:rFonts w:hint="eastAsia" w:ascii="Times New Roman" w:hAnsi="Times New Roman" w:cs="Times New Roman"/>
                <w:b/>
                <w:bCs/>
                <w:color w:val="auto"/>
                <w:kern w:val="0"/>
                <w:szCs w:val="21"/>
                <w:lang w:val="en-US" w:eastAsia="zh-CN"/>
              </w:rPr>
              <w:t>5.1-1</w:t>
            </w:r>
            <w:r>
              <w:rPr>
                <w:rFonts w:hint="default" w:ascii="Times New Roman" w:hAnsi="Times New Roman" w:cs="Times New Roman"/>
                <w:b/>
                <w:bCs/>
                <w:color w:val="auto"/>
                <w:kern w:val="0"/>
                <w:szCs w:val="21"/>
              </w:rPr>
              <w:t xml:space="preserve"> 各排污口（源）标志牌设置示意图</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583"/>
              <w:gridCol w:w="1724"/>
              <w:gridCol w:w="1724"/>
              <w:gridCol w:w="1573"/>
            </w:tblGrid>
            <w:tr w14:paraId="327D7F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2" w:type="pct"/>
                  <w:noWrap w:val="0"/>
                  <w:vAlign w:val="center"/>
                </w:tcPr>
                <w:p w14:paraId="297414FD">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名称</w:t>
                  </w:r>
                </w:p>
              </w:tc>
              <w:tc>
                <w:tcPr>
                  <w:tcW w:w="1083" w:type="pct"/>
                  <w:noWrap w:val="0"/>
                  <w:vAlign w:val="center"/>
                </w:tcPr>
                <w:p w14:paraId="190CF440">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废水排放口</w:t>
                  </w:r>
                </w:p>
              </w:tc>
              <w:tc>
                <w:tcPr>
                  <w:tcW w:w="1179" w:type="pct"/>
                  <w:noWrap w:val="0"/>
                  <w:vAlign w:val="center"/>
                </w:tcPr>
                <w:p w14:paraId="63EFC83A">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废气排放口</w:t>
                  </w:r>
                </w:p>
              </w:tc>
              <w:tc>
                <w:tcPr>
                  <w:tcW w:w="1179" w:type="pct"/>
                  <w:noWrap w:val="0"/>
                  <w:vAlign w:val="center"/>
                </w:tcPr>
                <w:p w14:paraId="3F78B0F1">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噪声排放源</w:t>
                  </w:r>
                </w:p>
              </w:tc>
              <w:tc>
                <w:tcPr>
                  <w:tcW w:w="1075" w:type="pct"/>
                  <w:noWrap w:val="0"/>
                  <w:vAlign w:val="center"/>
                </w:tcPr>
                <w:p w14:paraId="11CE0AD1">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一般固体废物</w:t>
                  </w:r>
                </w:p>
              </w:tc>
            </w:tr>
            <w:tr w14:paraId="37467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2" w:type="pct"/>
                  <w:noWrap w:val="0"/>
                  <w:vAlign w:val="center"/>
                </w:tcPr>
                <w:p w14:paraId="2EFFD394">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提示</w:t>
                  </w:r>
                </w:p>
                <w:p w14:paraId="636222AE">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图形</w:t>
                  </w:r>
                </w:p>
                <w:p w14:paraId="70996341">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符号</w:t>
                  </w:r>
                </w:p>
              </w:tc>
              <w:tc>
                <w:tcPr>
                  <w:tcW w:w="1083" w:type="pct"/>
                  <w:noWrap w:val="0"/>
                  <w:vAlign w:val="center"/>
                </w:tcPr>
                <w:p w14:paraId="0E3E7AE1">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drawing>
                      <wp:inline distT="0" distB="0" distL="114300" distR="114300">
                        <wp:extent cx="812165" cy="734060"/>
                        <wp:effectExtent l="9525" t="9525" r="16510" b="18415"/>
                        <wp:docPr id="4" name="图片 6" descr="排污口图标（废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排污口图标（废水）"/>
                                <pic:cNvPicPr>
                                  <a:picLocks noChangeAspect="1"/>
                                </pic:cNvPicPr>
                              </pic:nvPicPr>
                              <pic:blipFill>
                                <a:blip r:embed="rId25"/>
                                <a:stretch>
                                  <a:fillRect/>
                                </a:stretch>
                              </pic:blipFill>
                              <pic:spPr>
                                <a:xfrm>
                                  <a:off x="0" y="0"/>
                                  <a:ext cx="812165" cy="734060"/>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1179" w:type="pct"/>
                  <w:noWrap w:val="0"/>
                  <w:vAlign w:val="center"/>
                </w:tcPr>
                <w:p w14:paraId="24015FD1">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drawing>
                      <wp:inline distT="0" distB="0" distL="114300" distR="114300">
                        <wp:extent cx="774065" cy="748665"/>
                        <wp:effectExtent l="9525" t="9525" r="16510" b="22860"/>
                        <wp:docPr id="5" name="图片 7" descr="排污口图标（废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排污口图标（废气）"/>
                                <pic:cNvPicPr>
                                  <a:picLocks noChangeAspect="1"/>
                                </pic:cNvPicPr>
                              </pic:nvPicPr>
                              <pic:blipFill>
                                <a:blip r:embed="rId26"/>
                                <a:stretch>
                                  <a:fillRect/>
                                </a:stretch>
                              </pic:blipFill>
                              <pic:spPr>
                                <a:xfrm>
                                  <a:off x="0" y="0"/>
                                  <a:ext cx="774065" cy="748665"/>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1179" w:type="pct"/>
                  <w:noWrap w:val="0"/>
                  <w:vAlign w:val="center"/>
                </w:tcPr>
                <w:p w14:paraId="0206B55E">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drawing>
                      <wp:inline distT="0" distB="0" distL="114300" distR="114300">
                        <wp:extent cx="741680" cy="741680"/>
                        <wp:effectExtent l="9525" t="9525" r="10795" b="10795"/>
                        <wp:docPr id="6" name="图片 8" descr="排污口图标（噪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排污口图标（噪声）"/>
                                <pic:cNvPicPr>
                                  <a:picLocks noChangeAspect="1"/>
                                </pic:cNvPicPr>
                              </pic:nvPicPr>
                              <pic:blipFill>
                                <a:blip r:embed="rId27"/>
                                <a:stretch>
                                  <a:fillRect/>
                                </a:stretch>
                              </pic:blipFill>
                              <pic:spPr>
                                <a:xfrm>
                                  <a:off x="0" y="0"/>
                                  <a:ext cx="741680" cy="741680"/>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1075" w:type="pct"/>
                  <w:noWrap w:val="0"/>
                  <w:vAlign w:val="center"/>
                </w:tcPr>
                <w:p w14:paraId="2ADCCE0E">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drawing>
                      <wp:inline distT="0" distB="0" distL="114300" distR="114300">
                        <wp:extent cx="748665" cy="748665"/>
                        <wp:effectExtent l="9525" t="9525" r="22860" b="22860"/>
                        <wp:docPr id="7" name="图片 9" descr="排污口图标（固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descr="排污口图标（固废）"/>
                                <pic:cNvPicPr>
                                  <a:picLocks noChangeAspect="1"/>
                                </pic:cNvPicPr>
                              </pic:nvPicPr>
                              <pic:blipFill>
                                <a:blip r:embed="rId28"/>
                                <a:stretch>
                                  <a:fillRect/>
                                </a:stretch>
                              </pic:blipFill>
                              <pic:spPr>
                                <a:xfrm>
                                  <a:off x="0" y="0"/>
                                  <a:ext cx="748665" cy="748665"/>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14:paraId="0ABD1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2" w:type="pct"/>
                  <w:noWrap w:val="0"/>
                  <w:vAlign w:val="center"/>
                </w:tcPr>
                <w:p w14:paraId="74E97FC0">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功能</w:t>
                  </w:r>
                </w:p>
              </w:tc>
              <w:tc>
                <w:tcPr>
                  <w:tcW w:w="1083" w:type="pct"/>
                  <w:noWrap w:val="0"/>
                  <w:vAlign w:val="center"/>
                </w:tcPr>
                <w:p w14:paraId="58F38BB1">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表示污水向水体排放</w:t>
                  </w:r>
                </w:p>
              </w:tc>
              <w:tc>
                <w:tcPr>
                  <w:tcW w:w="1179" w:type="pct"/>
                  <w:noWrap w:val="0"/>
                  <w:vAlign w:val="center"/>
                </w:tcPr>
                <w:p w14:paraId="51C66491">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表示废气向大气环境排放</w:t>
                  </w:r>
                </w:p>
              </w:tc>
              <w:tc>
                <w:tcPr>
                  <w:tcW w:w="1179" w:type="pct"/>
                  <w:noWrap w:val="0"/>
                  <w:vAlign w:val="center"/>
                </w:tcPr>
                <w:p w14:paraId="6334BFB4">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表示噪声向外环境排放</w:t>
                  </w:r>
                </w:p>
              </w:tc>
              <w:tc>
                <w:tcPr>
                  <w:tcW w:w="1075" w:type="pct"/>
                  <w:noWrap w:val="0"/>
                  <w:vAlign w:val="center"/>
                </w:tcPr>
                <w:p w14:paraId="6C60C263">
                  <w:pPr>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表示一般固体废物贮存、处置场</w:t>
                  </w:r>
                </w:p>
              </w:tc>
            </w:tr>
          </w:tbl>
          <w:p w14:paraId="0696C962">
            <w:pPr>
              <w:pStyle w:val="12"/>
              <w:ind w:firstLine="210" w:firstLineChars="100"/>
              <w:rPr>
                <w:rFonts w:hint="default" w:ascii="Times New Roman" w:hAnsi="Times New Roman" w:cs="Times New Roman"/>
                <w:color w:val="auto"/>
                <w:sz w:val="21"/>
                <w:szCs w:val="21"/>
              </w:rPr>
            </w:pPr>
          </w:p>
        </w:tc>
      </w:tr>
    </w:tbl>
    <w:p w14:paraId="54E69E84">
      <w:pPr>
        <w:ind w:firstLine="480"/>
        <w:rPr>
          <w:rFonts w:hint="default" w:ascii="Times New Roman" w:hAnsi="Times New Roman" w:cs="Times New Roman"/>
          <w:color w:val="auto"/>
        </w:rPr>
      </w:pPr>
      <w:r>
        <w:rPr>
          <w:rFonts w:hint="default" w:ascii="Times New Roman" w:hAnsi="Times New Roman" w:cs="Times New Roman"/>
          <w:color w:val="auto"/>
        </w:rPr>
        <w:br w:type="page"/>
      </w:r>
    </w:p>
    <w:p w14:paraId="5F8F8049">
      <w:pPr>
        <w:ind w:firstLine="480"/>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14:paraId="2D38161D">
      <w:pPr>
        <w:pStyle w:val="3"/>
        <w:tabs>
          <w:tab w:val="left" w:pos="0"/>
          <w:tab w:val="clear" w:pos="420"/>
        </w:tabs>
        <w:bidi w:val="0"/>
        <w:rPr>
          <w:rFonts w:hint="eastAsia" w:ascii="Times New Roman" w:hAnsi="Times New Roman" w:eastAsia="黑体" w:cs="Times New Roman"/>
          <w:snapToGrid w:val="0"/>
          <w:sz w:val="30"/>
          <w:szCs w:val="30"/>
          <w:lang w:eastAsia="zh-CN"/>
        </w:rPr>
      </w:pPr>
      <w:r>
        <w:rPr>
          <w:rFonts w:hint="default" w:ascii="Times New Roman" w:hAnsi="Times New Roman" w:eastAsia="黑体" w:cs="Times New Roman"/>
          <w:snapToGrid w:val="0"/>
          <w:sz w:val="30"/>
          <w:szCs w:val="30"/>
        </w:rPr>
        <w:t>结论</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017AD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679550E2">
            <w:pPr>
              <w:spacing w:line="360" w:lineRule="auto"/>
              <w:ind w:firstLine="480"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通过对</w:t>
            </w:r>
            <w:r>
              <w:rPr>
                <w:rFonts w:hint="eastAsia" w:ascii="Times New Roman" w:hAnsi="Times New Roman" w:cs="Times New Roman"/>
                <w:lang w:eastAsia="zh-CN"/>
              </w:rPr>
              <w:t>福建福老酒业有限公司锅炉改建项目</w:t>
            </w:r>
            <w:r>
              <w:rPr>
                <w:rFonts w:hint="default" w:ascii="Times New Roman" w:hAnsi="Times New Roman" w:cs="Times New Roman"/>
                <w:color w:val="auto"/>
                <w:sz w:val="24"/>
                <w:szCs w:val="24"/>
                <w:highlight w:val="none"/>
                <w:lang w:eastAsia="zh-CN"/>
              </w:rPr>
              <w:t>的环境影响分析评价，项目运营过程中废气、噪声等污染物，对周围大气环境、声环境等造成一定不利影响，经采取综合性、积极有效的防治措施并确保污染物达标排放后，可避免或减少这些不利影响，影响均在环境可接受的范围内。</w:t>
            </w:r>
          </w:p>
          <w:p w14:paraId="660E7AD9">
            <w:pPr>
              <w:spacing w:line="360" w:lineRule="auto"/>
              <w:ind w:firstLine="480" w:firstLineChars="200"/>
              <w:jc w:val="left"/>
              <w:rPr>
                <w:rFonts w:hint="default" w:ascii="Times New Roman" w:hAnsi="Times New Roman" w:cs="Times New Roman"/>
                <w:kern w:val="0"/>
                <w:sz w:val="24"/>
                <w:szCs w:val="22"/>
                <w:lang w:eastAsia="zh-CN"/>
              </w:rPr>
            </w:pPr>
            <w:r>
              <w:rPr>
                <w:rFonts w:hint="default" w:ascii="Times New Roman" w:hAnsi="Times New Roman" w:cs="Times New Roman"/>
                <w:color w:val="auto"/>
                <w:sz w:val="24"/>
                <w:szCs w:val="24"/>
                <w:highlight w:val="none"/>
                <w:lang w:eastAsia="zh-CN"/>
              </w:rPr>
              <w:t>综上所述，在认真执行建设项目“三同时”制度，切实落实各项规划方案的要求，完成本次环境影响评价提出的各项污染防治措施，严格落实各项环保措施和环境管理机构的要求的前提下，确保各污染物达标排放，对周围的环境影响较小。从环境保护角度分析，该项目的建设是可行的</w:t>
            </w:r>
            <w:r>
              <w:rPr>
                <w:rFonts w:hint="default" w:ascii="Times New Roman" w:hAnsi="Times New Roman" w:cs="Times New Roman"/>
                <w:kern w:val="0"/>
                <w:sz w:val="24"/>
                <w:szCs w:val="22"/>
                <w:lang w:eastAsia="zh-CN"/>
              </w:rPr>
              <w:t>。</w:t>
            </w:r>
          </w:p>
          <w:p w14:paraId="46C9ACEA">
            <w:pPr>
              <w:pStyle w:val="2"/>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上述评价结果根据建设单位提供的生产规模、工艺、设备方案、车间布局等得出，如建设单位在本项目批准后实施过程中存在《环境影响评价法》第二十四条所述变动，须按照相关环保要求重新申报。</w:t>
            </w:r>
          </w:p>
          <w:p w14:paraId="5A30B5F3">
            <w:pPr>
              <w:pStyle w:val="2"/>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center"/>
              <w:rPr>
                <w:rFonts w:hint="default" w:ascii="Times New Roman" w:hAnsi="Times New Roman" w:cs="Times New Roman"/>
                <w:color w:val="auto"/>
                <w:sz w:val="24"/>
                <w:szCs w:val="24"/>
                <w:highlight w:val="none"/>
                <w:lang w:eastAsia="zh-CN"/>
              </w:rPr>
            </w:pPr>
          </w:p>
          <w:p w14:paraId="7E36E375">
            <w:pPr>
              <w:pStyle w:val="2"/>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center"/>
              <w:rPr>
                <w:rFonts w:hint="default" w:ascii="Times New Roman" w:hAnsi="Times New Roman" w:cs="Times New Roman"/>
                <w:color w:val="auto"/>
                <w:sz w:val="24"/>
                <w:szCs w:val="24"/>
                <w:highlight w:val="none"/>
                <w:lang w:eastAsia="zh-CN"/>
              </w:rPr>
            </w:pPr>
          </w:p>
          <w:p w14:paraId="4CB2361D">
            <w:pPr>
              <w:pStyle w:val="2"/>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center"/>
              <w:rPr>
                <w:rFonts w:hint="default" w:ascii="Times New Roman" w:hAnsi="Times New Roman" w:cs="Times New Roman"/>
                <w:b/>
                <w:bCs/>
                <w:color w:val="auto"/>
                <w:sz w:val="28"/>
                <w:szCs w:val="28"/>
                <w:highlight w:val="none"/>
                <w:lang w:eastAsia="zh-CN"/>
              </w:rPr>
            </w:pPr>
          </w:p>
          <w:p w14:paraId="17D53E9D">
            <w:pPr>
              <w:pStyle w:val="2"/>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right"/>
              <w:rPr>
                <w:rFonts w:hint="default" w:ascii="Times New Roman" w:hAnsi="Times New Roman" w:cs="Times New Roman"/>
                <w:b/>
                <w:bCs/>
                <w:color w:val="auto"/>
                <w:sz w:val="28"/>
                <w:szCs w:val="28"/>
                <w:highlight w:val="none"/>
                <w:lang w:eastAsia="zh-CN"/>
              </w:rPr>
            </w:pPr>
            <w:r>
              <w:rPr>
                <w:rFonts w:hint="default" w:ascii="Times New Roman" w:hAnsi="Times New Roman" w:cs="Times New Roman"/>
                <w:b/>
                <w:bCs/>
                <w:color w:val="auto"/>
                <w:sz w:val="28"/>
                <w:szCs w:val="28"/>
                <w:highlight w:val="none"/>
                <w:lang w:eastAsia="zh-CN"/>
              </w:rPr>
              <w:t>编制单位：</w:t>
            </w:r>
            <w:r>
              <w:rPr>
                <w:rFonts w:hint="eastAsia" w:ascii="Times New Roman" w:hAnsi="Times New Roman" w:cs="Times New Roman"/>
                <w:b/>
                <w:bCs/>
                <w:color w:val="auto"/>
                <w:sz w:val="28"/>
                <w:szCs w:val="28"/>
                <w:highlight w:val="none"/>
                <w:lang w:eastAsia="zh-CN"/>
              </w:rPr>
              <w:t>福建蓝天碧海环保科技有限公司</w:t>
            </w:r>
          </w:p>
          <w:p w14:paraId="662D5CF2">
            <w:pPr>
              <w:pStyle w:val="2"/>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right"/>
              <w:rPr>
                <w:rFonts w:hint="default" w:ascii="Times New Roman" w:hAnsi="Times New Roman" w:cs="Times New Roman"/>
                <w:sz w:val="24"/>
                <w:lang w:val="en-US"/>
              </w:rPr>
            </w:pPr>
            <w:r>
              <w:rPr>
                <w:rFonts w:hint="default" w:ascii="Times New Roman" w:hAnsi="Times New Roman" w:cs="Times New Roman"/>
                <w:b/>
                <w:bCs/>
                <w:color w:val="auto"/>
                <w:sz w:val="28"/>
                <w:szCs w:val="28"/>
                <w:highlight w:val="none"/>
                <w:lang w:eastAsia="zh-CN"/>
              </w:rPr>
              <w:t>编制时间：</w:t>
            </w:r>
            <w:r>
              <w:rPr>
                <w:rFonts w:hint="default" w:ascii="Times New Roman" w:hAnsi="Times New Roman" w:cs="Times New Roman"/>
                <w:b/>
                <w:bCs/>
                <w:color w:val="auto"/>
                <w:sz w:val="28"/>
                <w:szCs w:val="28"/>
                <w:highlight w:val="none"/>
                <w:lang w:val="en-US" w:eastAsia="zh-CN"/>
              </w:rPr>
              <w:t>2021年</w:t>
            </w:r>
            <w:r>
              <w:rPr>
                <w:rFonts w:hint="eastAsia" w:ascii="Times New Roman" w:hAnsi="Times New Roman" w:cs="Times New Roman"/>
                <w:b/>
                <w:bCs/>
                <w:color w:val="auto"/>
                <w:sz w:val="28"/>
                <w:szCs w:val="28"/>
                <w:highlight w:val="none"/>
                <w:lang w:val="en-US" w:eastAsia="zh-CN"/>
              </w:rPr>
              <w:t>11月</w:t>
            </w:r>
          </w:p>
        </w:tc>
      </w:tr>
    </w:tbl>
    <w:p w14:paraId="3355829F">
      <w:pPr>
        <w:pStyle w:val="12"/>
        <w:keepNext w:val="0"/>
        <w:keepLines w:val="0"/>
        <w:pageBreakBefore w:val="0"/>
        <w:widowControl w:val="0"/>
        <w:kinsoku/>
        <w:wordWrap/>
        <w:overflowPunct/>
        <w:topLinePunct w:val="0"/>
        <w:autoSpaceDE/>
        <w:autoSpaceDN/>
        <w:bidi w:val="0"/>
        <w:adjustRightInd/>
        <w:snapToGrid w:val="0"/>
        <w:ind w:firstLine="0" w:firstLineChars="0"/>
        <w:textAlignment w:val="auto"/>
        <w:rPr>
          <w:rFonts w:hint="default"/>
        </w:rPr>
        <w:sectPr>
          <w:pgSz w:w="11906" w:h="16838"/>
          <w:pgMar w:top="1701" w:right="1531" w:bottom="1701" w:left="1531" w:header="851" w:footer="851" w:gutter="0"/>
          <w:cols w:space="720" w:num="1"/>
          <w:docGrid w:linePitch="312" w:charSpace="0"/>
        </w:sectPr>
      </w:pPr>
    </w:p>
    <w:p w14:paraId="183618C3">
      <w:pPr>
        <w:pStyle w:val="3"/>
        <w:numPr>
          <w:ilvl w:val="0"/>
          <w:numId w:val="0"/>
        </w:numPr>
        <w:jc w:val="both"/>
        <w:rPr>
          <w:rFonts w:hint="default" w:ascii="Times New Roman" w:hAnsi="Times New Roman" w:cs="Times New Roman"/>
          <w:snapToGrid w:val="0"/>
          <w:color w:val="auto"/>
          <w:szCs w:val="32"/>
        </w:rPr>
      </w:pPr>
      <w:bookmarkStart w:id="48" w:name="_Toc2984"/>
      <w:r>
        <w:rPr>
          <w:rFonts w:hint="default" w:ascii="Times New Roman" w:hAnsi="Times New Roman" w:cs="Times New Roman"/>
          <w:color w:val="auto"/>
        </w:rPr>
        <w:t>附表1</w:t>
      </w:r>
      <w:bookmarkEnd w:id="48"/>
    </w:p>
    <w:p w14:paraId="28D16269">
      <w:pPr>
        <w:adjustRightInd w:val="0"/>
        <w:snapToGrid w:val="0"/>
        <w:ind w:firstLine="4560" w:firstLineChars="1200"/>
        <w:outlineLvl w:val="0"/>
        <w:rPr>
          <w:rFonts w:hint="default" w:ascii="Times New Roman" w:hAnsi="Times New Roman" w:eastAsia="方正小标宋_GBK" w:cs="Times New Roman"/>
          <w:snapToGrid w:val="0"/>
          <w:color w:val="auto"/>
          <w:sz w:val="38"/>
          <w:szCs w:val="38"/>
        </w:rPr>
      </w:pPr>
      <w:bookmarkStart w:id="49" w:name="_Toc15021"/>
      <w:r>
        <w:rPr>
          <w:rFonts w:hint="default" w:ascii="Times New Roman" w:hAnsi="Times New Roman" w:eastAsia="方正小标宋_GBK" w:cs="Times New Roman"/>
          <w:snapToGrid w:val="0"/>
          <w:color w:val="auto"/>
          <w:sz w:val="38"/>
          <w:szCs w:val="38"/>
        </w:rPr>
        <w:t>建设项目污染物排放量汇总表</w:t>
      </w:r>
      <w:bookmarkEnd w:id="49"/>
      <w:r>
        <w:rPr>
          <w:rFonts w:hint="default" w:ascii="Times New Roman" w:hAnsi="Times New Roman" w:eastAsia="方正小标宋_GBK" w:cs="Times New Roman"/>
          <w:snapToGrid w:val="0"/>
          <w:color w:val="auto"/>
          <w:sz w:val="38"/>
          <w:szCs w:val="38"/>
        </w:rPr>
        <w:t xml:space="preserve"> </w:t>
      </w:r>
    </w:p>
    <w:tbl>
      <w:tblPr>
        <w:tblStyle w:val="2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8"/>
        <w:gridCol w:w="1740"/>
        <w:gridCol w:w="1455"/>
        <w:gridCol w:w="1337"/>
        <w:gridCol w:w="1500"/>
        <w:gridCol w:w="1575"/>
        <w:gridCol w:w="1395"/>
        <w:gridCol w:w="2100"/>
        <w:gridCol w:w="1408"/>
      </w:tblGrid>
      <w:tr w14:paraId="5647D2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498" w:hRule="atLeast"/>
        </w:trPr>
        <w:tc>
          <w:tcPr>
            <w:tcW w:w="1278" w:type="dxa"/>
            <w:tcBorders>
              <w:tl2br w:val="single" w:color="auto" w:sz="4" w:space="0"/>
            </w:tcBorders>
            <w:tcMar>
              <w:left w:w="28" w:type="dxa"/>
              <w:right w:w="28" w:type="dxa"/>
            </w:tcMar>
            <w:vAlign w:val="center"/>
          </w:tcPr>
          <w:p w14:paraId="1AAEC18B">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 xml:space="preserve">     项目</w:t>
            </w:r>
          </w:p>
          <w:p w14:paraId="0F9B8B6F">
            <w:pPr>
              <w:adjustRightInd w:val="0"/>
              <w:snapToGrid w:val="0"/>
              <w:spacing w:line="240" w:lineRule="auto"/>
              <w:ind w:firstLine="0" w:firstLineChars="0"/>
              <w:rPr>
                <w:rFonts w:hint="default" w:ascii="Times New Roman" w:hAnsi="Times New Roman" w:eastAsia="黑体" w:cs="Times New Roman"/>
                <w:color w:val="auto"/>
              </w:rPr>
            </w:pPr>
            <w:r>
              <w:rPr>
                <w:rFonts w:hint="default" w:ascii="Times New Roman" w:hAnsi="Times New Roman" w:eastAsia="黑体" w:cs="Times New Roman"/>
                <w:color w:val="auto"/>
              </w:rPr>
              <w:t>分类</w:t>
            </w:r>
          </w:p>
        </w:tc>
        <w:tc>
          <w:tcPr>
            <w:tcW w:w="1740" w:type="dxa"/>
            <w:tcMar>
              <w:left w:w="28" w:type="dxa"/>
              <w:right w:w="28" w:type="dxa"/>
            </w:tcMar>
            <w:vAlign w:val="center"/>
          </w:tcPr>
          <w:p w14:paraId="6D639ED2">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污染物名称</w:t>
            </w:r>
          </w:p>
        </w:tc>
        <w:tc>
          <w:tcPr>
            <w:tcW w:w="1455" w:type="dxa"/>
            <w:tcMar>
              <w:left w:w="28" w:type="dxa"/>
              <w:right w:w="28" w:type="dxa"/>
            </w:tcMar>
            <w:vAlign w:val="center"/>
          </w:tcPr>
          <w:p w14:paraId="1357DB7F">
            <w:pPr>
              <w:adjustRightInd w:val="0"/>
              <w:snapToGrid w:val="0"/>
              <w:spacing w:line="240" w:lineRule="auto"/>
              <w:ind w:firstLine="0" w:firstLineChars="0"/>
              <w:jc w:val="center"/>
              <w:rPr>
                <w:rFonts w:hint="default" w:ascii="Times New Roman" w:hAnsi="Times New Roman" w:eastAsia="黑体" w:cs="Times New Roman"/>
                <w:color w:val="auto"/>
              </w:rPr>
            </w:pPr>
            <w:r>
              <w:rPr>
                <w:rFonts w:hint="eastAsia" w:eastAsia="黑体" w:cs="Times New Roman"/>
                <w:color w:val="auto"/>
                <w:lang w:val="en-US" w:eastAsia="zh-CN"/>
              </w:rPr>
              <w:t>*</w:t>
            </w:r>
            <w:r>
              <w:rPr>
                <w:rFonts w:hint="default" w:ascii="Times New Roman" w:hAnsi="Times New Roman" w:eastAsia="黑体" w:cs="Times New Roman"/>
                <w:color w:val="auto"/>
              </w:rPr>
              <w:t>现有工程排放量（固体废物产生量）</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1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①</w:t>
            </w:r>
            <w:r>
              <w:rPr>
                <w:rFonts w:hint="default" w:ascii="Times New Roman" w:hAnsi="Times New Roman" w:eastAsia="黑体" w:cs="Times New Roman"/>
                <w:color w:val="auto"/>
              </w:rPr>
              <w:fldChar w:fldCharType="end"/>
            </w:r>
          </w:p>
        </w:tc>
        <w:tc>
          <w:tcPr>
            <w:tcW w:w="1337" w:type="dxa"/>
            <w:tcMar>
              <w:left w:w="28" w:type="dxa"/>
              <w:right w:w="28" w:type="dxa"/>
            </w:tcMar>
            <w:vAlign w:val="center"/>
          </w:tcPr>
          <w:p w14:paraId="2803D405">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现有工程</w:t>
            </w:r>
          </w:p>
          <w:p w14:paraId="5E419EB4">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许可排放量</w:t>
            </w:r>
          </w:p>
          <w:p w14:paraId="62BB86E7">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2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②</w:t>
            </w:r>
            <w:r>
              <w:rPr>
                <w:rFonts w:hint="default" w:ascii="Times New Roman" w:hAnsi="Times New Roman" w:eastAsia="黑体" w:cs="Times New Roman"/>
                <w:color w:val="auto"/>
              </w:rPr>
              <w:fldChar w:fldCharType="end"/>
            </w:r>
          </w:p>
        </w:tc>
        <w:tc>
          <w:tcPr>
            <w:tcW w:w="1500" w:type="dxa"/>
            <w:tcMar>
              <w:left w:w="28" w:type="dxa"/>
              <w:right w:w="28" w:type="dxa"/>
            </w:tcMar>
            <w:vAlign w:val="center"/>
          </w:tcPr>
          <w:p w14:paraId="6517BEF0">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在建工程排放量（固体废物产生量）</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3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③</w:t>
            </w:r>
            <w:r>
              <w:rPr>
                <w:rFonts w:hint="default" w:ascii="Times New Roman" w:hAnsi="Times New Roman" w:eastAsia="黑体" w:cs="Times New Roman"/>
                <w:color w:val="auto"/>
              </w:rPr>
              <w:fldChar w:fldCharType="end"/>
            </w:r>
          </w:p>
        </w:tc>
        <w:tc>
          <w:tcPr>
            <w:tcW w:w="1575" w:type="dxa"/>
            <w:tcMar>
              <w:left w:w="28" w:type="dxa"/>
              <w:right w:w="28" w:type="dxa"/>
            </w:tcMar>
            <w:vAlign w:val="center"/>
          </w:tcPr>
          <w:p w14:paraId="3104BD18">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本项目排放量（固体废物产生量）</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4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④</w:t>
            </w:r>
            <w:r>
              <w:rPr>
                <w:rFonts w:hint="default" w:ascii="Times New Roman" w:hAnsi="Times New Roman" w:eastAsia="黑体" w:cs="Times New Roman"/>
                <w:color w:val="auto"/>
              </w:rPr>
              <w:fldChar w:fldCharType="end"/>
            </w:r>
          </w:p>
        </w:tc>
        <w:tc>
          <w:tcPr>
            <w:tcW w:w="1395" w:type="dxa"/>
            <w:tcMar>
              <w:left w:w="28" w:type="dxa"/>
              <w:right w:w="28" w:type="dxa"/>
            </w:tcMar>
            <w:vAlign w:val="center"/>
          </w:tcPr>
          <w:p w14:paraId="571FE3A1">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以新带老削减量（新建项目不填）</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5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⑤</w:t>
            </w:r>
            <w:r>
              <w:rPr>
                <w:rFonts w:hint="default" w:ascii="Times New Roman" w:hAnsi="Times New Roman" w:eastAsia="黑体" w:cs="Times New Roman"/>
                <w:color w:val="auto"/>
              </w:rPr>
              <w:fldChar w:fldCharType="end"/>
            </w:r>
          </w:p>
        </w:tc>
        <w:tc>
          <w:tcPr>
            <w:tcW w:w="2100" w:type="dxa"/>
            <w:tcMar>
              <w:left w:w="28" w:type="dxa"/>
              <w:right w:w="28" w:type="dxa"/>
            </w:tcMar>
            <w:vAlign w:val="center"/>
          </w:tcPr>
          <w:p w14:paraId="78A1DF2C">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本项目建成后</w:t>
            </w:r>
          </w:p>
          <w:p w14:paraId="78761C96">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全厂排放量（固体废物产生量）</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6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⑥</w:t>
            </w:r>
            <w:r>
              <w:rPr>
                <w:rFonts w:hint="default" w:ascii="Times New Roman" w:hAnsi="Times New Roman" w:eastAsia="黑体" w:cs="Times New Roman"/>
                <w:color w:val="auto"/>
              </w:rPr>
              <w:fldChar w:fldCharType="end"/>
            </w:r>
          </w:p>
        </w:tc>
        <w:tc>
          <w:tcPr>
            <w:tcW w:w="1408" w:type="dxa"/>
            <w:tcMar>
              <w:left w:w="28" w:type="dxa"/>
              <w:right w:w="28" w:type="dxa"/>
            </w:tcMar>
            <w:vAlign w:val="center"/>
          </w:tcPr>
          <w:p w14:paraId="02538C16">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变化量</w:t>
            </w:r>
          </w:p>
          <w:p w14:paraId="7893B520">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7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⑦</w:t>
            </w:r>
            <w:r>
              <w:rPr>
                <w:rFonts w:hint="default" w:ascii="Times New Roman" w:hAnsi="Times New Roman" w:eastAsia="黑体" w:cs="Times New Roman"/>
                <w:color w:val="auto"/>
              </w:rPr>
              <w:fldChar w:fldCharType="end"/>
            </w:r>
          </w:p>
        </w:tc>
      </w:tr>
      <w:tr w14:paraId="1865C1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1" w:hRule="atLeast"/>
        </w:trPr>
        <w:tc>
          <w:tcPr>
            <w:tcW w:w="1278" w:type="dxa"/>
            <w:vMerge w:val="restart"/>
            <w:vAlign w:val="center"/>
          </w:tcPr>
          <w:p w14:paraId="1985DA11">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废气</w:t>
            </w:r>
          </w:p>
        </w:tc>
        <w:tc>
          <w:tcPr>
            <w:tcW w:w="1740" w:type="dxa"/>
            <w:vAlign w:val="center"/>
          </w:tcPr>
          <w:p w14:paraId="472C3CA9">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NO</w:t>
            </w:r>
            <w:r>
              <w:rPr>
                <w:rFonts w:hint="default" w:ascii="Times New Roman" w:hAnsi="Times New Roman" w:cs="Times New Roman"/>
                <w:color w:val="auto"/>
                <w:vertAlign w:val="subscript"/>
              </w:rPr>
              <w:t>X</w:t>
            </w:r>
          </w:p>
        </w:tc>
        <w:tc>
          <w:tcPr>
            <w:tcW w:w="1455" w:type="dxa"/>
            <w:vAlign w:val="center"/>
          </w:tcPr>
          <w:p w14:paraId="010304D8">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1.212t/a</w:t>
            </w:r>
          </w:p>
        </w:tc>
        <w:tc>
          <w:tcPr>
            <w:tcW w:w="1337" w:type="dxa"/>
            <w:vAlign w:val="center"/>
          </w:tcPr>
          <w:p w14:paraId="4784217B">
            <w:pPr>
              <w:adjustRightInd w:val="0"/>
              <w:snapToGrid w:val="0"/>
              <w:spacing w:line="240" w:lineRule="auto"/>
              <w:ind w:firstLine="0" w:firstLineChars="0"/>
              <w:jc w:val="left"/>
              <w:rPr>
                <w:rFonts w:hint="eastAsia"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w:t>
            </w:r>
          </w:p>
        </w:tc>
        <w:tc>
          <w:tcPr>
            <w:tcW w:w="1500" w:type="dxa"/>
            <w:vAlign w:val="center"/>
          </w:tcPr>
          <w:p w14:paraId="2734A211">
            <w:pPr>
              <w:adjustRightInd w:val="0"/>
              <w:snapToGrid w:val="0"/>
              <w:spacing w:line="240" w:lineRule="auto"/>
              <w:ind w:firstLine="0" w:firstLineChars="0"/>
              <w:jc w:val="left"/>
              <w:rPr>
                <w:rFonts w:hint="eastAsia"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w:t>
            </w:r>
          </w:p>
        </w:tc>
        <w:tc>
          <w:tcPr>
            <w:tcW w:w="1575" w:type="dxa"/>
            <w:vAlign w:val="center"/>
          </w:tcPr>
          <w:p w14:paraId="33CF1535">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0.3594t/a</w:t>
            </w:r>
          </w:p>
        </w:tc>
        <w:tc>
          <w:tcPr>
            <w:tcW w:w="1395" w:type="dxa"/>
            <w:vAlign w:val="center"/>
          </w:tcPr>
          <w:p w14:paraId="17D3BA43">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1.212t/a</w:t>
            </w:r>
          </w:p>
        </w:tc>
        <w:tc>
          <w:tcPr>
            <w:tcW w:w="2100" w:type="dxa"/>
            <w:vAlign w:val="center"/>
          </w:tcPr>
          <w:p w14:paraId="35215E6F">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0.3594t/a</w:t>
            </w:r>
          </w:p>
        </w:tc>
        <w:tc>
          <w:tcPr>
            <w:tcW w:w="1408" w:type="dxa"/>
            <w:vAlign w:val="center"/>
          </w:tcPr>
          <w:p w14:paraId="6D4A8007">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-0.8526t/a</w:t>
            </w:r>
          </w:p>
        </w:tc>
      </w:tr>
      <w:tr w14:paraId="0E0DF4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78" w:type="dxa"/>
            <w:vMerge w:val="continue"/>
            <w:vAlign w:val="center"/>
          </w:tcPr>
          <w:p w14:paraId="72957894">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14:paraId="54E066FD">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1455" w:type="dxa"/>
            <w:vAlign w:val="center"/>
          </w:tcPr>
          <w:p w14:paraId="090D1BE5">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0.7308t/a</w:t>
            </w:r>
          </w:p>
        </w:tc>
        <w:tc>
          <w:tcPr>
            <w:tcW w:w="1337" w:type="dxa"/>
            <w:vAlign w:val="center"/>
          </w:tcPr>
          <w:p w14:paraId="4FEC09B4">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9.83t/a</w:t>
            </w:r>
          </w:p>
        </w:tc>
        <w:tc>
          <w:tcPr>
            <w:tcW w:w="1500" w:type="dxa"/>
            <w:vAlign w:val="center"/>
          </w:tcPr>
          <w:p w14:paraId="7C04838A">
            <w:pPr>
              <w:adjustRightInd w:val="0"/>
              <w:snapToGrid w:val="0"/>
              <w:spacing w:line="240" w:lineRule="auto"/>
              <w:ind w:firstLine="0" w:firstLineChars="0"/>
              <w:jc w:val="left"/>
              <w:rPr>
                <w:rFonts w:hint="eastAsia"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w:t>
            </w:r>
          </w:p>
        </w:tc>
        <w:tc>
          <w:tcPr>
            <w:tcW w:w="1575" w:type="dxa"/>
            <w:vAlign w:val="center"/>
          </w:tcPr>
          <w:p w14:paraId="52718398">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0.1536t/a</w:t>
            </w:r>
          </w:p>
        </w:tc>
        <w:tc>
          <w:tcPr>
            <w:tcW w:w="1395" w:type="dxa"/>
            <w:vAlign w:val="center"/>
          </w:tcPr>
          <w:p w14:paraId="79F68A49">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0.7308t/a</w:t>
            </w:r>
          </w:p>
        </w:tc>
        <w:tc>
          <w:tcPr>
            <w:tcW w:w="2100" w:type="dxa"/>
            <w:vAlign w:val="center"/>
          </w:tcPr>
          <w:p w14:paraId="1AFCEB8B">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0.1536t/a</w:t>
            </w:r>
          </w:p>
        </w:tc>
        <w:tc>
          <w:tcPr>
            <w:tcW w:w="1408" w:type="dxa"/>
            <w:vAlign w:val="center"/>
          </w:tcPr>
          <w:p w14:paraId="3ED38C2E">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-0.5772t/a</w:t>
            </w:r>
          </w:p>
        </w:tc>
      </w:tr>
      <w:tr w14:paraId="65857F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1278" w:type="dxa"/>
            <w:vMerge w:val="continue"/>
            <w:vAlign w:val="center"/>
          </w:tcPr>
          <w:p w14:paraId="62B51D65">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14:paraId="14EBE9DC">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颗粒物</w:t>
            </w:r>
          </w:p>
        </w:tc>
        <w:tc>
          <w:tcPr>
            <w:tcW w:w="1455" w:type="dxa"/>
            <w:vAlign w:val="center"/>
          </w:tcPr>
          <w:p w14:paraId="5F440A38">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0.102t/a</w:t>
            </w:r>
          </w:p>
        </w:tc>
        <w:tc>
          <w:tcPr>
            <w:tcW w:w="1337" w:type="dxa"/>
            <w:vAlign w:val="center"/>
          </w:tcPr>
          <w:p w14:paraId="1530255A">
            <w:pPr>
              <w:adjustRightInd w:val="0"/>
              <w:snapToGrid w:val="0"/>
              <w:spacing w:line="240" w:lineRule="auto"/>
              <w:ind w:firstLine="0" w:firstLineChars="0"/>
              <w:jc w:val="left"/>
              <w:rPr>
                <w:rFonts w:hint="eastAsia"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w:t>
            </w:r>
          </w:p>
        </w:tc>
        <w:tc>
          <w:tcPr>
            <w:tcW w:w="1500" w:type="dxa"/>
            <w:vAlign w:val="center"/>
          </w:tcPr>
          <w:p w14:paraId="01B8DCFD">
            <w:pPr>
              <w:adjustRightInd w:val="0"/>
              <w:snapToGrid w:val="0"/>
              <w:spacing w:line="240" w:lineRule="auto"/>
              <w:ind w:firstLine="0" w:firstLineChars="0"/>
              <w:jc w:val="left"/>
              <w:rPr>
                <w:rFonts w:hint="eastAsia"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w:t>
            </w:r>
          </w:p>
        </w:tc>
        <w:tc>
          <w:tcPr>
            <w:tcW w:w="1575" w:type="dxa"/>
            <w:vAlign w:val="center"/>
          </w:tcPr>
          <w:p w14:paraId="4517D308">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0.1098</w:t>
            </w:r>
            <w:r>
              <w:rPr>
                <w:rFonts w:hint="default" w:ascii="Times New Roman" w:hAnsi="Times New Roman" w:eastAsia="宋体" w:cs="Times New Roman"/>
                <w:color w:val="000000"/>
                <w:kern w:val="2"/>
                <w:sz w:val="21"/>
                <w:szCs w:val="21"/>
                <w:lang w:val="en-US" w:eastAsia="zh-CN" w:bidi="ar"/>
              </w:rPr>
              <w:t>t/a</w:t>
            </w:r>
          </w:p>
        </w:tc>
        <w:tc>
          <w:tcPr>
            <w:tcW w:w="1395" w:type="dxa"/>
            <w:vAlign w:val="center"/>
          </w:tcPr>
          <w:p w14:paraId="470D7CE8">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0.102t/a</w:t>
            </w:r>
          </w:p>
        </w:tc>
        <w:tc>
          <w:tcPr>
            <w:tcW w:w="2100" w:type="dxa"/>
            <w:vAlign w:val="center"/>
          </w:tcPr>
          <w:p w14:paraId="05853C00">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0.1098</w:t>
            </w:r>
            <w:r>
              <w:rPr>
                <w:rFonts w:hint="default" w:ascii="Times New Roman" w:hAnsi="Times New Roman" w:eastAsia="宋体" w:cs="Times New Roman"/>
                <w:color w:val="000000"/>
                <w:kern w:val="2"/>
                <w:sz w:val="21"/>
                <w:szCs w:val="21"/>
                <w:lang w:val="en-US" w:eastAsia="zh-CN" w:bidi="ar"/>
              </w:rPr>
              <w:t>t/a</w:t>
            </w:r>
          </w:p>
        </w:tc>
        <w:tc>
          <w:tcPr>
            <w:tcW w:w="1408" w:type="dxa"/>
            <w:vAlign w:val="center"/>
          </w:tcPr>
          <w:p w14:paraId="7935E7B7">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+0.0078t/a</w:t>
            </w:r>
          </w:p>
        </w:tc>
      </w:tr>
      <w:tr w14:paraId="08F79C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1278" w:type="dxa"/>
            <w:vMerge w:val="restart"/>
            <w:vAlign w:val="center"/>
          </w:tcPr>
          <w:p w14:paraId="679E7049">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废水</w:t>
            </w:r>
          </w:p>
        </w:tc>
        <w:tc>
          <w:tcPr>
            <w:tcW w:w="1740" w:type="dxa"/>
            <w:vAlign w:val="center"/>
          </w:tcPr>
          <w:p w14:paraId="6640BB5E">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废水量</w:t>
            </w:r>
          </w:p>
        </w:tc>
        <w:tc>
          <w:tcPr>
            <w:tcW w:w="1455" w:type="dxa"/>
            <w:vAlign w:val="center"/>
          </w:tcPr>
          <w:p w14:paraId="3EECE445">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16.23万t/a</w:t>
            </w:r>
          </w:p>
        </w:tc>
        <w:tc>
          <w:tcPr>
            <w:tcW w:w="1337" w:type="dxa"/>
            <w:vAlign w:val="center"/>
          </w:tcPr>
          <w:p w14:paraId="7B6A94FD">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00" w:type="dxa"/>
            <w:vAlign w:val="center"/>
          </w:tcPr>
          <w:p w14:paraId="249BFC0C">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75" w:type="dxa"/>
            <w:vAlign w:val="center"/>
          </w:tcPr>
          <w:p w14:paraId="689E46AA">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395" w:type="dxa"/>
            <w:vAlign w:val="center"/>
          </w:tcPr>
          <w:p w14:paraId="18889AA1">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2100" w:type="dxa"/>
            <w:vAlign w:val="center"/>
          </w:tcPr>
          <w:p w14:paraId="25C96DA5">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408" w:type="dxa"/>
            <w:vAlign w:val="center"/>
          </w:tcPr>
          <w:p w14:paraId="4D3C5D25">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r>
      <w:tr w14:paraId="6F612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278" w:type="dxa"/>
            <w:vMerge w:val="continue"/>
            <w:vAlign w:val="center"/>
          </w:tcPr>
          <w:p w14:paraId="6784D7A3">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14:paraId="1327ACE5">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COD</w:t>
            </w:r>
          </w:p>
        </w:tc>
        <w:tc>
          <w:tcPr>
            <w:tcW w:w="1455" w:type="dxa"/>
            <w:vAlign w:val="center"/>
          </w:tcPr>
          <w:p w14:paraId="1B5B5CAB">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12.49t/a</w:t>
            </w:r>
          </w:p>
        </w:tc>
        <w:tc>
          <w:tcPr>
            <w:tcW w:w="1337" w:type="dxa"/>
            <w:vAlign w:val="center"/>
          </w:tcPr>
          <w:p w14:paraId="36A12001">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00" w:type="dxa"/>
            <w:vAlign w:val="center"/>
          </w:tcPr>
          <w:p w14:paraId="7F020359">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75" w:type="dxa"/>
            <w:vAlign w:val="center"/>
          </w:tcPr>
          <w:p w14:paraId="79C18B01">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395" w:type="dxa"/>
            <w:vAlign w:val="center"/>
          </w:tcPr>
          <w:p w14:paraId="559416DD">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2100" w:type="dxa"/>
            <w:vAlign w:val="center"/>
          </w:tcPr>
          <w:p w14:paraId="6BDE9A35">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408" w:type="dxa"/>
            <w:vAlign w:val="center"/>
          </w:tcPr>
          <w:p w14:paraId="6D4C0175">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r>
      <w:tr w14:paraId="74D18D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278" w:type="dxa"/>
            <w:vMerge w:val="continue"/>
            <w:vAlign w:val="center"/>
          </w:tcPr>
          <w:p w14:paraId="6A99ED24">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14:paraId="19F2298B">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default" w:ascii="Times New Roman" w:hAnsi="Times New Roman" w:cs="Times New Roman"/>
                <w:color w:val="auto"/>
              </w:rPr>
              <w:t>-N</w:t>
            </w:r>
          </w:p>
        </w:tc>
        <w:tc>
          <w:tcPr>
            <w:tcW w:w="1455" w:type="dxa"/>
            <w:vAlign w:val="center"/>
          </w:tcPr>
          <w:p w14:paraId="374DF63A">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8.60t/a</w:t>
            </w:r>
          </w:p>
        </w:tc>
        <w:tc>
          <w:tcPr>
            <w:tcW w:w="1337" w:type="dxa"/>
            <w:vAlign w:val="center"/>
          </w:tcPr>
          <w:p w14:paraId="478DF6FB">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00" w:type="dxa"/>
            <w:vAlign w:val="center"/>
          </w:tcPr>
          <w:p w14:paraId="09AF755D">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75" w:type="dxa"/>
            <w:vAlign w:val="center"/>
          </w:tcPr>
          <w:p w14:paraId="72060C63">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395" w:type="dxa"/>
            <w:vAlign w:val="center"/>
          </w:tcPr>
          <w:p w14:paraId="22D30893">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2100" w:type="dxa"/>
            <w:vAlign w:val="center"/>
          </w:tcPr>
          <w:p w14:paraId="144D8B5B">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408" w:type="dxa"/>
            <w:vAlign w:val="center"/>
          </w:tcPr>
          <w:p w14:paraId="4881178E">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r>
      <w:tr w14:paraId="02A1B5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278" w:type="dxa"/>
            <w:vMerge w:val="restart"/>
            <w:vAlign w:val="center"/>
          </w:tcPr>
          <w:p w14:paraId="1F494D29">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一般工业</w:t>
            </w:r>
          </w:p>
          <w:p w14:paraId="63764544">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固体废物</w:t>
            </w:r>
          </w:p>
        </w:tc>
        <w:tc>
          <w:tcPr>
            <w:tcW w:w="1740" w:type="dxa"/>
            <w:vAlign w:val="center"/>
          </w:tcPr>
          <w:p w14:paraId="4B3FAF34">
            <w:pPr>
              <w:adjustRightInd w:val="0"/>
              <w:snapToGrid w:val="0"/>
              <w:spacing w:line="240" w:lineRule="auto"/>
              <w:ind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color w:val="auto"/>
              </w:rPr>
              <w:t>生活垃圾</w:t>
            </w:r>
          </w:p>
        </w:tc>
        <w:tc>
          <w:tcPr>
            <w:tcW w:w="1455" w:type="dxa"/>
            <w:vAlign w:val="center"/>
          </w:tcPr>
          <w:p w14:paraId="0915B821">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11.52t/a</w:t>
            </w:r>
          </w:p>
        </w:tc>
        <w:tc>
          <w:tcPr>
            <w:tcW w:w="1337" w:type="dxa"/>
            <w:vAlign w:val="center"/>
          </w:tcPr>
          <w:p w14:paraId="1AF6AAD4">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00" w:type="dxa"/>
            <w:vAlign w:val="center"/>
          </w:tcPr>
          <w:p w14:paraId="5EE8AB00">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75" w:type="dxa"/>
            <w:vAlign w:val="center"/>
          </w:tcPr>
          <w:p w14:paraId="539C17B2">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395" w:type="dxa"/>
            <w:vAlign w:val="center"/>
          </w:tcPr>
          <w:p w14:paraId="4EE93682">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2100" w:type="dxa"/>
            <w:vAlign w:val="center"/>
          </w:tcPr>
          <w:p w14:paraId="1494CAB8">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408" w:type="dxa"/>
            <w:vAlign w:val="center"/>
          </w:tcPr>
          <w:p w14:paraId="72848DE4">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r>
      <w:tr w14:paraId="19F35B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278" w:type="dxa"/>
            <w:vMerge w:val="continue"/>
            <w:vAlign w:val="center"/>
          </w:tcPr>
          <w:p w14:paraId="1118EA70">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14:paraId="7613AEBC">
            <w:pPr>
              <w:adjustRightInd w:val="0"/>
              <w:snapToGrid w:val="0"/>
              <w:spacing w:line="240" w:lineRule="auto"/>
              <w:ind w:firstLine="0" w:firstLineChars="0"/>
              <w:jc w:val="left"/>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 xml:space="preserve">酒糟 </w:t>
            </w:r>
          </w:p>
        </w:tc>
        <w:tc>
          <w:tcPr>
            <w:tcW w:w="1455" w:type="dxa"/>
            <w:vAlign w:val="center"/>
          </w:tcPr>
          <w:p w14:paraId="782E9850">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300t/a</w:t>
            </w:r>
          </w:p>
        </w:tc>
        <w:tc>
          <w:tcPr>
            <w:tcW w:w="1337" w:type="dxa"/>
            <w:vAlign w:val="center"/>
          </w:tcPr>
          <w:p w14:paraId="458C474E">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00" w:type="dxa"/>
            <w:vAlign w:val="center"/>
          </w:tcPr>
          <w:p w14:paraId="03573614">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75" w:type="dxa"/>
            <w:vAlign w:val="center"/>
          </w:tcPr>
          <w:p w14:paraId="14DFB24A">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395" w:type="dxa"/>
            <w:vAlign w:val="center"/>
          </w:tcPr>
          <w:p w14:paraId="05FA29D3">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2100" w:type="dxa"/>
            <w:vAlign w:val="center"/>
          </w:tcPr>
          <w:p w14:paraId="44E72074">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408" w:type="dxa"/>
            <w:vAlign w:val="center"/>
          </w:tcPr>
          <w:p w14:paraId="31F8D362">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r>
      <w:tr w14:paraId="38D668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278" w:type="dxa"/>
            <w:vMerge w:val="continue"/>
            <w:vAlign w:val="center"/>
          </w:tcPr>
          <w:p w14:paraId="2234C294">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14:paraId="1BAAB53A">
            <w:pPr>
              <w:adjustRightInd w:val="0"/>
              <w:snapToGrid w:val="0"/>
              <w:spacing w:line="240" w:lineRule="auto"/>
              <w:ind w:firstLine="0" w:firstLineChars="0"/>
              <w:jc w:val="left"/>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 xml:space="preserve">煤渣 </w:t>
            </w:r>
          </w:p>
        </w:tc>
        <w:tc>
          <w:tcPr>
            <w:tcW w:w="1455" w:type="dxa"/>
            <w:vAlign w:val="center"/>
          </w:tcPr>
          <w:p w14:paraId="1B054435">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200t/a</w:t>
            </w:r>
          </w:p>
        </w:tc>
        <w:tc>
          <w:tcPr>
            <w:tcW w:w="1337" w:type="dxa"/>
            <w:vAlign w:val="center"/>
          </w:tcPr>
          <w:p w14:paraId="11F76ABA">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00" w:type="dxa"/>
            <w:vAlign w:val="center"/>
          </w:tcPr>
          <w:p w14:paraId="475315EE">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575" w:type="dxa"/>
            <w:vAlign w:val="center"/>
          </w:tcPr>
          <w:p w14:paraId="0A4A1CCA">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395" w:type="dxa"/>
            <w:vAlign w:val="center"/>
          </w:tcPr>
          <w:p w14:paraId="75CFE3A6">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2100" w:type="dxa"/>
            <w:vAlign w:val="center"/>
          </w:tcPr>
          <w:p w14:paraId="1E446B09">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c>
          <w:tcPr>
            <w:tcW w:w="1408" w:type="dxa"/>
            <w:vAlign w:val="center"/>
          </w:tcPr>
          <w:p w14:paraId="5F8D5AF2">
            <w:pPr>
              <w:adjustRightInd w:val="0"/>
              <w:snapToGrid w:val="0"/>
              <w:spacing w:line="240" w:lineRule="auto"/>
              <w:ind w:firstLine="0" w:firstLineChars="0"/>
              <w:jc w:val="left"/>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kern w:val="2"/>
                <w:sz w:val="21"/>
                <w:szCs w:val="21"/>
                <w:lang w:val="en-US" w:eastAsia="zh-CN" w:bidi="ar"/>
              </w:rPr>
              <w:t>/</w:t>
            </w:r>
          </w:p>
        </w:tc>
      </w:tr>
    </w:tbl>
    <w:p w14:paraId="57691F42">
      <w:pPr>
        <w:adjustRightInd w:val="0"/>
        <w:snapToGrid w:val="0"/>
        <w:spacing w:before="120" w:beforeLines="50" w:after="24" w:line="240" w:lineRule="auto"/>
        <w:ind w:firstLine="480"/>
        <w:jc w:val="left"/>
        <w:rPr>
          <w:rFonts w:hint="default" w:ascii="Times New Roman" w:hAnsi="Times New Roman" w:eastAsia="宋体" w:cs="Times New Roman"/>
          <w:color w:val="auto"/>
          <w:lang w:val="en-US" w:eastAsia="zh-CN"/>
        </w:rPr>
        <w:sectPr>
          <w:pgSz w:w="16839" w:h="11907" w:orient="landscape"/>
          <w:pgMar w:top="1531" w:right="1701" w:bottom="1531" w:left="1701" w:header="851" w:footer="851" w:gutter="0"/>
          <w:cols w:space="720" w:num="1"/>
          <w:docGrid w:linePitch="326" w:charSpace="0"/>
        </w:sectPr>
      </w:pPr>
      <w:r>
        <w:rPr>
          <w:rFonts w:hint="default" w:ascii="Times New Roman" w:hAnsi="Times New Roman" w:cs="Times New Roman"/>
          <w:snapToGrid w:val="0"/>
          <w:color w:val="auto"/>
          <w:kern w:val="21"/>
          <w:szCs w:val="21"/>
        </w:rPr>
        <w:t>注：</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③</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④</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⑤</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⑦</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eastAsia" w:cs="Times New Roman"/>
          <w:snapToGrid w:val="0"/>
          <w:color w:val="auto"/>
          <w:spacing w:val="-6"/>
          <w:kern w:val="21"/>
          <w:szCs w:val="21"/>
          <w:lang w:val="en-US" w:eastAsia="zh-CN"/>
        </w:rPr>
        <w:t xml:space="preserve">    </w:t>
      </w:r>
      <w:r>
        <w:rPr>
          <w:rFonts w:hint="eastAsia" w:cs="Times New Roman"/>
          <w:color w:val="auto"/>
          <w:lang w:val="en-US" w:eastAsia="zh-CN"/>
        </w:rPr>
        <w:t xml:space="preserve">  *现有工程排放量以最近一次自行监测数据进行核算</w:t>
      </w:r>
    </w:p>
    <w:p w14:paraId="3B671C62">
      <w:pPr>
        <w:pStyle w:val="4"/>
        <w:numPr>
          <w:ilvl w:val="1"/>
          <w:numId w:val="0"/>
        </w:numPr>
        <w:spacing w:before="140" w:after="0"/>
        <w:rPr>
          <w:rFonts w:hint="default" w:ascii="Times New Roman" w:hAnsi="Times New Roman" w:cs="Times New Roman"/>
          <w:color w:val="auto"/>
        </w:rPr>
      </w:pPr>
      <w:bookmarkStart w:id="50" w:name="_Toc25280"/>
      <w:r>
        <w:rPr>
          <w:rFonts w:hint="default" w:ascii="Times New Roman" w:hAnsi="Times New Roman" w:cs="Times New Roman"/>
          <w:color w:val="auto"/>
        </w:rPr>
        <w:t>附图1：项目地理位置图</w:t>
      </w:r>
      <w:bookmarkEnd w:id="50"/>
    </w:p>
    <w:p w14:paraId="28C690F2">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351145" cy="7903845"/>
            <wp:effectExtent l="0" t="0" r="1905" b="190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29"/>
                    <a:srcRect l="1696" t="854" r="780" b="4538"/>
                    <a:stretch>
                      <a:fillRect/>
                    </a:stretch>
                  </pic:blipFill>
                  <pic:spPr>
                    <a:xfrm>
                      <a:off x="0" y="0"/>
                      <a:ext cx="5351145" cy="7903845"/>
                    </a:xfrm>
                    <a:prstGeom prst="rect">
                      <a:avLst/>
                    </a:prstGeom>
                    <a:noFill/>
                    <a:ln>
                      <a:noFill/>
                    </a:ln>
                  </pic:spPr>
                </pic:pic>
              </a:graphicData>
            </a:graphic>
          </wp:inline>
        </w:drawing>
      </w:r>
    </w:p>
    <w:p w14:paraId="70574C88">
      <w:pPr>
        <w:pStyle w:val="12"/>
        <w:ind w:firstLine="360"/>
        <w:rPr>
          <w:rFonts w:hint="default" w:ascii="Times New Roman" w:hAnsi="Times New Roman" w:cs="Times New Roman"/>
          <w:color w:val="auto"/>
        </w:rPr>
        <w:sectPr>
          <w:pgSz w:w="11906" w:h="16838"/>
          <w:pgMar w:top="1701" w:right="1531" w:bottom="1701" w:left="1531" w:header="851" w:footer="851" w:gutter="0"/>
          <w:cols w:space="720" w:num="1"/>
          <w:docGrid w:linePitch="326" w:charSpace="0"/>
        </w:sectPr>
      </w:pPr>
    </w:p>
    <w:p w14:paraId="05F15B2C">
      <w:pPr>
        <w:pStyle w:val="4"/>
        <w:numPr>
          <w:ilvl w:val="1"/>
          <w:numId w:val="0"/>
        </w:numPr>
        <w:spacing w:before="0" w:after="0" w:line="240" w:lineRule="auto"/>
        <w:rPr>
          <w:rFonts w:hint="default" w:ascii="Times New Roman" w:hAnsi="Times New Roman" w:cs="Times New Roman"/>
          <w:color w:val="auto"/>
        </w:rPr>
      </w:pPr>
      <w:bookmarkStart w:id="51" w:name="_Toc30338"/>
      <w:r>
        <w:rPr>
          <w:rFonts w:hint="default" w:ascii="Times New Roman" w:hAnsi="Times New Roman" w:cs="Times New Roman"/>
          <w:color w:val="auto"/>
        </w:rPr>
        <w:t>附图2：项目周边环境关系图</w:t>
      </w:r>
      <w:bookmarkEnd w:id="51"/>
    </w:p>
    <w:p w14:paraId="0C015A34">
      <w:pPr>
        <w:ind w:left="0" w:leftChars="0" w:firstLine="0" w:firstLineChars="0"/>
        <w:jc w:val="left"/>
        <w:rPr>
          <w:rFonts w:hint="default" w:ascii="Times New Roman" w:hAnsi="Times New Roman" w:cs="Times New Roman"/>
          <w:color w:val="auto"/>
        </w:rPr>
        <w:sectPr>
          <w:pgSz w:w="16838" w:h="11906" w:orient="landscape"/>
          <w:pgMar w:top="1531" w:right="1701" w:bottom="1531" w:left="1701" w:header="851" w:footer="851" w:gutter="0"/>
          <w:cols w:space="720" w:num="1"/>
          <w:docGrid w:linePitch="312" w:charSpace="0"/>
        </w:sectPr>
      </w:pPr>
      <w:r>
        <w:rPr>
          <w:sz w:val="24"/>
        </w:rPr>
        <mc:AlternateContent>
          <mc:Choice Requires="wps">
            <w:drawing>
              <wp:anchor distT="0" distB="0" distL="114300" distR="114300" simplePos="0" relativeHeight="251685888" behindDoc="0" locked="0" layoutInCell="1" allowOverlap="1">
                <wp:simplePos x="0" y="0"/>
                <wp:positionH relativeFrom="column">
                  <wp:posOffset>6398895</wp:posOffset>
                </wp:positionH>
                <wp:positionV relativeFrom="paragraph">
                  <wp:posOffset>2796540</wp:posOffset>
                </wp:positionV>
                <wp:extent cx="847725" cy="819785"/>
                <wp:effectExtent l="13970" t="13970" r="14605" b="23495"/>
                <wp:wrapNone/>
                <wp:docPr id="45" name="文本框 45"/>
                <wp:cNvGraphicFramePr/>
                <a:graphic xmlns:a="http://schemas.openxmlformats.org/drawingml/2006/main">
                  <a:graphicData uri="http://schemas.microsoft.com/office/word/2010/wordprocessingShape">
                    <wps:wsp>
                      <wps:cNvSpPr txBox="1"/>
                      <wps:spPr>
                        <a:xfrm>
                          <a:off x="7479030" y="4032250"/>
                          <a:ext cx="847725" cy="819785"/>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00F88CC8">
                            <w:pPr>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福建向阳坊食品有限公司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85pt;margin-top:220.2pt;height:64.55pt;width:66.75pt;z-index:251685888;mso-width-relative:page;mso-height-relative:page;" filled="f" stroked="t" coordsize="21600,21600" o:gfxdata="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YfL+q2wAAAA0BAAAPAAAAAAAAAAEAIAAAACIAAABkcnMvZG93bnJldi54bWxQSwECFAAU&#10;AAAACACHTuJAcTQY/GACAACdBAAADgAAAAAAAAABACAAAAAqAQAAZHJzL2Uyb0RvYy54bWxQSwUG&#10;AAAAAAYABgBZAQAA/AUAAAAA&#10;">
                <v:fill on="f" focussize="0,0"/>
                <v:stroke weight="2.25pt" color="#FFFF00 [3204]" joinstyle="round"/>
                <v:imagedata o:title=""/>
                <o:lock v:ext="edit" aspectratio="f"/>
                <v:textbox>
                  <w:txbxContent>
                    <w:p w14:paraId="00F88CC8">
                      <w:pPr>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福建向阳坊食品有限公司</w:t>
                      </w:r>
                    </w:p>
                  </w:txbxContent>
                </v:textbox>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5551170</wp:posOffset>
                </wp:positionH>
                <wp:positionV relativeFrom="paragraph">
                  <wp:posOffset>1253490</wp:posOffset>
                </wp:positionV>
                <wp:extent cx="914400" cy="914400"/>
                <wp:effectExtent l="0" t="0" r="0" b="0"/>
                <wp:wrapNone/>
                <wp:docPr id="44" name="文本框 44"/>
                <wp:cNvGraphicFramePr/>
                <a:graphic xmlns:a="http://schemas.openxmlformats.org/drawingml/2006/main">
                  <a:graphicData uri="http://schemas.microsoft.com/office/word/2010/wordprocessingShape">
                    <wps:wsp>
                      <wps:cNvSpPr txBox="1"/>
                      <wps:spPr>
                        <a:xfrm>
                          <a:off x="6974205" y="2641600"/>
                          <a:ext cx="91440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D9D4BF">
                            <w:pPr>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福州先行机柜有限公司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7.1pt;margin-top:98.7pt;height:72pt;width:72pt;z-index:251684864;mso-width-relative:page;mso-height-relative:page;" filled="f" stroked="f" coordsize="21600,21600" o:gfxdata="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MJL/3dwAAAAMAQAADwAAAAAAAAABACAA&#10;AAAiAAAAZHJzL2Rvd25yZXYueG1sUEsBAhQAFAAAAAgAh07iQN0jmXNCAgAAcwQAAA4AAAAAAAAA&#10;AQAgAAAAKwEAAGRycy9lMm9Eb2MueG1sUEsFBgAAAAAGAAYAWQEAAN8FAAAAAA==&#10;">
                <v:fill on="f" focussize="0,0"/>
                <v:stroke on="f" weight="0.5pt"/>
                <v:imagedata o:title=""/>
                <o:lock v:ext="edit" aspectratio="f"/>
                <v:textbox>
                  <w:txbxContent>
                    <w:p w14:paraId="0ED9D4BF">
                      <w:pPr>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福州先行机柜有限公司</w:t>
                      </w:r>
                    </w:p>
                  </w:txbxContent>
                </v:textbox>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5617845</wp:posOffset>
                </wp:positionH>
                <wp:positionV relativeFrom="paragraph">
                  <wp:posOffset>1148715</wp:posOffset>
                </wp:positionV>
                <wp:extent cx="676275" cy="704850"/>
                <wp:effectExtent l="12700" t="12700" r="15875" b="25400"/>
                <wp:wrapNone/>
                <wp:docPr id="43" name="任意多边形 43"/>
                <wp:cNvGraphicFramePr/>
                <a:graphic xmlns:a="http://schemas.openxmlformats.org/drawingml/2006/main">
                  <a:graphicData uri="http://schemas.microsoft.com/office/word/2010/wordprocessingShape">
                    <wps:wsp>
                      <wps:cNvSpPr/>
                      <wps:spPr>
                        <a:xfrm>
                          <a:off x="6697980" y="2384425"/>
                          <a:ext cx="676275" cy="704850"/>
                        </a:xfrm>
                        <a:custGeom>
                          <a:avLst/>
                          <a:gdLst>
                            <a:gd name="connisteX0" fmla="*/ 0 w 676275"/>
                            <a:gd name="connsiteY0" fmla="*/ 28575 h 704850"/>
                            <a:gd name="connisteX1" fmla="*/ 647700 w 676275"/>
                            <a:gd name="connsiteY1" fmla="*/ 0 h 704850"/>
                            <a:gd name="connisteX2" fmla="*/ 676275 w 676275"/>
                            <a:gd name="connsiteY2" fmla="*/ 352425 h 704850"/>
                            <a:gd name="connisteX3" fmla="*/ 495300 w 676275"/>
                            <a:gd name="connsiteY3" fmla="*/ 352425 h 704850"/>
                            <a:gd name="connisteX4" fmla="*/ 485775 w 676275"/>
                            <a:gd name="connsiteY4" fmla="*/ 676275 h 704850"/>
                            <a:gd name="connisteX5" fmla="*/ 38100 w 676275"/>
                            <a:gd name="connsiteY5" fmla="*/ 704850 h 704850"/>
                            <a:gd name="connisteX6" fmla="*/ 0 w 676275"/>
                            <a:gd name="connsiteY6" fmla="*/ 28575 h 7048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676275" h="704850">
                              <a:moveTo>
                                <a:pt x="0" y="28575"/>
                              </a:moveTo>
                              <a:lnTo>
                                <a:pt x="647700" y="0"/>
                              </a:lnTo>
                              <a:lnTo>
                                <a:pt x="676275" y="352425"/>
                              </a:lnTo>
                              <a:lnTo>
                                <a:pt x="495300" y="352425"/>
                              </a:lnTo>
                              <a:lnTo>
                                <a:pt x="485775" y="676275"/>
                              </a:lnTo>
                              <a:lnTo>
                                <a:pt x="38100" y="704850"/>
                              </a:lnTo>
                              <a:lnTo>
                                <a:pt x="0" y="28575"/>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42.35pt;margin-top:90.45pt;height:55.5pt;width:53.25pt;z-index:251683840;mso-width-relative:page;mso-height-relative:page;" filled="f" stroked="t" coordsize="676275,704850" o:gfxdata="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" path="m0,28575l647700,0,676275,352425,495300,352425,485775,676275,38100,704850,0,28575xe">
                <v:path o:connectlocs="0,28575;647700,0;676275,352425;495300,352425;485775,676275;38100,704850;0,28575" o:connectangles="0,0,0,0,0,0,0"/>
                <v:fill on="f" focussize="0,0"/>
                <v:stroke weight="2pt" color="#FFFF00 [3204]" joinstyle="round"/>
                <v:imagedata o:title=""/>
                <o:lock v:ext="edit" aspectratio="f"/>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2817495</wp:posOffset>
                </wp:positionH>
                <wp:positionV relativeFrom="paragraph">
                  <wp:posOffset>1653540</wp:posOffset>
                </wp:positionV>
                <wp:extent cx="915035" cy="723900"/>
                <wp:effectExtent l="0" t="0" r="18415" b="0"/>
                <wp:wrapNone/>
                <wp:docPr id="42" name="文本框 42"/>
                <wp:cNvGraphicFramePr/>
                <a:graphic xmlns:a="http://schemas.openxmlformats.org/drawingml/2006/main">
                  <a:graphicData uri="http://schemas.microsoft.com/office/word/2010/wordprocessingShape">
                    <wps:wsp>
                      <wps:cNvSpPr txBox="1"/>
                      <wps:spPr>
                        <a:xfrm>
                          <a:off x="4040505" y="2984500"/>
                          <a:ext cx="915035" cy="723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D4C314">
                            <w:pPr>
                              <w:spacing w:line="240" w:lineRule="auto"/>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福建浦泰重工有限公司</w:t>
                            </w:r>
                          </w:p>
                          <w:p w14:paraId="2E66557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85pt;margin-top:130.2pt;height:57pt;width:72.05pt;z-index:251682816;mso-width-relative:page;mso-height-relative:page;" filled="f" stroked="f" coordsize="21600,21600" o:gfxdata="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ZmsWC3QAAAAsBAAAPAAAA&#10;AAAAAAEAIAAAACIAAABkcnMvZG93bnJldi54bWxQSwECFAAUAAAACACHTuJAkEOFgUkCAABzBAAA&#10;DgAAAAAAAAABACAAAAAsAQAAZHJzL2Uyb0RvYy54bWxQSwUGAAAAAAYABgBZAQAA5wUAAAAA&#10;">
                <v:fill on="f" focussize="0,0"/>
                <v:stroke on="f" weight="0.5pt"/>
                <v:imagedata o:title=""/>
                <o:lock v:ext="edit" aspectratio="f"/>
                <v:textbox>
                  <w:txbxContent>
                    <w:p w14:paraId="2DD4C314">
                      <w:pPr>
                        <w:spacing w:line="240" w:lineRule="auto"/>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福建浦泰重工有限公司</w:t>
                      </w:r>
                    </w:p>
                    <w:p w14:paraId="2E66557B"/>
                  </w:txbxContent>
                </v:textbox>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2626995</wp:posOffset>
                </wp:positionH>
                <wp:positionV relativeFrom="paragraph">
                  <wp:posOffset>1386840</wp:posOffset>
                </wp:positionV>
                <wp:extent cx="1362075" cy="1266825"/>
                <wp:effectExtent l="12700" t="12700" r="15875" b="15875"/>
                <wp:wrapNone/>
                <wp:docPr id="41" name="任意多边形 41"/>
                <wp:cNvGraphicFramePr/>
                <a:graphic xmlns:a="http://schemas.openxmlformats.org/drawingml/2006/main">
                  <a:graphicData uri="http://schemas.microsoft.com/office/word/2010/wordprocessingShape">
                    <wps:wsp>
                      <wps:cNvSpPr/>
                      <wps:spPr>
                        <a:xfrm>
                          <a:off x="3707130" y="2622550"/>
                          <a:ext cx="1362075" cy="1266825"/>
                        </a:xfrm>
                        <a:custGeom>
                          <a:avLst/>
                          <a:gdLst>
                            <a:gd name="connisteX0" fmla="*/ 28575 w 1362075"/>
                            <a:gd name="connsiteY0" fmla="*/ 600075 h 1266825"/>
                            <a:gd name="connisteX1" fmla="*/ 0 w 1362075"/>
                            <a:gd name="connsiteY1" fmla="*/ 38100 h 1266825"/>
                            <a:gd name="connisteX2" fmla="*/ 1285875 w 1362075"/>
                            <a:gd name="connsiteY2" fmla="*/ 0 h 1266825"/>
                            <a:gd name="connisteX3" fmla="*/ 1362075 w 1362075"/>
                            <a:gd name="connsiteY3" fmla="*/ 1228725 h 1266825"/>
                            <a:gd name="connisteX4" fmla="*/ 47625 w 1362075"/>
                            <a:gd name="connsiteY4" fmla="*/ 1266825 h 1266825"/>
                            <a:gd name="connisteX5" fmla="*/ 0 w 1362075"/>
                            <a:gd name="connsiteY5" fmla="*/ 47625 h 1266825"/>
                            <a:gd name="connisteX6" fmla="*/ 19050 w 1362075"/>
                            <a:gd name="connsiteY6" fmla="*/ 57150 h 12668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362075" h="1266825">
                              <a:moveTo>
                                <a:pt x="28575" y="600075"/>
                              </a:moveTo>
                              <a:lnTo>
                                <a:pt x="0" y="38100"/>
                              </a:lnTo>
                              <a:lnTo>
                                <a:pt x="1285875" y="0"/>
                              </a:lnTo>
                              <a:lnTo>
                                <a:pt x="1362075" y="1228725"/>
                              </a:lnTo>
                              <a:lnTo>
                                <a:pt x="47625" y="1266825"/>
                              </a:lnTo>
                              <a:lnTo>
                                <a:pt x="0" y="47625"/>
                              </a:lnTo>
                              <a:lnTo>
                                <a:pt x="19050" y="57150"/>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06.85pt;margin-top:109.2pt;height:99.75pt;width:107.25pt;z-index:251681792;mso-width-relative:page;mso-height-relative:page;" filled="f" stroked="t" coordsize="1362075,1266825" o:gfxdata="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" path="m28575,600075l0,38100,1285875,0,1362075,1228725,47625,1266825,0,47625,19050,57150e">
                <v:path o:connectlocs="28575,600075;0,38100;1285875,0;1362075,1228725;47625,1266825;0,47625;19050,57150" o:connectangles="0,0,0,0,0,0,0"/>
                <v:fill on="f" focussize="0,0"/>
                <v:stroke weight="2pt" color="#FFFF00 [3204]" joinstyle="round"/>
                <v:imagedata o:title=""/>
                <o:lock v:ext="edit" aspectratio="f"/>
              </v:shape>
            </w:pict>
          </mc:Fallback>
        </mc:AlternateContent>
      </w:r>
      <w:r>
        <w:drawing>
          <wp:inline distT="0" distB="0" distL="114300" distR="114300">
            <wp:extent cx="8465820" cy="5133975"/>
            <wp:effectExtent l="0" t="0" r="11430" b="952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30"/>
                    <a:srcRect l="15759"/>
                    <a:stretch>
                      <a:fillRect/>
                    </a:stretch>
                  </pic:blipFill>
                  <pic:spPr>
                    <a:xfrm>
                      <a:off x="0" y="0"/>
                      <a:ext cx="8465820" cy="5133975"/>
                    </a:xfrm>
                    <a:prstGeom prst="rect">
                      <a:avLst/>
                    </a:prstGeom>
                    <a:noFill/>
                    <a:ln>
                      <a:noFill/>
                    </a:ln>
                  </pic:spPr>
                </pic:pic>
              </a:graphicData>
            </a:graphic>
          </wp:inline>
        </w:drawing>
      </w:r>
      <w:r>
        <w:rPr>
          <w:sz w:val="24"/>
        </w:rPr>
        <mc:AlternateContent>
          <mc:Choice Requires="wps">
            <w:drawing>
              <wp:anchor distT="0" distB="0" distL="114300" distR="114300" simplePos="0" relativeHeight="251680768" behindDoc="0" locked="0" layoutInCell="1" allowOverlap="1">
                <wp:simplePos x="0" y="0"/>
                <wp:positionH relativeFrom="column">
                  <wp:posOffset>4044315</wp:posOffset>
                </wp:positionH>
                <wp:positionV relativeFrom="paragraph">
                  <wp:posOffset>1331595</wp:posOffset>
                </wp:positionV>
                <wp:extent cx="1200150" cy="664845"/>
                <wp:effectExtent l="36195" t="55245" r="40005" b="60960"/>
                <wp:wrapNone/>
                <wp:docPr id="40" name="文本框 40"/>
                <wp:cNvGraphicFramePr/>
                <a:graphic xmlns:a="http://schemas.openxmlformats.org/drawingml/2006/main">
                  <a:graphicData uri="http://schemas.microsoft.com/office/word/2010/wordprocessingShape">
                    <wps:wsp>
                      <wps:cNvSpPr txBox="1"/>
                      <wps:spPr>
                        <a:xfrm rot="21360000">
                          <a:off x="5126355" y="2622550"/>
                          <a:ext cx="1200150" cy="664845"/>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4E165443">
                            <w:pPr>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福州正通灌浆料厂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45pt;margin-top:104.85pt;height:52.35pt;width:94.5pt;rotation:-262144f;z-index:251680768;mso-width-relative:page;mso-height-relative:page;" filled="f" stroked="t" coordsize="21600,21600" o:gfxdata="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w4SnYAAAACwEAAA8AAAAAAAAAAQAgAAAAIgAAAGRycy9kb3ducmV2LnhtbFBLAQIU&#10;ABQAAAAIAIdO4kA1JELbZQIAAK0EAAAOAAAAAAAAAAEAIAAAACcBAABkcnMvZTJvRG9jLnhtbFBL&#10;BQYAAAAABgAGAFkBAAD+BQAAAAA=&#10;">
                <v:fill on="f" focussize="0,0"/>
                <v:stroke weight="2.25pt" color="#FFFF00 [3204]" joinstyle="round"/>
                <v:imagedata o:title=""/>
                <o:lock v:ext="edit" aspectratio="f"/>
                <v:textbox>
                  <w:txbxContent>
                    <w:p w14:paraId="4E165443">
                      <w:pPr>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福州正通灌浆料厂</w:t>
                      </w:r>
                    </w:p>
                  </w:txbxContent>
                </v:textbox>
              </v:shape>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2255520</wp:posOffset>
                </wp:positionH>
                <wp:positionV relativeFrom="paragraph">
                  <wp:posOffset>2205990</wp:posOffset>
                </wp:positionV>
                <wp:extent cx="343535" cy="580390"/>
                <wp:effectExtent l="13970" t="13970" r="23495" b="15240"/>
                <wp:wrapNone/>
                <wp:docPr id="39" name="文本框 39"/>
                <wp:cNvGraphicFramePr/>
                <a:graphic xmlns:a="http://schemas.openxmlformats.org/drawingml/2006/main">
                  <a:graphicData uri="http://schemas.microsoft.com/office/word/2010/wordprocessingShape">
                    <wps:wsp>
                      <wps:cNvSpPr txBox="1"/>
                      <wps:spPr>
                        <a:xfrm>
                          <a:off x="3335655" y="3441700"/>
                          <a:ext cx="343535" cy="580390"/>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5FDE1E92">
                            <w:pPr>
                              <w:spacing w:line="240" w:lineRule="auto"/>
                              <w:ind w:left="0" w:leftChars="0" w:firstLine="0" w:firstLineChars="0"/>
                              <w:rPr>
                                <w:rFonts w:hint="eastAsia" w:eastAsia="宋体"/>
                                <w:sz w:val="15"/>
                                <w:szCs w:val="15"/>
                                <w:highlight w:val="yellow"/>
                                <w:lang w:eastAsia="zh-CN"/>
                              </w:rPr>
                            </w:pPr>
                            <w:r>
                              <w:rPr>
                                <w:rFonts w:hint="eastAsia"/>
                                <w:sz w:val="15"/>
                                <w:szCs w:val="15"/>
                                <w:highlight w:val="yellow"/>
                                <w:lang w:eastAsia="zh-CN"/>
                              </w:rPr>
                              <w:t>中建铝新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6pt;margin-top:173.7pt;height:45.7pt;width:27.05pt;z-index:251679744;mso-width-relative:page;mso-height-relative:page;" filled="f" stroked="t" coordsize="21600,21600" o:gfxdata="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SekLktoAAAALAQAADwAAAAAAAAABACAAAAAiAAAAZHJzL2Rvd25yZXYueG1sUEsBAhQAFAAA&#10;AAgAh07iQKJAiIRfAgAAnQQAAA4AAAAAAAAAAQAgAAAAKQEAAGRycy9lMm9Eb2MueG1sUEsFBgAA&#10;AAAGAAYAWQEAAPoFAAAAAA==&#10;">
                <v:fill on="f" focussize="0,0"/>
                <v:stroke weight="2.25pt" color="#FFFF00 [3204]" joinstyle="round"/>
                <v:imagedata o:title=""/>
                <o:lock v:ext="edit" aspectratio="f"/>
                <v:textbox>
                  <w:txbxContent>
                    <w:p w14:paraId="5FDE1E92">
                      <w:pPr>
                        <w:spacing w:line="240" w:lineRule="auto"/>
                        <w:ind w:left="0" w:leftChars="0" w:firstLine="0" w:firstLineChars="0"/>
                        <w:rPr>
                          <w:rFonts w:hint="eastAsia" w:eastAsia="宋体"/>
                          <w:sz w:val="15"/>
                          <w:szCs w:val="15"/>
                          <w:highlight w:val="yellow"/>
                          <w:lang w:eastAsia="zh-CN"/>
                        </w:rPr>
                      </w:pPr>
                      <w:r>
                        <w:rPr>
                          <w:rFonts w:hint="eastAsia"/>
                          <w:sz w:val="15"/>
                          <w:szCs w:val="15"/>
                          <w:highlight w:val="yellow"/>
                          <w:lang w:eastAsia="zh-CN"/>
                        </w:rPr>
                        <w:t>中建铝新</w:t>
                      </w: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2599690</wp:posOffset>
                </wp:positionH>
                <wp:positionV relativeFrom="paragraph">
                  <wp:posOffset>833120</wp:posOffset>
                </wp:positionV>
                <wp:extent cx="1299845" cy="448310"/>
                <wp:effectExtent l="28575" t="59055" r="43180" b="64135"/>
                <wp:wrapNone/>
                <wp:docPr id="38" name="文本框 38"/>
                <wp:cNvGraphicFramePr/>
                <a:graphic xmlns:a="http://schemas.openxmlformats.org/drawingml/2006/main">
                  <a:graphicData uri="http://schemas.microsoft.com/office/word/2010/wordprocessingShape">
                    <wps:wsp>
                      <wps:cNvSpPr txBox="1"/>
                      <wps:spPr>
                        <a:xfrm rot="21360000">
                          <a:off x="3716655" y="2079625"/>
                          <a:ext cx="1299845" cy="448310"/>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3EF26B1B">
                            <w:pPr>
                              <w:spacing w:line="240" w:lineRule="auto"/>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福建省福锅重工股份有限公司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7pt;margin-top:65.6pt;height:35.3pt;width:102.35pt;rotation:-262144f;z-index:251678720;mso-width-relative:page;mso-height-relative:page;" filled="f" stroked="t" coordsize="21600,21600" o:gfxdata="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Y/EGdYAAAALAQAADwAAAAAAAAABACAAAAAiAAAAZHJzL2Rvd25yZXYueG1sUEsB&#10;AhQAFAAAAAgAh07iQK2KyL9pAgAArQQAAA4AAAAAAAAAAQAgAAAAJQEAAGRycy9lMm9Eb2MueG1s&#10;UEsFBgAAAAAGAAYAWQEAAAAGAAAAAA==&#10;">
                <v:fill on="f" focussize="0,0"/>
                <v:stroke weight="2.25pt" color="#FFFF00 [3204]" joinstyle="round"/>
                <v:imagedata o:title=""/>
                <o:lock v:ext="edit" aspectratio="f"/>
                <v:textbox>
                  <w:txbxContent>
                    <w:p w14:paraId="3EF26B1B">
                      <w:pPr>
                        <w:spacing w:line="240" w:lineRule="auto"/>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福建省福锅重工股份有限公司</w:t>
                      </w: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3474720</wp:posOffset>
                </wp:positionH>
                <wp:positionV relativeFrom="paragraph">
                  <wp:posOffset>357505</wp:posOffset>
                </wp:positionV>
                <wp:extent cx="1153160" cy="542925"/>
                <wp:effectExtent l="0" t="0" r="0" b="0"/>
                <wp:wrapNone/>
                <wp:docPr id="36" name="文本框 36"/>
                <wp:cNvGraphicFramePr/>
                <a:graphic xmlns:a="http://schemas.openxmlformats.org/drawingml/2006/main">
                  <a:graphicData uri="http://schemas.microsoft.com/office/word/2010/wordprocessingShape">
                    <wps:wsp>
                      <wps:cNvSpPr txBox="1"/>
                      <wps:spPr>
                        <a:xfrm>
                          <a:off x="4773930" y="1736090"/>
                          <a:ext cx="1153160" cy="542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A151C3">
                            <w:pPr>
                              <w:ind w:left="0" w:leftChars="0" w:firstLine="0" w:firstLineChars="0"/>
                              <w:rPr>
                                <w:rFonts w:hint="eastAsia" w:eastAsia="宋体"/>
                                <w:sz w:val="18"/>
                                <w:szCs w:val="18"/>
                                <w:lang w:eastAsia="zh-CN"/>
                              </w:rPr>
                            </w:pPr>
                            <w:r>
                              <w:rPr>
                                <w:rFonts w:hint="eastAsia"/>
                                <w:sz w:val="18"/>
                                <w:szCs w:val="18"/>
                                <w:lang w:eastAsia="zh-CN"/>
                              </w:rPr>
                              <w:t>京东快递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6pt;margin-top:28.15pt;height:42.75pt;width:90.8pt;z-index:251677696;mso-width-relative:page;mso-height-relative:page;" filled="f" stroked="f" coordsize="21600,21600" o:gfxdata="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OZjQutoAAAAKAQAADwAAAAAAAAAB&#10;ACAAAAAiAAAAZHJzL2Rvd25yZXYueG1sUEsBAhQAFAAAAAgAh07iQHgsa2RHAgAAdAQAAA4AAAAA&#10;AAAAAQAgAAAAKQEAAGRycy9lMm9Eb2MueG1sUEsFBgAAAAAGAAYAWQEAAOIFAAAAAA==&#10;">
                <v:fill on="f" focussize="0,0"/>
                <v:stroke on="f" weight="0.5pt"/>
                <v:imagedata o:title=""/>
                <o:lock v:ext="edit" aspectratio="f"/>
                <v:textbox>
                  <w:txbxContent>
                    <w:p w14:paraId="1FA151C3">
                      <w:pPr>
                        <w:ind w:left="0" w:leftChars="0" w:firstLine="0" w:firstLineChars="0"/>
                        <w:rPr>
                          <w:rFonts w:hint="eastAsia" w:eastAsia="宋体"/>
                          <w:sz w:val="18"/>
                          <w:szCs w:val="18"/>
                          <w:lang w:eastAsia="zh-CN"/>
                        </w:rPr>
                      </w:pPr>
                      <w:r>
                        <w:rPr>
                          <w:rFonts w:hint="eastAsia"/>
                          <w:sz w:val="18"/>
                          <w:szCs w:val="18"/>
                          <w:lang w:eastAsia="zh-CN"/>
                        </w:rPr>
                        <w:t>京东快递</w:t>
                      </w:r>
                    </w:p>
                  </w:txbxContent>
                </v:textbox>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3341370</wp:posOffset>
                </wp:positionH>
                <wp:positionV relativeFrom="paragraph">
                  <wp:posOffset>338455</wp:posOffset>
                </wp:positionV>
                <wp:extent cx="885825" cy="295275"/>
                <wp:effectExtent l="12700" t="12700" r="15875" b="15875"/>
                <wp:wrapNone/>
                <wp:docPr id="35" name="任意多边形 35"/>
                <wp:cNvGraphicFramePr/>
                <a:graphic xmlns:a="http://schemas.openxmlformats.org/drawingml/2006/main">
                  <a:graphicData uri="http://schemas.microsoft.com/office/word/2010/wordprocessingShape">
                    <wps:wsp>
                      <wps:cNvSpPr/>
                      <wps:spPr>
                        <a:xfrm>
                          <a:off x="4421505" y="1574165"/>
                          <a:ext cx="885825" cy="295275"/>
                        </a:xfrm>
                        <a:custGeom>
                          <a:avLst/>
                          <a:gdLst>
                            <a:gd name="connisteX0" fmla="*/ 76200 w 885825"/>
                            <a:gd name="connsiteY0" fmla="*/ 142875 h 295275"/>
                            <a:gd name="connisteX1" fmla="*/ 228600 w 885825"/>
                            <a:gd name="connsiteY1" fmla="*/ 133350 h 295275"/>
                            <a:gd name="connisteX2" fmla="*/ 238125 w 885825"/>
                            <a:gd name="connsiteY2" fmla="*/ 28575 h 295275"/>
                            <a:gd name="connisteX3" fmla="*/ 885825 w 885825"/>
                            <a:gd name="connsiteY3" fmla="*/ 0 h 295275"/>
                            <a:gd name="connisteX4" fmla="*/ 876300 w 885825"/>
                            <a:gd name="connsiteY4" fmla="*/ 257175 h 295275"/>
                            <a:gd name="connisteX5" fmla="*/ 0 w 885825"/>
                            <a:gd name="connsiteY5" fmla="*/ 295275 h 295275"/>
                            <a:gd name="connisteX6" fmla="*/ 19050 w 885825"/>
                            <a:gd name="connsiteY6" fmla="*/ 133350 h 295275"/>
                            <a:gd name="connisteX7" fmla="*/ 180975 w 885825"/>
                            <a:gd name="connsiteY7" fmla="*/ 133350 h 295275"/>
                            <a:gd name="connisteX8" fmla="*/ 180975 w 885825"/>
                            <a:gd name="connsiteY8" fmla="*/ 133350 h 295275"/>
                            <a:gd name="connisteX9" fmla="*/ 266700 w 885825"/>
                            <a:gd name="connsiteY9" fmla="*/ 152400 h 295275"/>
                            <a:gd name="connisteX10" fmla="*/ 266700 w 885825"/>
                            <a:gd name="connsiteY10" fmla="*/ 161925 h 2952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885825" h="295275">
                              <a:moveTo>
                                <a:pt x="76200" y="142875"/>
                              </a:moveTo>
                              <a:lnTo>
                                <a:pt x="228600" y="133350"/>
                              </a:lnTo>
                              <a:lnTo>
                                <a:pt x="238125" y="28575"/>
                              </a:lnTo>
                              <a:lnTo>
                                <a:pt x="885825" y="0"/>
                              </a:lnTo>
                              <a:lnTo>
                                <a:pt x="876300" y="257175"/>
                              </a:lnTo>
                              <a:lnTo>
                                <a:pt x="0" y="295275"/>
                              </a:lnTo>
                              <a:lnTo>
                                <a:pt x="19050" y="133350"/>
                              </a:lnTo>
                              <a:lnTo>
                                <a:pt x="180975" y="133350"/>
                              </a:lnTo>
                              <a:lnTo>
                                <a:pt x="266700" y="152400"/>
                              </a:lnTo>
                              <a:lnTo>
                                <a:pt x="266700" y="161925"/>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3.1pt;margin-top:26.65pt;height:23.25pt;width:69.75pt;z-index:251676672;mso-width-relative:page;mso-height-relative:page;" filled="f" stroked="t" coordsize="885825,295275" o:gfxdata="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" path="m76200,142875l228600,133350,238125,28575,885825,0,876300,257175,0,295275,19050,133350,180975,133350,266700,152400,266700,161925e">
                <v:path o:connectlocs="76200,142875;228600,133350;238125,28575;885825,0;876300,257175;0,295275;19050,133350;180975,133350;180975,133350;266700,152400;266700,161925" o:connectangles="0,0,0,0,0,0,0,0,0,0,0"/>
                <v:fill on="f" focussize="0,0"/>
                <v:stroke weight="2pt" color="#FFFF00 [3204]" joinstyle="round"/>
                <v:imagedata o:title=""/>
                <o:lock v:ext="edit" aspectratio="f"/>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6436995</wp:posOffset>
                </wp:positionH>
                <wp:positionV relativeFrom="paragraph">
                  <wp:posOffset>4463415</wp:posOffset>
                </wp:positionV>
                <wp:extent cx="732790" cy="410210"/>
                <wp:effectExtent l="13970" t="13970" r="15240" b="33020"/>
                <wp:wrapNone/>
                <wp:docPr id="32" name="文本框 32"/>
                <wp:cNvGraphicFramePr/>
                <a:graphic xmlns:a="http://schemas.openxmlformats.org/drawingml/2006/main">
                  <a:graphicData uri="http://schemas.microsoft.com/office/word/2010/wordprocessingShape">
                    <wps:wsp>
                      <wps:cNvSpPr txBox="1"/>
                      <wps:spPr>
                        <a:xfrm>
                          <a:off x="7517130" y="5775325"/>
                          <a:ext cx="732790" cy="410210"/>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27374880">
                            <w:pPr>
                              <w:spacing w:line="240" w:lineRule="auto"/>
                              <w:ind w:left="0" w:leftChars="0" w:firstLine="0" w:firstLineChars="0"/>
                              <w:rPr>
                                <w:rFonts w:hint="eastAsia" w:eastAsia="宋体"/>
                                <w:sz w:val="15"/>
                                <w:szCs w:val="15"/>
                                <w:highlight w:val="yellow"/>
                                <w:lang w:eastAsia="zh-CN"/>
                              </w:rPr>
                            </w:pPr>
                            <w:r>
                              <w:rPr>
                                <w:rFonts w:hint="eastAsia"/>
                                <w:sz w:val="15"/>
                                <w:szCs w:val="15"/>
                                <w:highlight w:val="yellow"/>
                                <w:lang w:eastAsia="zh-CN"/>
                              </w:rPr>
                              <w:t>福建省建筑科学研究院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6.85pt;margin-top:351.45pt;height:32.3pt;width:57.7pt;z-index:251675648;mso-width-relative:page;mso-height-relative:page;" filled="f" stroked="t" coordsize="21600,21600" o:gfxdata="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efNLDtoAAAANAQAADwAAAAAAAAABACAAAAAiAAAAZHJzL2Rvd25yZXYueG1sUEsBAhQAFAAA&#10;AAgAh07iQJT80kNfAgAAnQQAAA4AAAAAAAAAAQAgAAAAKQEAAGRycy9lMm9Eb2MueG1sUEsFBgAA&#10;AAAGAAYAWQEAAPoFAAAAAA==&#10;">
                <v:fill on="f" focussize="0,0"/>
                <v:stroke weight="2.25pt" color="#FFFF00 [3204]" joinstyle="round"/>
                <v:imagedata o:title=""/>
                <o:lock v:ext="edit" aspectratio="f"/>
                <v:textbox>
                  <w:txbxContent>
                    <w:p w14:paraId="27374880">
                      <w:pPr>
                        <w:spacing w:line="240" w:lineRule="auto"/>
                        <w:ind w:left="0" w:leftChars="0" w:firstLine="0" w:firstLineChars="0"/>
                        <w:rPr>
                          <w:rFonts w:hint="eastAsia" w:eastAsia="宋体"/>
                          <w:sz w:val="15"/>
                          <w:szCs w:val="15"/>
                          <w:highlight w:val="yellow"/>
                          <w:lang w:eastAsia="zh-CN"/>
                        </w:rPr>
                      </w:pPr>
                      <w:r>
                        <w:rPr>
                          <w:rFonts w:hint="eastAsia"/>
                          <w:sz w:val="15"/>
                          <w:szCs w:val="15"/>
                          <w:highlight w:val="yellow"/>
                          <w:lang w:eastAsia="zh-CN"/>
                        </w:rPr>
                        <w:t>福建省建筑科学研究院</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7332345</wp:posOffset>
                </wp:positionH>
                <wp:positionV relativeFrom="paragraph">
                  <wp:posOffset>2780030</wp:posOffset>
                </wp:positionV>
                <wp:extent cx="786765" cy="837565"/>
                <wp:effectExtent l="55880" t="53340" r="71755" b="61595"/>
                <wp:wrapNone/>
                <wp:docPr id="31" name="文本框 31"/>
                <wp:cNvGraphicFramePr/>
                <a:graphic xmlns:a="http://schemas.openxmlformats.org/drawingml/2006/main">
                  <a:graphicData uri="http://schemas.microsoft.com/office/word/2010/wordprocessingShape">
                    <wps:wsp>
                      <wps:cNvSpPr txBox="1"/>
                      <wps:spPr>
                        <a:xfrm rot="21240000">
                          <a:off x="8383905" y="4067810"/>
                          <a:ext cx="786765" cy="837565"/>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461F9D33">
                            <w:pPr>
                              <w:spacing w:line="240" w:lineRule="auto"/>
                              <w:ind w:left="0" w:leftChars="0" w:firstLine="0" w:firstLineChars="0"/>
                              <w:rPr>
                                <w:rFonts w:hint="default" w:eastAsia="宋体"/>
                                <w:sz w:val="18"/>
                                <w:szCs w:val="18"/>
                                <w:highlight w:val="yellow"/>
                                <w:lang w:val="en-US" w:eastAsia="zh-CN"/>
                              </w:rPr>
                            </w:pPr>
                            <w:r>
                              <w:rPr>
                                <w:rFonts w:hint="eastAsia"/>
                                <w:sz w:val="18"/>
                                <w:szCs w:val="18"/>
                                <w:highlight w:val="yellow"/>
                                <w:lang w:val="en-US" w:eastAsia="zh-CN"/>
                              </w:rPr>
                              <w:t>福州斯狄渢混合能源有限公司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35pt;margin-top:218.9pt;height:65.95pt;width:61.95pt;rotation:-393216f;z-index:251674624;mso-width-relative:page;mso-height-relative:page;" filled="f" stroked="t" coordsize="21600,21600" o:gfxdata="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x6H73ZAAAADQEAAA8AAAAAAAAAAQAgAAAAIgAAAGRycy9kb3ducmV2LnhtbFBL&#10;AQIUABQAAAAIAIdO4kBgPaBAZwIAAKwEAAAOAAAAAAAAAAEAIAAAACgBAABkcnMvZTJvRG9jLnht&#10;bFBLBQYAAAAABgAGAFkBAAABBgAAAAA=&#10;">
                <v:fill on="f" focussize="0,0"/>
                <v:stroke weight="2.25pt" color="#FFFF00 [3204]" joinstyle="round"/>
                <v:imagedata o:title=""/>
                <o:lock v:ext="edit" aspectratio="f"/>
                <v:textbox>
                  <w:txbxContent>
                    <w:p w14:paraId="461F9D33">
                      <w:pPr>
                        <w:spacing w:line="240" w:lineRule="auto"/>
                        <w:ind w:left="0" w:leftChars="0" w:firstLine="0" w:firstLineChars="0"/>
                        <w:rPr>
                          <w:rFonts w:hint="default" w:eastAsia="宋体"/>
                          <w:sz w:val="18"/>
                          <w:szCs w:val="18"/>
                          <w:highlight w:val="yellow"/>
                          <w:lang w:val="en-US" w:eastAsia="zh-CN"/>
                        </w:rPr>
                      </w:pPr>
                      <w:r>
                        <w:rPr>
                          <w:rFonts w:hint="eastAsia"/>
                          <w:sz w:val="18"/>
                          <w:szCs w:val="18"/>
                          <w:highlight w:val="yellow"/>
                          <w:lang w:val="en-US" w:eastAsia="zh-CN"/>
                        </w:rPr>
                        <w:t>福州斯狄渢混合能源有限公司</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4069715</wp:posOffset>
                </wp:positionH>
                <wp:positionV relativeFrom="paragraph">
                  <wp:posOffset>746760</wp:posOffset>
                </wp:positionV>
                <wp:extent cx="1276350" cy="464820"/>
                <wp:effectExtent l="25400" t="47625" r="31750" b="59055"/>
                <wp:wrapNone/>
                <wp:docPr id="30" name="文本框 30"/>
                <wp:cNvGraphicFramePr/>
                <a:graphic xmlns:a="http://schemas.openxmlformats.org/drawingml/2006/main">
                  <a:graphicData uri="http://schemas.microsoft.com/office/word/2010/wordprocessingShape">
                    <wps:wsp>
                      <wps:cNvSpPr txBox="1"/>
                      <wps:spPr>
                        <a:xfrm rot="21420000">
                          <a:off x="5151755" y="2047240"/>
                          <a:ext cx="1276350" cy="464820"/>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4E244D39">
                            <w:pPr>
                              <w:spacing w:line="240" w:lineRule="auto"/>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福建乾达重型机械有限公司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45pt;margin-top:58.8pt;height:36.6pt;width:100.5pt;rotation:-196608f;z-index:251673600;mso-width-relative:page;mso-height-relative:page;" filled="f" stroked="t" coordsize="21600,21600" o:gfxdata="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bM3j5dcAAAALAQAADwAAAAAAAAABACAAAAAiAAAAZHJzL2Rvd25yZXYueG1sUEsB&#10;AhQAFAAAAAgAh07iQKT6aTFoAgAArQQAAA4AAAAAAAAAAQAgAAAAJgEAAGRycy9lMm9Eb2MueG1s&#10;UEsFBgAAAAAGAAYAWQEAAAAGAAAAAA==&#10;">
                <v:fill on="f" focussize="0,0"/>
                <v:stroke weight="2.25pt" color="#FFFF00 [3204]" joinstyle="round"/>
                <v:imagedata o:title=""/>
                <o:lock v:ext="edit" aspectratio="f"/>
                <v:textbox>
                  <w:txbxContent>
                    <w:p w14:paraId="4E244D39">
                      <w:pPr>
                        <w:spacing w:line="240" w:lineRule="auto"/>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福建乾达重型机械有限公司</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5586095</wp:posOffset>
                </wp:positionH>
                <wp:positionV relativeFrom="paragraph">
                  <wp:posOffset>1897380</wp:posOffset>
                </wp:positionV>
                <wp:extent cx="1114425" cy="762000"/>
                <wp:effectExtent l="13970" t="13970" r="14605" b="24130"/>
                <wp:wrapNone/>
                <wp:docPr id="29" name="文本框 29"/>
                <wp:cNvGraphicFramePr/>
                <a:graphic xmlns:a="http://schemas.openxmlformats.org/drawingml/2006/main">
                  <a:graphicData uri="http://schemas.microsoft.com/office/word/2010/wordprocessingShape">
                    <wps:wsp>
                      <wps:cNvSpPr txBox="1"/>
                      <wps:spPr>
                        <a:xfrm>
                          <a:off x="6685280" y="3142615"/>
                          <a:ext cx="1114425" cy="762000"/>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1B504720">
                            <w:pPr>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福建省计量科学研究院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9.85pt;margin-top:149.4pt;height:60pt;width:87.75pt;z-index:251672576;mso-width-relative:page;mso-height-relative:page;" filled="f" stroked="t" coordsize="21600,21600" o:gfxdata="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KldTq2gAAAAwBAAAPAAAAAAAAAAEAIAAAACIAAABkcnMvZG93bnJldi54bWxQSwECFAAUAAAA&#10;CACHTuJAXZrM3l4CAACeBAAADgAAAAAAAAABACAAAAApAQAAZHJzL2Uyb0RvYy54bWxQSwUGAAAA&#10;AAYABgBZAQAA+QUAAAAA&#10;">
                <v:fill on="f" focussize="0,0"/>
                <v:stroke weight="2.25pt" color="#FFFF00 [3204]" joinstyle="round"/>
                <v:imagedata o:title=""/>
                <o:lock v:ext="edit" aspectratio="f"/>
                <v:textbox>
                  <w:txbxContent>
                    <w:p w14:paraId="1B504720">
                      <w:pPr>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福建省计量科学研究院</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4157345</wp:posOffset>
                </wp:positionH>
                <wp:positionV relativeFrom="paragraph">
                  <wp:posOffset>3278505</wp:posOffset>
                </wp:positionV>
                <wp:extent cx="1504950" cy="304800"/>
                <wp:effectExtent l="0" t="0" r="0" b="0"/>
                <wp:wrapNone/>
                <wp:docPr id="28" name="文本框 28"/>
                <wp:cNvGraphicFramePr/>
                <a:graphic xmlns:a="http://schemas.openxmlformats.org/drawingml/2006/main">
                  <a:graphicData uri="http://schemas.microsoft.com/office/word/2010/wordprocessingShape">
                    <wps:wsp>
                      <wps:cNvSpPr txBox="1"/>
                      <wps:spPr>
                        <a:xfrm>
                          <a:off x="5237480" y="4514215"/>
                          <a:ext cx="15049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A43346">
                            <w:pPr>
                              <w:ind w:left="0" w:leftChars="0" w:firstLine="0" w:firstLineChars="0"/>
                              <w:rPr>
                                <w:rFonts w:hint="default" w:eastAsia="宋体"/>
                                <w:sz w:val="18"/>
                                <w:szCs w:val="18"/>
                                <w:highlight w:val="yellow"/>
                                <w:lang w:val="en-US" w:eastAsia="zh-CN"/>
                              </w:rPr>
                            </w:pPr>
                            <w:r>
                              <w:rPr>
                                <w:rFonts w:hint="eastAsia"/>
                                <w:sz w:val="18"/>
                                <w:szCs w:val="18"/>
                                <w:highlight w:val="yellow"/>
                                <w:lang w:eastAsia="zh-CN"/>
                              </w:rPr>
                              <w:t>闽侯经济技术开发区</w:t>
                            </w:r>
                            <w:r>
                              <w:rPr>
                                <w:rFonts w:hint="eastAsia"/>
                                <w:sz w:val="18"/>
                                <w:szCs w:val="18"/>
                                <w:highlight w:val="yellow"/>
                                <w:lang w:val="en-US" w:eastAsia="zh-CN"/>
                              </w:rPr>
                              <w:t>2期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7.35pt;margin-top:258.15pt;height:24pt;width:118.5pt;z-index:251671552;mso-width-relative:page;mso-height-relative:page;" filled="f" stroked="f" coordsize="21600,21600" o:gfxdata="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iwU+Z3AAAAAsBAAAPAAAAAAAA&#10;AAEAIAAAACIAAABkcnMvZG93bnJldi54bWxQSwECFAAUAAAACACHTuJApP/KZkcCAAB0BAAADgAA&#10;AAAAAAABACAAAAArAQAAZHJzL2Uyb0RvYy54bWxQSwUGAAAAAAYABgBZAQAA5AUAAAAA&#10;">
                <v:fill on="f" focussize="0,0"/>
                <v:stroke on="f" weight="0.5pt"/>
                <v:imagedata o:title=""/>
                <o:lock v:ext="edit" aspectratio="f"/>
                <v:textbox>
                  <w:txbxContent>
                    <w:p w14:paraId="59A43346">
                      <w:pPr>
                        <w:ind w:left="0" w:leftChars="0" w:firstLine="0" w:firstLineChars="0"/>
                        <w:rPr>
                          <w:rFonts w:hint="default" w:eastAsia="宋体"/>
                          <w:sz w:val="18"/>
                          <w:szCs w:val="18"/>
                          <w:highlight w:val="yellow"/>
                          <w:lang w:val="en-US" w:eastAsia="zh-CN"/>
                        </w:rPr>
                      </w:pPr>
                      <w:r>
                        <w:rPr>
                          <w:rFonts w:hint="eastAsia"/>
                          <w:sz w:val="18"/>
                          <w:szCs w:val="18"/>
                          <w:highlight w:val="yellow"/>
                          <w:lang w:eastAsia="zh-CN"/>
                        </w:rPr>
                        <w:t>闽侯经济技术开发区</w:t>
                      </w:r>
                      <w:r>
                        <w:rPr>
                          <w:rFonts w:hint="eastAsia"/>
                          <w:sz w:val="18"/>
                          <w:szCs w:val="18"/>
                          <w:highlight w:val="yellow"/>
                          <w:lang w:val="en-US" w:eastAsia="zh-CN"/>
                        </w:rPr>
                        <w:t>2期</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3985895</wp:posOffset>
                </wp:positionH>
                <wp:positionV relativeFrom="paragraph">
                  <wp:posOffset>2887980</wp:posOffset>
                </wp:positionV>
                <wp:extent cx="1647825" cy="1552575"/>
                <wp:effectExtent l="13970" t="13970" r="14605" b="14605"/>
                <wp:wrapNone/>
                <wp:docPr id="27" name="矩形 27"/>
                <wp:cNvGraphicFramePr/>
                <a:graphic xmlns:a="http://schemas.openxmlformats.org/drawingml/2006/main">
                  <a:graphicData uri="http://schemas.microsoft.com/office/word/2010/wordprocessingShape">
                    <wps:wsp>
                      <wps:cNvSpPr/>
                      <wps:spPr>
                        <a:xfrm>
                          <a:off x="5066030" y="4123690"/>
                          <a:ext cx="1647825" cy="1552575"/>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3.85pt;margin-top:227.4pt;height:122.25pt;width:129.75pt;z-index:251670528;v-text-anchor:middle;mso-width-relative:page;mso-height-relative:page;" filled="f" stroked="t" coordsize="21600,21600" o:gfxdata="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WkcJ32AAAAAsBAAAPAAAAAAAAAAEAIAAAACIAAABkcnMvZG93bnJl&#10;di54bWxQSwECFAAUAAAACACHTuJARApbUG8CAADDBAAADgAAAAAAAAABACAAAAAnAQAAZHJzL2Uy&#10;b0RvYy54bWxQSwUGAAAAAAYABgBZAQAACAYAAAAA&#10;">
                <v:fill on="f" focussize="0,0"/>
                <v:stroke weight="2.25pt" color="#FFFF00 [3204]" joinstyle="round"/>
                <v:imagedata o:title=""/>
                <o:lock v:ext="edit" aspectratio="f"/>
              </v:rect>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2490470</wp:posOffset>
                </wp:positionH>
                <wp:positionV relativeFrom="paragraph">
                  <wp:posOffset>3002280</wp:posOffset>
                </wp:positionV>
                <wp:extent cx="619125" cy="876300"/>
                <wp:effectExtent l="43815" t="34925" r="60960" b="41275"/>
                <wp:wrapNone/>
                <wp:docPr id="26" name="文本框 26"/>
                <wp:cNvGraphicFramePr/>
                <a:graphic xmlns:a="http://schemas.openxmlformats.org/drawingml/2006/main">
                  <a:graphicData uri="http://schemas.microsoft.com/office/word/2010/wordprocessingShape">
                    <wps:wsp>
                      <wps:cNvSpPr txBox="1"/>
                      <wps:spPr>
                        <a:xfrm rot="21360000">
                          <a:off x="3570605" y="4237990"/>
                          <a:ext cx="619125" cy="876300"/>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41055A5A">
                            <w:pPr>
                              <w:spacing w:line="240" w:lineRule="auto"/>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福建东亚鼓风机股份有限公司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1pt;margin-top:236.4pt;height:69pt;width:48.75pt;rotation:-262144f;z-index:251669504;mso-width-relative:page;mso-height-relative:page;" filled="f" stroked="t" coordsize="21600,21600" o:gfxdata="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uNwHYNgAAAALAQAADwAAAAAAAAABACAAAAAiAAAAZHJzL2Rvd25yZXYueG1sUEsB&#10;AhQAFAAAAAgAh07iQH/pIwVnAgAArAQAAA4AAAAAAAAAAQAgAAAAJwEAAGRycy9lMm9Eb2MueG1s&#10;UEsFBgAAAAAGAAYAWQEAAAAGAAAAAA==&#10;">
                <v:fill on="f" focussize="0,0"/>
                <v:stroke weight="2.25pt" color="#FFFF00 [3204]" joinstyle="round"/>
                <v:imagedata o:title=""/>
                <o:lock v:ext="edit" aspectratio="f"/>
                <v:textbox>
                  <w:txbxContent>
                    <w:p w14:paraId="41055A5A">
                      <w:pPr>
                        <w:spacing w:line="240" w:lineRule="auto"/>
                        <w:ind w:left="0" w:leftChars="0" w:firstLine="0" w:firstLineChars="0"/>
                        <w:rPr>
                          <w:rFonts w:hint="eastAsia" w:eastAsia="宋体"/>
                          <w:sz w:val="18"/>
                          <w:szCs w:val="18"/>
                          <w:highlight w:val="yellow"/>
                          <w:lang w:eastAsia="zh-CN"/>
                        </w:rPr>
                      </w:pPr>
                      <w:r>
                        <w:rPr>
                          <w:rFonts w:hint="eastAsia"/>
                          <w:sz w:val="18"/>
                          <w:szCs w:val="18"/>
                          <w:highlight w:val="yellow"/>
                          <w:lang w:eastAsia="zh-CN"/>
                        </w:rPr>
                        <w:t>福建东亚鼓风机股份有限公司</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6167120</wp:posOffset>
                </wp:positionH>
                <wp:positionV relativeFrom="paragraph">
                  <wp:posOffset>392430</wp:posOffset>
                </wp:positionV>
                <wp:extent cx="1857375" cy="342900"/>
                <wp:effectExtent l="0" t="0" r="9525" b="0"/>
                <wp:wrapNone/>
                <wp:docPr id="25" name="文本框 25"/>
                <wp:cNvGraphicFramePr/>
                <a:graphic xmlns:a="http://schemas.openxmlformats.org/drawingml/2006/main">
                  <a:graphicData uri="http://schemas.microsoft.com/office/word/2010/wordprocessingShape">
                    <wps:wsp>
                      <wps:cNvSpPr txBox="1"/>
                      <wps:spPr>
                        <a:xfrm>
                          <a:off x="7247255" y="1628140"/>
                          <a:ext cx="185737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10391D">
                            <w:pPr>
                              <w:ind w:left="0" w:leftChars="0" w:firstLine="0" w:firstLineChars="0"/>
                              <w:rPr>
                                <w:rFonts w:hint="eastAsia" w:eastAsia="宋体"/>
                                <w:sz w:val="21"/>
                                <w:szCs w:val="21"/>
                                <w:highlight w:val="yellow"/>
                                <w:lang w:eastAsia="zh-CN"/>
                              </w:rPr>
                            </w:pPr>
                            <w:r>
                              <w:rPr>
                                <w:rFonts w:hint="eastAsia"/>
                                <w:sz w:val="21"/>
                                <w:szCs w:val="21"/>
                                <w:highlight w:val="yellow"/>
                                <w:lang w:eastAsia="zh-CN"/>
                              </w:rPr>
                              <w:t>福建力得电气有限公司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5.6pt;margin-top:30.9pt;height:27pt;width:146.25pt;z-index:251668480;mso-width-relative:page;mso-height-relative:page;" filled="f" stroked="f" coordsize="21600,21600" o:gfxdata="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3cUUPcAAAACwEAAA8AAAAA&#10;AAAAAQAgAAAAIgAAAGRycy9kb3ducmV2LnhtbFBLAQIUABQAAAAIAIdO4kAK584bSQIAAHQEAAAO&#10;AAAAAAAAAAEAIAAAACsBAABkcnMvZTJvRG9jLnhtbFBLBQYAAAAABgAGAFkBAADmBQAAAAA=&#10;">
                <v:fill on="f" focussize="0,0"/>
                <v:stroke on="f" weight="0.5pt"/>
                <v:imagedata o:title=""/>
                <o:lock v:ext="edit" aspectratio="f"/>
                <v:textbox>
                  <w:txbxContent>
                    <w:p w14:paraId="3710391D">
                      <w:pPr>
                        <w:ind w:left="0" w:leftChars="0" w:firstLine="0" w:firstLineChars="0"/>
                        <w:rPr>
                          <w:rFonts w:hint="eastAsia" w:eastAsia="宋体"/>
                          <w:sz w:val="21"/>
                          <w:szCs w:val="21"/>
                          <w:highlight w:val="yellow"/>
                          <w:lang w:eastAsia="zh-CN"/>
                        </w:rPr>
                      </w:pPr>
                      <w:r>
                        <w:rPr>
                          <w:rFonts w:hint="eastAsia"/>
                          <w:sz w:val="21"/>
                          <w:szCs w:val="21"/>
                          <w:highlight w:val="yellow"/>
                          <w:lang w:eastAsia="zh-CN"/>
                        </w:rPr>
                        <w:t>福建力得电气有限公司</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5557520</wp:posOffset>
                </wp:positionH>
                <wp:positionV relativeFrom="paragraph">
                  <wp:posOffset>1905</wp:posOffset>
                </wp:positionV>
                <wp:extent cx="2790825" cy="1038225"/>
                <wp:effectExtent l="12700" t="12700" r="15875" b="15875"/>
                <wp:wrapNone/>
                <wp:docPr id="23" name="任意多边形 23"/>
                <wp:cNvGraphicFramePr/>
                <a:graphic xmlns:a="http://schemas.openxmlformats.org/drawingml/2006/main">
                  <a:graphicData uri="http://schemas.microsoft.com/office/word/2010/wordprocessingShape">
                    <wps:wsp>
                      <wps:cNvSpPr/>
                      <wps:spPr>
                        <a:xfrm>
                          <a:off x="6637655" y="1237615"/>
                          <a:ext cx="2790825" cy="1038225"/>
                        </a:xfrm>
                        <a:custGeom>
                          <a:avLst/>
                          <a:gdLst>
                            <a:gd name="connisteX0" fmla="*/ 790575 w 2790825"/>
                            <a:gd name="connsiteY0" fmla="*/ 0 h 1038225"/>
                            <a:gd name="connisteX1" fmla="*/ 504825 w 2790825"/>
                            <a:gd name="connsiteY1" fmla="*/ 133350 h 1038225"/>
                            <a:gd name="connisteX2" fmla="*/ 361950 w 2790825"/>
                            <a:gd name="connsiteY2" fmla="*/ 314325 h 1038225"/>
                            <a:gd name="connisteX3" fmla="*/ 304800 w 2790825"/>
                            <a:gd name="connsiteY3" fmla="*/ 619125 h 1038225"/>
                            <a:gd name="connisteX4" fmla="*/ 19050 w 2790825"/>
                            <a:gd name="connsiteY4" fmla="*/ 790575 h 1038225"/>
                            <a:gd name="connisteX5" fmla="*/ 0 w 2790825"/>
                            <a:gd name="connsiteY5" fmla="*/ 1000125 h 1038225"/>
                            <a:gd name="connisteX6" fmla="*/ 2466975 w 2790825"/>
                            <a:gd name="connsiteY6" fmla="*/ 1038225 h 1038225"/>
                            <a:gd name="connisteX7" fmla="*/ 2695575 w 2790825"/>
                            <a:gd name="connsiteY7" fmla="*/ 876300 h 1038225"/>
                            <a:gd name="connisteX8" fmla="*/ 2790825 w 2790825"/>
                            <a:gd name="connsiteY8" fmla="*/ 666750 h 1038225"/>
                            <a:gd name="connisteX9" fmla="*/ 2390775 w 2790825"/>
                            <a:gd name="connsiteY9" fmla="*/ 590550 h 1038225"/>
                            <a:gd name="connisteX10" fmla="*/ 2095500 w 2790825"/>
                            <a:gd name="connsiteY10" fmla="*/ 314325 h 1038225"/>
                            <a:gd name="connisteX11" fmla="*/ 1857375 w 2790825"/>
                            <a:gd name="connsiteY11" fmla="*/ 9525 h 1038225"/>
                            <a:gd name="connisteX12" fmla="*/ 752475 w 2790825"/>
                            <a:gd name="connsiteY12" fmla="*/ 9525 h 1038225"/>
                            <a:gd name="connisteX13" fmla="*/ 790575 w 2790825"/>
                            <a:gd name="connsiteY13" fmla="*/ 0 h 10382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2790825" h="1038225">
                              <a:moveTo>
                                <a:pt x="790575" y="0"/>
                              </a:moveTo>
                              <a:lnTo>
                                <a:pt x="504825" y="133350"/>
                              </a:lnTo>
                              <a:lnTo>
                                <a:pt x="361950" y="314325"/>
                              </a:lnTo>
                              <a:lnTo>
                                <a:pt x="304800" y="619125"/>
                              </a:lnTo>
                              <a:lnTo>
                                <a:pt x="19050" y="790575"/>
                              </a:lnTo>
                              <a:lnTo>
                                <a:pt x="0" y="1000125"/>
                              </a:lnTo>
                              <a:lnTo>
                                <a:pt x="2466975" y="1038225"/>
                              </a:lnTo>
                              <a:lnTo>
                                <a:pt x="2695575" y="876300"/>
                              </a:lnTo>
                              <a:lnTo>
                                <a:pt x="2790825" y="666750"/>
                              </a:lnTo>
                              <a:lnTo>
                                <a:pt x="2390775" y="590550"/>
                              </a:lnTo>
                              <a:lnTo>
                                <a:pt x="2095500" y="314325"/>
                              </a:lnTo>
                              <a:lnTo>
                                <a:pt x="1857375" y="9525"/>
                              </a:lnTo>
                              <a:lnTo>
                                <a:pt x="752475" y="9525"/>
                              </a:lnTo>
                              <a:lnTo>
                                <a:pt x="790575"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37.6pt;margin-top:0.15pt;height:81.75pt;width:219.75pt;z-index:251667456;mso-width-relative:page;mso-height-relative:page;" filled="f" stroked="t" coordsize="2790825,1038225" o:gfxdata="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" path="m790575,0l504825,133350,361950,314325,304800,619125,19050,790575,0,1000125,2466975,1038225,2695575,876300,2790825,666750,2390775,590550,2095500,314325,1857375,9525,752475,9525,790575,0xe">
                <v:path o:connectlocs="790575,0;504825,133350;361950,314325;304800,619125;19050,790575;0,1000125;2466975,1038225;2695575,876300;2790825,666750;2390775,590550;2095500,314325;1857375,9525;752475,9525;790575,0" o:connectangles="0,0,0,0,0,0,0,0,0,0,0,0,0,0"/>
                <v:fill on="f" focussize="0,0"/>
                <v:stroke weight="2pt" color="#FFFF00 [3204]" joinstyle="round"/>
                <v:imagedata o:title=""/>
                <o:lock v:ext="edit" aspectratio="f"/>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1290320</wp:posOffset>
                </wp:positionH>
                <wp:positionV relativeFrom="paragraph">
                  <wp:posOffset>3449955</wp:posOffset>
                </wp:positionV>
                <wp:extent cx="723265" cy="532765"/>
                <wp:effectExtent l="0" t="0" r="0" b="0"/>
                <wp:wrapNone/>
                <wp:docPr id="21" name="文本框 21"/>
                <wp:cNvGraphicFramePr/>
                <a:graphic xmlns:a="http://schemas.openxmlformats.org/drawingml/2006/main">
                  <a:graphicData uri="http://schemas.microsoft.com/office/word/2010/wordprocessingShape">
                    <wps:wsp>
                      <wps:cNvSpPr txBox="1"/>
                      <wps:spPr>
                        <a:xfrm>
                          <a:off x="2599055" y="4695190"/>
                          <a:ext cx="723265" cy="5327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93A0AC">
                            <w:pPr>
                              <w:ind w:left="0" w:leftChars="0" w:firstLine="0" w:firstLineChars="0"/>
                              <w:rPr>
                                <w:rFonts w:hint="eastAsia" w:eastAsia="宋体"/>
                                <w:sz w:val="21"/>
                                <w:szCs w:val="21"/>
                                <w:highlight w:val="yellow"/>
                                <w:lang w:eastAsia="zh-CN"/>
                              </w:rPr>
                            </w:pPr>
                            <w:r>
                              <w:rPr>
                                <w:rFonts w:hint="eastAsia"/>
                                <w:sz w:val="21"/>
                                <w:szCs w:val="21"/>
                                <w:highlight w:val="yellow"/>
                                <w:lang w:eastAsia="zh-CN"/>
                              </w:rPr>
                              <w:t>宏盛酒业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6pt;margin-top:271.65pt;height:41.95pt;width:56.95pt;z-index:251666432;mso-width-relative:page;mso-height-relative:page;" filled="f" stroked="f" coordsize="21600,21600" o:gfxdata="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BXYftwAAAALAQAADwAAAAAA&#10;AAABACAAAAAiAAAAZHJzL2Rvd25yZXYueG1sUEsBAhQAFAAAAAgAh07iQFA3IMNIAgAAcwQAAA4A&#10;AAAAAAAAAQAgAAAAKwEAAGRycy9lMm9Eb2MueG1sUEsFBgAAAAAGAAYAWQEAAOUFAAAAAA==&#10;">
                <v:fill on="f" focussize="0,0"/>
                <v:stroke on="f" weight="0.5pt"/>
                <v:imagedata o:title=""/>
                <o:lock v:ext="edit" aspectratio="f"/>
                <v:textbox>
                  <w:txbxContent>
                    <w:p w14:paraId="6193A0AC">
                      <w:pPr>
                        <w:ind w:left="0" w:leftChars="0" w:firstLine="0" w:firstLineChars="0"/>
                        <w:rPr>
                          <w:rFonts w:hint="eastAsia" w:eastAsia="宋体"/>
                          <w:sz w:val="21"/>
                          <w:szCs w:val="21"/>
                          <w:highlight w:val="yellow"/>
                          <w:lang w:eastAsia="zh-CN"/>
                        </w:rPr>
                      </w:pPr>
                      <w:r>
                        <w:rPr>
                          <w:rFonts w:hint="eastAsia"/>
                          <w:sz w:val="21"/>
                          <w:szCs w:val="21"/>
                          <w:highlight w:val="yellow"/>
                          <w:lang w:eastAsia="zh-CN"/>
                        </w:rPr>
                        <w:t>宏盛酒业</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718820</wp:posOffset>
                </wp:positionH>
                <wp:positionV relativeFrom="paragraph">
                  <wp:posOffset>2973705</wp:posOffset>
                </wp:positionV>
                <wp:extent cx="1438275" cy="1219200"/>
                <wp:effectExtent l="12700" t="12700" r="15875" b="25400"/>
                <wp:wrapNone/>
                <wp:docPr id="20" name="任意多边形 20"/>
                <wp:cNvGraphicFramePr/>
                <a:graphic xmlns:a="http://schemas.openxmlformats.org/drawingml/2006/main">
                  <a:graphicData uri="http://schemas.microsoft.com/office/word/2010/wordprocessingShape">
                    <wps:wsp>
                      <wps:cNvSpPr/>
                      <wps:spPr>
                        <a:xfrm>
                          <a:off x="1798955" y="4209415"/>
                          <a:ext cx="1438275" cy="1219200"/>
                        </a:xfrm>
                        <a:custGeom>
                          <a:avLst/>
                          <a:gdLst>
                            <a:gd name="connisteX0" fmla="*/ 838200 w 1438275"/>
                            <a:gd name="connsiteY0" fmla="*/ 0 h 1219200"/>
                            <a:gd name="connisteX1" fmla="*/ 1438275 w 1438275"/>
                            <a:gd name="connsiteY1" fmla="*/ 0 h 1219200"/>
                            <a:gd name="connisteX2" fmla="*/ 1371600 w 1438275"/>
                            <a:gd name="connsiteY2" fmla="*/ 1219200 h 1219200"/>
                            <a:gd name="connisteX3" fmla="*/ 561975 w 1438275"/>
                            <a:gd name="connsiteY3" fmla="*/ 1181100 h 1219200"/>
                            <a:gd name="connisteX4" fmla="*/ 0 w 1438275"/>
                            <a:gd name="connsiteY4" fmla="*/ 1133475 h 1219200"/>
                            <a:gd name="connisteX5" fmla="*/ 9525 w 1438275"/>
                            <a:gd name="connsiteY5" fmla="*/ 1038225 h 1219200"/>
                            <a:gd name="connisteX6" fmla="*/ 419100 w 1438275"/>
                            <a:gd name="connsiteY6" fmla="*/ 762000 h 1219200"/>
                            <a:gd name="connisteX7" fmla="*/ 609600 w 1438275"/>
                            <a:gd name="connsiteY7" fmla="*/ 285750 h 1219200"/>
                            <a:gd name="connisteX8" fmla="*/ 685800 w 1438275"/>
                            <a:gd name="connsiteY8" fmla="*/ 19050 h 1219200"/>
                            <a:gd name="connisteX9" fmla="*/ 838200 w 1438275"/>
                            <a:gd name="connsiteY9" fmla="*/ 0 h 1219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438275" h="1219200">
                              <a:moveTo>
                                <a:pt x="838200" y="0"/>
                              </a:moveTo>
                              <a:lnTo>
                                <a:pt x="1438275" y="0"/>
                              </a:lnTo>
                              <a:lnTo>
                                <a:pt x="1371600" y="1219200"/>
                              </a:lnTo>
                              <a:lnTo>
                                <a:pt x="561975" y="1181100"/>
                              </a:lnTo>
                              <a:lnTo>
                                <a:pt x="0" y="1133475"/>
                              </a:lnTo>
                              <a:lnTo>
                                <a:pt x="9525" y="1038225"/>
                              </a:lnTo>
                              <a:lnTo>
                                <a:pt x="419100" y="762000"/>
                              </a:lnTo>
                              <a:lnTo>
                                <a:pt x="609600" y="285750"/>
                              </a:lnTo>
                              <a:lnTo>
                                <a:pt x="685800" y="19050"/>
                              </a:lnTo>
                              <a:lnTo>
                                <a:pt x="83820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6.6pt;margin-top:234.15pt;height:96pt;width:113.25pt;z-index:251665408;mso-width-relative:page;mso-height-relative:page;" filled="f" stroked="t" coordsize="1438275,1219200" o:gfxdata="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" path="m838200,0l1438275,0,1371600,1219200,561975,1181100,0,1133475,9525,1038225,419100,762000,609600,285750,685800,19050,838200,0xe">
                <v:path o:connectlocs="838200,0;1438275,0;1371600,1219200;561975,1181100;0,1133475;9525,1038225;419100,762000;609600,285750;685800,19050;838200,0" o:connectangles="0,0,0,0,0,0,0,0,0,0"/>
                <v:fill on="f" focussize="0,0"/>
                <v:stroke weight="2pt" color="#FFFF00 [3204]" joinstyle="round"/>
                <v:imagedata o:title=""/>
                <o:lock v:ext="edit" aspectratio="f"/>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1252220</wp:posOffset>
                </wp:positionH>
                <wp:positionV relativeFrom="paragraph">
                  <wp:posOffset>1947545</wp:posOffset>
                </wp:positionV>
                <wp:extent cx="704850" cy="333375"/>
                <wp:effectExtent l="0" t="0" r="0" b="9525"/>
                <wp:wrapNone/>
                <wp:docPr id="17" name="文本框 17"/>
                <wp:cNvGraphicFramePr/>
                <a:graphic xmlns:a="http://schemas.openxmlformats.org/drawingml/2006/main">
                  <a:graphicData uri="http://schemas.microsoft.com/office/word/2010/wordprocessingShape">
                    <wps:wsp>
                      <wps:cNvSpPr txBox="1"/>
                      <wps:spPr>
                        <a:xfrm>
                          <a:off x="2332355" y="3183255"/>
                          <a:ext cx="704850"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1B630E">
                            <w:pPr>
                              <w:ind w:left="0" w:leftChars="0" w:firstLine="0" w:firstLineChars="0"/>
                              <w:rPr>
                                <w:rFonts w:hint="eastAsia" w:eastAsia="宋体"/>
                                <w:color w:val="FF0000"/>
                                <w:lang w:eastAsia="zh-CN"/>
                              </w:rPr>
                            </w:pPr>
                            <w:r>
                              <w:rPr>
                                <w:rFonts w:hint="eastAsia"/>
                                <w:color w:val="FF0000"/>
                                <w:lang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6pt;margin-top:153.35pt;height:26.25pt;width:55.5pt;z-index:251664384;mso-width-relative:page;mso-height-relative:page;" filled="f" stroked="f" coordsize="21600,21600" o:gfxdata="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0yE4U3AAAAAsBAAAPAAAAAAAAAAEA&#10;IAAAACIAAABkcnMvZG93bnJldi54bWxQSwECFAAUAAAACACHTuJAsogMYEQCAABzBAAADgAAAAAA&#10;AAABACAAAAArAQAAZHJzL2Uyb0RvYy54bWxQSwUGAAAAAAYABgBZAQAA4QUAAAAA&#10;">
                <v:fill on="f" focussize="0,0"/>
                <v:stroke on="f" weight="0.5pt"/>
                <v:imagedata o:title=""/>
                <o:lock v:ext="edit" aspectratio="f"/>
                <v:textbox>
                  <w:txbxContent>
                    <w:p w14:paraId="411B630E">
                      <w:pPr>
                        <w:ind w:left="0" w:leftChars="0" w:firstLine="0" w:firstLineChars="0"/>
                        <w:rPr>
                          <w:rFonts w:hint="eastAsia" w:eastAsia="宋体"/>
                          <w:color w:val="FF0000"/>
                          <w:lang w:eastAsia="zh-CN"/>
                        </w:rPr>
                      </w:pPr>
                      <w:r>
                        <w:rPr>
                          <w:rFonts w:hint="eastAsia"/>
                          <w:color w:val="FF0000"/>
                          <w:lang w:eastAsia="zh-CN"/>
                        </w:rPr>
                        <w:t>本项目</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975995</wp:posOffset>
                </wp:positionH>
                <wp:positionV relativeFrom="paragraph">
                  <wp:posOffset>1421765</wp:posOffset>
                </wp:positionV>
                <wp:extent cx="1123950" cy="1476375"/>
                <wp:effectExtent l="12700" t="12700" r="25400" b="15875"/>
                <wp:wrapNone/>
                <wp:docPr id="16" name="任意多边形 16"/>
                <wp:cNvGraphicFramePr/>
                <a:graphic xmlns:a="http://schemas.openxmlformats.org/drawingml/2006/main">
                  <a:graphicData uri="http://schemas.microsoft.com/office/word/2010/wordprocessingShape">
                    <wps:wsp>
                      <wps:cNvSpPr/>
                      <wps:spPr>
                        <a:xfrm>
                          <a:off x="2056130" y="2657475"/>
                          <a:ext cx="1123950" cy="1476375"/>
                        </a:xfrm>
                        <a:custGeom>
                          <a:avLst/>
                          <a:gdLst>
                            <a:gd name="connisteX0" fmla="*/ 276225 w 1123950"/>
                            <a:gd name="connsiteY0" fmla="*/ 180975 h 1476375"/>
                            <a:gd name="connisteX1" fmla="*/ 742950 w 1123950"/>
                            <a:gd name="connsiteY1" fmla="*/ 76200 h 1476375"/>
                            <a:gd name="connisteX2" fmla="*/ 885825 w 1123950"/>
                            <a:gd name="connsiteY2" fmla="*/ 19050 h 1476375"/>
                            <a:gd name="connisteX3" fmla="*/ 1028700 w 1123950"/>
                            <a:gd name="connsiteY3" fmla="*/ 0 h 1476375"/>
                            <a:gd name="connisteX4" fmla="*/ 1123950 w 1123950"/>
                            <a:gd name="connsiteY4" fmla="*/ 1419225 h 1476375"/>
                            <a:gd name="connisteX5" fmla="*/ 447675 w 1123950"/>
                            <a:gd name="connsiteY5" fmla="*/ 1476375 h 1476375"/>
                            <a:gd name="connisteX6" fmla="*/ 114300 w 1123950"/>
                            <a:gd name="connsiteY6" fmla="*/ 904875 h 1476375"/>
                            <a:gd name="connisteX7" fmla="*/ 0 w 1123950"/>
                            <a:gd name="connsiteY7" fmla="*/ 723900 h 1476375"/>
                            <a:gd name="connisteX8" fmla="*/ 228600 w 1123950"/>
                            <a:gd name="connsiteY8" fmla="*/ 257175 h 1476375"/>
                            <a:gd name="connisteX9" fmla="*/ 276225 w 1123950"/>
                            <a:gd name="connsiteY9" fmla="*/ 180975 h 1476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123950" h="1476375">
                              <a:moveTo>
                                <a:pt x="276225" y="180975"/>
                              </a:moveTo>
                              <a:lnTo>
                                <a:pt x="742950" y="76200"/>
                              </a:lnTo>
                              <a:lnTo>
                                <a:pt x="885825" y="19050"/>
                              </a:lnTo>
                              <a:lnTo>
                                <a:pt x="1028700" y="0"/>
                              </a:lnTo>
                              <a:lnTo>
                                <a:pt x="1123950" y="1419225"/>
                              </a:lnTo>
                              <a:lnTo>
                                <a:pt x="447675" y="1476375"/>
                              </a:lnTo>
                              <a:lnTo>
                                <a:pt x="114300" y="904875"/>
                              </a:lnTo>
                              <a:lnTo>
                                <a:pt x="0" y="723900"/>
                              </a:lnTo>
                              <a:lnTo>
                                <a:pt x="228600" y="257175"/>
                              </a:lnTo>
                              <a:lnTo>
                                <a:pt x="276225" y="1809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76.85pt;margin-top:111.95pt;height:116.25pt;width:88.5pt;z-index:251663360;mso-width-relative:page;mso-height-relative:page;" filled="f" stroked="t" coordsize="1123950,1476375" o:gfxdata="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" path="m276225,180975l742950,76200,885825,19050,1028700,0,1123950,1419225,447675,1476375,114300,904875,0,723900,228600,257175,276225,180975xe">
                <v:path o:connectlocs="276225,180975;742950,76200;885825,19050;1028700,0;1123950,1419225;447675,1476375;114300,904875;0,723900;228600,257175;276225,180975" o:connectangles="0,0,0,0,0,0,0,0,0,0"/>
                <v:fill on="f" focussize="0,0"/>
                <v:stroke weight="2pt" color="#FF0000 [3204]" joinstyle="round"/>
                <v:imagedata o:title=""/>
                <o:lock v:ext="edit" aspectratio="f"/>
              </v:shape>
            </w:pict>
          </mc:Fallback>
        </mc:AlternateContent>
      </w:r>
    </w:p>
    <w:p w14:paraId="0FE384E4">
      <w:pPr>
        <w:pStyle w:val="4"/>
        <w:numPr>
          <w:ilvl w:val="1"/>
          <w:numId w:val="0"/>
        </w:numPr>
        <w:rPr>
          <w:rFonts w:hint="default" w:ascii="Times New Roman" w:hAnsi="Times New Roman" w:cs="Times New Roman"/>
          <w:color w:val="auto"/>
        </w:rPr>
      </w:pPr>
      <w:bookmarkStart w:id="52" w:name="_Toc31690"/>
      <w:r>
        <w:rPr>
          <w:rFonts w:hint="default" w:ascii="Times New Roman" w:hAnsi="Times New Roman" w:cs="Times New Roman"/>
          <w:color w:val="auto"/>
        </w:rPr>
        <w:t>附图3：项目周边环境现场照片</w:t>
      </w:r>
      <w:bookmarkEnd w:id="52"/>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0"/>
        <w:gridCol w:w="4560"/>
      </w:tblGrid>
      <w:tr w14:paraId="444CB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67" w:type="pct"/>
            <w:vAlign w:val="center"/>
          </w:tcPr>
          <w:p w14:paraId="71D62AE5">
            <w:pPr>
              <w:spacing w:line="240" w:lineRule="auto"/>
              <w:ind w:firstLine="0" w:firstLineChars="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2662555" cy="1997075"/>
                  <wp:effectExtent l="0" t="0" r="4445" b="3175"/>
                  <wp:docPr id="46" name="图片 46" descr="f86e7479296e2281e3246d3a3f1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f86e7479296e2281e3246d3a3f16581"/>
                          <pic:cNvPicPr>
                            <a:picLocks noChangeAspect="1"/>
                          </pic:cNvPicPr>
                        </pic:nvPicPr>
                        <pic:blipFill>
                          <a:blip r:embed="rId31"/>
                          <a:stretch>
                            <a:fillRect/>
                          </a:stretch>
                        </pic:blipFill>
                        <pic:spPr>
                          <a:xfrm>
                            <a:off x="0" y="0"/>
                            <a:ext cx="2662555" cy="1997075"/>
                          </a:xfrm>
                          <a:prstGeom prst="rect">
                            <a:avLst/>
                          </a:prstGeom>
                        </pic:spPr>
                      </pic:pic>
                    </a:graphicData>
                  </a:graphic>
                </wp:inline>
              </w:drawing>
            </w:r>
          </w:p>
        </w:tc>
        <w:tc>
          <w:tcPr>
            <w:tcW w:w="2533" w:type="pct"/>
            <w:vAlign w:val="center"/>
          </w:tcPr>
          <w:p w14:paraId="6A1468CD">
            <w:pPr>
              <w:spacing w:line="240" w:lineRule="auto"/>
              <w:ind w:firstLine="0" w:firstLineChars="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2713990" cy="2035175"/>
                  <wp:effectExtent l="0" t="0" r="10160" b="3175"/>
                  <wp:docPr id="51" name="图片 51" descr="617bfb6fe5c14090f5d30dc3d5525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617bfb6fe5c14090f5d30dc3d55257f"/>
                          <pic:cNvPicPr>
                            <a:picLocks noChangeAspect="1"/>
                          </pic:cNvPicPr>
                        </pic:nvPicPr>
                        <pic:blipFill>
                          <a:blip r:embed="rId32"/>
                          <a:stretch>
                            <a:fillRect/>
                          </a:stretch>
                        </pic:blipFill>
                        <pic:spPr>
                          <a:xfrm>
                            <a:off x="0" y="0"/>
                            <a:ext cx="2713990" cy="2035175"/>
                          </a:xfrm>
                          <a:prstGeom prst="rect">
                            <a:avLst/>
                          </a:prstGeom>
                        </pic:spPr>
                      </pic:pic>
                    </a:graphicData>
                  </a:graphic>
                </wp:inline>
              </w:drawing>
            </w:r>
          </w:p>
        </w:tc>
      </w:tr>
      <w:tr w14:paraId="30B3D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000" w:type="pct"/>
            <w:gridSpan w:val="2"/>
            <w:vAlign w:val="center"/>
          </w:tcPr>
          <w:p w14:paraId="0A31951E">
            <w:pPr>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项目现有锅炉房照片</w:t>
            </w:r>
          </w:p>
        </w:tc>
      </w:tr>
      <w:tr w14:paraId="241C7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2467" w:type="pct"/>
            <w:vAlign w:val="center"/>
          </w:tcPr>
          <w:p w14:paraId="33697AD9">
            <w:pPr>
              <w:spacing w:line="240" w:lineRule="auto"/>
              <w:ind w:firstLine="0" w:firstLineChars="0"/>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drawing>
                <wp:inline distT="0" distB="0" distL="114300" distR="114300">
                  <wp:extent cx="2743200" cy="2057400"/>
                  <wp:effectExtent l="0" t="0" r="0" b="0"/>
                  <wp:docPr id="47" name="图片 47" descr="0d07395878b0ece8f30a9d101a550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d07395878b0ece8f30a9d101a5505e"/>
                          <pic:cNvPicPr>
                            <a:picLocks noChangeAspect="1"/>
                          </pic:cNvPicPr>
                        </pic:nvPicPr>
                        <pic:blipFill>
                          <a:blip r:embed="rId33"/>
                          <a:stretch>
                            <a:fillRect/>
                          </a:stretch>
                        </pic:blipFill>
                        <pic:spPr>
                          <a:xfrm>
                            <a:off x="0" y="0"/>
                            <a:ext cx="2743200" cy="2057400"/>
                          </a:xfrm>
                          <a:prstGeom prst="rect">
                            <a:avLst/>
                          </a:prstGeom>
                        </pic:spPr>
                      </pic:pic>
                    </a:graphicData>
                  </a:graphic>
                </wp:inline>
              </w:drawing>
            </w:r>
          </w:p>
        </w:tc>
        <w:tc>
          <w:tcPr>
            <w:tcW w:w="2533" w:type="pct"/>
            <w:vAlign w:val="center"/>
          </w:tcPr>
          <w:p w14:paraId="40F8FDCA">
            <w:pPr>
              <w:spacing w:line="240" w:lineRule="auto"/>
              <w:ind w:firstLine="0" w:firstLineChars="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2765425" cy="2073910"/>
                  <wp:effectExtent l="0" t="0" r="15875" b="2540"/>
                  <wp:docPr id="48" name="图片 48" descr="20777b8526ccc82aa09d07e5186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777b8526ccc82aa09d07e51860507"/>
                          <pic:cNvPicPr>
                            <a:picLocks noChangeAspect="1"/>
                          </pic:cNvPicPr>
                        </pic:nvPicPr>
                        <pic:blipFill>
                          <a:blip r:embed="rId34"/>
                          <a:stretch>
                            <a:fillRect/>
                          </a:stretch>
                        </pic:blipFill>
                        <pic:spPr>
                          <a:xfrm>
                            <a:off x="0" y="0"/>
                            <a:ext cx="2765425" cy="2073910"/>
                          </a:xfrm>
                          <a:prstGeom prst="rect">
                            <a:avLst/>
                          </a:prstGeom>
                        </pic:spPr>
                      </pic:pic>
                    </a:graphicData>
                  </a:graphic>
                </wp:inline>
              </w:drawing>
            </w:r>
          </w:p>
        </w:tc>
      </w:tr>
      <w:tr w14:paraId="72702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467" w:type="pct"/>
            <w:vAlign w:val="center"/>
          </w:tcPr>
          <w:p w14:paraId="545833B9">
            <w:pPr>
              <w:spacing w:line="240" w:lineRule="auto"/>
              <w:ind w:firstLine="0" w:firstLineChars="0"/>
              <w:jc w:val="center"/>
              <w:rPr>
                <w:rFonts w:hint="default" w:ascii="Times New Roman" w:hAnsi="Times New Roman" w:cs="Times New Roman"/>
                <w:color w:val="auto"/>
              </w:rPr>
            </w:pPr>
            <w:r>
              <w:rPr>
                <w:rFonts w:hint="eastAsia" w:cs="Times New Roman"/>
                <w:b/>
                <w:bCs/>
                <w:color w:val="auto"/>
                <w:lang w:val="en-US" w:eastAsia="zh-CN"/>
              </w:rPr>
              <w:t>拟新增锅炉用房</w:t>
            </w:r>
          </w:p>
        </w:tc>
        <w:tc>
          <w:tcPr>
            <w:tcW w:w="2533" w:type="pct"/>
            <w:vAlign w:val="center"/>
          </w:tcPr>
          <w:p w14:paraId="435F9FB9">
            <w:pPr>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厂区西</w:t>
            </w:r>
            <w:r>
              <w:rPr>
                <w:rFonts w:hint="default" w:ascii="Times New Roman" w:hAnsi="Times New Roman" w:cs="Times New Roman"/>
                <w:b/>
                <w:bCs/>
                <w:color w:val="auto"/>
              </w:rPr>
              <w:t>侧</w:t>
            </w:r>
          </w:p>
        </w:tc>
      </w:tr>
      <w:tr w14:paraId="6DB7B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pct"/>
            <w:vAlign w:val="center"/>
          </w:tcPr>
          <w:p w14:paraId="6789046A">
            <w:pPr>
              <w:spacing w:line="240" w:lineRule="auto"/>
              <w:ind w:firstLine="0" w:firstLineChars="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2662555" cy="1997075"/>
                  <wp:effectExtent l="0" t="0" r="4445" b="3175"/>
                  <wp:docPr id="50" name="图片 50" descr="47ec5c886e7844d0e49367200c6c1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47ec5c886e7844d0e49367200c6c1f2"/>
                          <pic:cNvPicPr>
                            <a:picLocks noChangeAspect="1"/>
                          </pic:cNvPicPr>
                        </pic:nvPicPr>
                        <pic:blipFill>
                          <a:blip r:embed="rId35"/>
                          <a:stretch>
                            <a:fillRect/>
                          </a:stretch>
                        </pic:blipFill>
                        <pic:spPr>
                          <a:xfrm>
                            <a:off x="0" y="0"/>
                            <a:ext cx="2662555" cy="1997075"/>
                          </a:xfrm>
                          <a:prstGeom prst="rect">
                            <a:avLst/>
                          </a:prstGeom>
                        </pic:spPr>
                      </pic:pic>
                    </a:graphicData>
                  </a:graphic>
                </wp:inline>
              </w:drawing>
            </w:r>
          </w:p>
        </w:tc>
        <w:tc>
          <w:tcPr>
            <w:tcW w:w="2533" w:type="pct"/>
            <w:vAlign w:val="center"/>
          </w:tcPr>
          <w:p w14:paraId="6AD4C44A">
            <w:pPr>
              <w:spacing w:line="240" w:lineRule="auto"/>
              <w:ind w:firstLine="0" w:firstLineChars="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2765425" cy="2073910"/>
                  <wp:effectExtent l="0" t="0" r="15875" b="2540"/>
                  <wp:docPr id="49" name="图片 49" descr="ae1ef1270a9d162a03a3207c1b5c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ae1ef1270a9d162a03a3207c1b5ce43"/>
                          <pic:cNvPicPr>
                            <a:picLocks noChangeAspect="1"/>
                          </pic:cNvPicPr>
                        </pic:nvPicPr>
                        <pic:blipFill>
                          <a:blip r:embed="rId36"/>
                          <a:stretch>
                            <a:fillRect/>
                          </a:stretch>
                        </pic:blipFill>
                        <pic:spPr>
                          <a:xfrm>
                            <a:off x="0" y="0"/>
                            <a:ext cx="2765425" cy="2073910"/>
                          </a:xfrm>
                          <a:prstGeom prst="rect">
                            <a:avLst/>
                          </a:prstGeom>
                        </pic:spPr>
                      </pic:pic>
                    </a:graphicData>
                  </a:graphic>
                </wp:inline>
              </w:drawing>
            </w:r>
          </w:p>
        </w:tc>
      </w:tr>
      <w:tr w14:paraId="50A00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467" w:type="pct"/>
            <w:vAlign w:val="center"/>
          </w:tcPr>
          <w:p w14:paraId="4C0A47E7">
            <w:pPr>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厂区南</w:t>
            </w:r>
            <w:r>
              <w:rPr>
                <w:rFonts w:hint="default" w:ascii="Times New Roman" w:hAnsi="Times New Roman" w:cs="Times New Roman"/>
                <w:b/>
                <w:bCs/>
                <w:color w:val="auto"/>
              </w:rPr>
              <w:t>侧</w:t>
            </w:r>
          </w:p>
        </w:tc>
        <w:tc>
          <w:tcPr>
            <w:tcW w:w="2533" w:type="pct"/>
            <w:vAlign w:val="center"/>
          </w:tcPr>
          <w:p w14:paraId="259FFB5E">
            <w:pPr>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厂区</w:t>
            </w:r>
            <w:r>
              <w:rPr>
                <w:rFonts w:hint="default" w:ascii="Times New Roman" w:hAnsi="Times New Roman" w:cs="Times New Roman"/>
                <w:b/>
                <w:bCs/>
                <w:color w:val="auto"/>
              </w:rPr>
              <w:t>东侧</w:t>
            </w:r>
          </w:p>
        </w:tc>
      </w:tr>
    </w:tbl>
    <w:p w14:paraId="6AE38EEC">
      <w:pPr>
        <w:ind w:firstLine="480"/>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14:paraId="5AF2A33B">
      <w:pPr>
        <w:pStyle w:val="4"/>
        <w:numPr>
          <w:ilvl w:val="1"/>
          <w:numId w:val="0"/>
        </w:numPr>
        <w:spacing w:before="20" w:after="0" w:line="240" w:lineRule="auto"/>
        <w:rPr>
          <w:rFonts w:hint="default" w:ascii="Times New Roman" w:hAnsi="Times New Roman" w:cs="Times New Roman"/>
          <w:color w:val="auto"/>
        </w:rPr>
      </w:pPr>
      <w:bookmarkStart w:id="53" w:name="_Toc25147"/>
      <w:r>
        <w:rPr>
          <w:rFonts w:hint="default" w:ascii="Times New Roman" w:hAnsi="Times New Roman" w:cs="Times New Roman"/>
          <w:color w:val="auto"/>
        </w:rPr>
        <w:t>附图4：项目厂区平面布置图</w:t>
      </w:r>
      <w:bookmarkEnd w:id="53"/>
    </w:p>
    <w:p w14:paraId="2947FAA0">
      <w:pPr>
        <w:ind w:firstLine="0" w:firstLineChars="0"/>
        <w:jc w:val="center"/>
        <w:rPr>
          <w:rFonts w:hint="default" w:ascii="Times New Roman" w:hAnsi="Times New Roman" w:cs="Times New Roman"/>
          <w:color w:val="auto"/>
        </w:rPr>
      </w:pPr>
      <w:r>
        <w:drawing>
          <wp:inline distT="0" distB="0" distL="114300" distR="114300">
            <wp:extent cx="5614035" cy="6638925"/>
            <wp:effectExtent l="0" t="0" r="5715" b="9525"/>
            <wp:docPr id="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2"/>
                    <pic:cNvPicPr>
                      <a:picLocks noChangeAspect="1"/>
                    </pic:cNvPicPr>
                  </pic:nvPicPr>
                  <pic:blipFill>
                    <a:blip r:embed="rId37"/>
                    <a:stretch>
                      <a:fillRect/>
                    </a:stretch>
                  </pic:blipFill>
                  <pic:spPr>
                    <a:xfrm>
                      <a:off x="0" y="0"/>
                      <a:ext cx="5614035" cy="6638925"/>
                    </a:xfrm>
                    <a:prstGeom prst="rect">
                      <a:avLst/>
                    </a:prstGeom>
                    <a:noFill/>
                    <a:ln>
                      <a:noFill/>
                    </a:ln>
                  </pic:spPr>
                </pic:pic>
              </a:graphicData>
            </a:graphic>
          </wp:inline>
        </w:drawing>
      </w:r>
    </w:p>
    <w:p w14:paraId="74ABBAA6">
      <w:pPr>
        <w:pStyle w:val="2"/>
        <w:rPr>
          <w:rFonts w:hint="default"/>
        </w:rPr>
        <w:sectPr>
          <w:pgSz w:w="11906" w:h="16838"/>
          <w:pgMar w:top="1701" w:right="1531" w:bottom="1701" w:left="1531" w:header="851" w:footer="851" w:gutter="0"/>
          <w:cols w:space="720" w:num="1"/>
          <w:docGrid w:linePitch="326" w:charSpace="0"/>
        </w:sectPr>
      </w:pPr>
    </w:p>
    <w:p w14:paraId="0AE3BB9A">
      <w:pPr>
        <w:pStyle w:val="4"/>
        <w:numPr>
          <w:ilvl w:val="1"/>
          <w:numId w:val="0"/>
        </w:numPr>
        <w:spacing w:before="20" w:after="0" w:line="240" w:lineRule="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附图</w:t>
      </w:r>
      <w:r>
        <w:rPr>
          <w:rFonts w:hint="eastAsia" w:cs="Times New Roman"/>
          <w:color w:val="auto"/>
          <w:lang w:val="en-US" w:eastAsia="zh-CN"/>
        </w:rPr>
        <w:t>6</w:t>
      </w:r>
      <w:r>
        <w:rPr>
          <w:rFonts w:hint="eastAsia" w:ascii="Times New Roman" w:hAnsi="Times New Roman" w:eastAsia="宋体" w:cs="Times New Roman"/>
          <w:color w:val="auto"/>
          <w:lang w:val="en-US" w:eastAsia="zh-CN"/>
        </w:rPr>
        <w:t>：锅炉房平面布置图</w:t>
      </w:r>
    </w:p>
    <w:p w14:paraId="4E8D770E">
      <w:pPr>
        <w:rPr>
          <w:rFonts w:hint="eastAsia" w:ascii="Times New Roman" w:hAnsi="Times New Roman" w:eastAsia="宋体" w:cs="Times New Roman"/>
          <w:color w:val="auto"/>
          <w:lang w:val="en-US" w:eastAsia="zh-CN"/>
        </w:rPr>
      </w:pPr>
    </w:p>
    <w:p w14:paraId="4A38C108">
      <w:pPr>
        <w:pStyle w:val="2"/>
        <w:rPr>
          <w:rFonts w:hint="default"/>
          <w:lang w:val="en-US" w:eastAsia="zh-CN"/>
        </w:rPr>
        <w:sectPr>
          <w:pgSz w:w="23811" w:h="16838" w:orient="landscape"/>
          <w:pgMar w:top="1531" w:right="1701" w:bottom="1531" w:left="1701" w:header="851" w:footer="851" w:gutter="0"/>
          <w:cols w:space="720" w:num="1"/>
          <w:docGrid w:linePitch="326" w:charSpace="0"/>
        </w:sectPr>
      </w:pPr>
      <w:r>
        <w:rPr>
          <w:rFonts w:hint="default"/>
          <w:lang w:val="en-US" w:eastAsia="zh-CN"/>
        </w:rPr>
        <w:drawing>
          <wp:inline distT="0" distB="0" distL="114300" distR="114300">
            <wp:extent cx="11364595" cy="8034655"/>
            <wp:effectExtent l="0" t="0" r="8255" b="4445"/>
            <wp:docPr id="71" name="图片 71" descr="25bd3db558f19edd36c41fedac20a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5bd3db558f19edd36c41fedac20a1a"/>
                    <pic:cNvPicPr>
                      <a:picLocks noChangeAspect="1"/>
                    </pic:cNvPicPr>
                  </pic:nvPicPr>
                  <pic:blipFill>
                    <a:blip r:embed="rId38"/>
                    <a:stretch>
                      <a:fillRect/>
                    </a:stretch>
                  </pic:blipFill>
                  <pic:spPr>
                    <a:xfrm>
                      <a:off x="0" y="0"/>
                      <a:ext cx="11364595" cy="8034655"/>
                    </a:xfrm>
                    <a:prstGeom prst="rect">
                      <a:avLst/>
                    </a:prstGeom>
                  </pic:spPr>
                </pic:pic>
              </a:graphicData>
            </a:graphic>
          </wp:inline>
        </w:drawing>
      </w:r>
    </w:p>
    <w:p w14:paraId="4F4C193D">
      <w:pPr>
        <w:pStyle w:val="4"/>
        <w:numPr>
          <w:ilvl w:val="1"/>
          <w:numId w:val="0"/>
        </w:numPr>
        <w:spacing w:before="20" w:after="0" w:line="240" w:lineRule="auto"/>
        <w:rPr>
          <w:rFonts w:hint="default" w:ascii="Times New Roman" w:hAnsi="Times New Roman" w:cs="Times New Roman"/>
          <w:color w:val="auto"/>
        </w:rPr>
      </w:pPr>
      <w:r>
        <w:rPr>
          <w:rFonts w:hint="default" w:ascii="Times New Roman" w:hAnsi="Times New Roman" w:cs="Times New Roman"/>
          <w:color w:val="auto"/>
        </w:rPr>
        <w:t>附图</w:t>
      </w:r>
      <w:r>
        <w:rPr>
          <w:rFonts w:hint="eastAsia" w:cs="Times New Roman"/>
          <w:color w:val="auto"/>
          <w:lang w:val="en-US" w:eastAsia="zh-CN"/>
        </w:rPr>
        <w:t>7</w:t>
      </w:r>
      <w:r>
        <w:rPr>
          <w:rFonts w:hint="default" w:ascii="Times New Roman" w:hAnsi="Times New Roman" w:cs="Times New Roman"/>
          <w:color w:val="auto"/>
        </w:rPr>
        <w:t>：项目在闽侯县总体规划中的位置</w:t>
      </w:r>
    </w:p>
    <w:p w14:paraId="1A980667">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mc:AlternateContent>
          <mc:Choice Requires="wpg">
            <w:drawing>
              <wp:anchor distT="0" distB="0" distL="114300" distR="114300" simplePos="0" relativeHeight="251662336" behindDoc="0" locked="0" layoutInCell="1" allowOverlap="1">
                <wp:simplePos x="0" y="0"/>
                <wp:positionH relativeFrom="column">
                  <wp:posOffset>4326255</wp:posOffset>
                </wp:positionH>
                <wp:positionV relativeFrom="paragraph">
                  <wp:posOffset>2471420</wp:posOffset>
                </wp:positionV>
                <wp:extent cx="1445895" cy="724535"/>
                <wp:effectExtent l="15875" t="5080" r="5080" b="13335"/>
                <wp:wrapNone/>
                <wp:docPr id="58" name="组合 58"/>
                <wp:cNvGraphicFramePr/>
                <a:graphic xmlns:a="http://schemas.openxmlformats.org/drawingml/2006/main">
                  <a:graphicData uri="http://schemas.microsoft.com/office/word/2010/wordprocessingGroup">
                    <wpg:wgp>
                      <wpg:cNvGrpSpPr/>
                      <wpg:grpSpPr>
                        <a:xfrm>
                          <a:off x="0" y="0"/>
                          <a:ext cx="1445895" cy="724535"/>
                          <a:chOff x="0" y="0"/>
                          <a:chExt cx="2277" cy="1141"/>
                        </a:xfrm>
                      </wpg:grpSpPr>
                      <wps:wsp>
                        <wps:cNvPr id="59" name="AutoShape 269"/>
                        <wps:cNvSpPr/>
                        <wps:spPr>
                          <a:xfrm>
                            <a:off x="0" y="971"/>
                            <a:ext cx="198" cy="170"/>
                          </a:xfrm>
                          <a:prstGeom prst="star5">
                            <a:avLst/>
                          </a:prstGeom>
                          <a:solidFill>
                            <a:srgbClr val="FF0000"/>
                          </a:solidFill>
                          <a:ln w="9525" cap="flat" cmpd="sng">
                            <a:solidFill>
                              <a:srgbClr val="000000"/>
                            </a:solidFill>
                            <a:prstDash val="solid"/>
                            <a:miter/>
                            <a:headEnd type="none" w="med" len="med"/>
                            <a:tailEnd type="none" w="med" len="med"/>
                          </a:ln>
                        </wps:spPr>
                        <wps:bodyPr upright="1"/>
                      </wps:wsp>
                      <wps:wsp>
                        <wps:cNvPr id="60" name="AutoShape 270"/>
                        <wps:cNvSpPr/>
                        <wps:spPr>
                          <a:xfrm>
                            <a:off x="678" y="0"/>
                            <a:ext cx="1599" cy="493"/>
                          </a:xfrm>
                          <a:prstGeom prst="wedgeRoundRectCallout">
                            <a:avLst>
                              <a:gd name="adj1" fmla="val -83019"/>
                              <a:gd name="adj2" fmla="val 175056"/>
                              <a:gd name="adj3" fmla="val 16667"/>
                            </a:avLst>
                          </a:prstGeom>
                          <a:solidFill>
                            <a:srgbClr val="FFFF00"/>
                          </a:solidFill>
                          <a:ln w="9525" cap="flat" cmpd="sng">
                            <a:solidFill>
                              <a:srgbClr val="000000"/>
                            </a:solidFill>
                            <a:prstDash val="solid"/>
                            <a:miter/>
                            <a:headEnd type="none" w="med" len="med"/>
                            <a:tailEnd type="none" w="med" len="med"/>
                          </a:ln>
                        </wps:spPr>
                        <wps:txbx>
                          <w:txbxContent>
                            <w:p w14:paraId="7AC329B8">
                              <w:pPr>
                                <w:spacing w:line="240" w:lineRule="auto"/>
                                <w:ind w:firstLine="0" w:firstLineChars="0"/>
                                <w:jc w:val="center"/>
                                <w:rPr>
                                  <w:b/>
                                  <w:color w:val="000000"/>
                                </w:rPr>
                              </w:pPr>
                              <w:r>
                                <w:rPr>
                                  <w:rFonts w:hint="eastAsia" w:cs="宋体"/>
                                  <w:b/>
                                  <w:color w:val="000000"/>
                                  <w:lang w:bidi="ar"/>
                                </w:rPr>
                                <w:t>项目位置</w:t>
                              </w:r>
                            </w:p>
                          </w:txbxContent>
                        </wps:txbx>
                        <wps:bodyPr upright="1"/>
                      </wps:wsp>
                    </wpg:wgp>
                  </a:graphicData>
                </a:graphic>
              </wp:anchor>
            </w:drawing>
          </mc:Choice>
          <mc:Fallback>
            <w:pict>
              <v:group id="_x0000_s1026" o:spid="_x0000_s1026" o:spt="203" style="position:absolute;left:0pt;margin-left:340.65pt;margin-top:194.6pt;height:57.05pt;width:113.85pt;z-index:251662336;mso-width-relative:page;mso-height-relative:page;" coordsize="2277,1141" o:gfxdata="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FMVQt/bAAAACwEAAA8AAAAAAAAA&#10;AQAgAAAAIgAAAGRycy9kb3ducmV2LnhtbFBLAQIUABQAAAAIAIdO4kBt5Wws8gIAACEIAAAOAAAA&#10;AAAAAAEAIAAAACoBAABkcnMvZTJvRG9jLnhtbFBLBQYAAAAABgAGAFkBAACOBgAAAAA=&#10;">
                <o:lock v:ext="edit" aspectratio="f"/>
                <v:shape id="AutoShape 269" o:spid="_x0000_s1026" style="position:absolute;left:0;top:971;height:170;width:198;" fillcolor="#FF0000" filled="t" stroked="t" coordsize="198,170" o:gfxdata="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gNj7ugAAANsA&#10;AAAPAAAAAAAAAAEAIAAAACIAAABkcnMvZG93bnJldi54bWxQSwECFAAUAAAACACHTuJAMy8FnjsA&#10;AAA5AAAAEAAAAAAAAAABACAAAAAJAQAAZHJzL3NoYXBleG1sLnhtbFBLBQYAAAAABgAGAFsBAACz&#10;AwAAAAA=&#10;" path="m0,64l75,64,99,0,122,64,197,64,136,105,160,169,99,129,37,169,61,105xe">
                  <v:path o:connectlocs="99,0;0,64;37,169;160,169;197,64" o:connectangles="247,164,82,82,0"/>
                  <v:fill on="t" focussize="0,0"/>
                  <v:stroke color="#000000" joinstyle="miter"/>
                  <v:imagedata o:title=""/>
                  <o:lock v:ext="edit" aspectratio="f"/>
                </v:shape>
                <v:shape id="AutoShape 270" o:spid="_x0000_s1026" o:spt="62" type="#_x0000_t62" style="position:absolute;left:678;top:0;height:493;width:1599;" fillcolor="#FFFF00" filled="t" stroked="t" coordsize="21600,21600" o:gfxdata="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croDugAAANsA&#10;AAAPAAAAAAAAAAEAIAAAACIAAABkcnMvZG93bnJldi54bWxQSwECFAAUAAAACACHTuJAMy8FnjsA&#10;AAA5AAAAEAAAAAAAAAABACAAAAAJAQAAZHJzL3NoYXBleG1sLnhtbFBLBQYAAAAABgAGAFsBAACz&#10;AwAAAAA=&#10;" adj="-7132,48612,14400">
                  <v:fill on="t" focussize="0,0"/>
                  <v:stroke color="#000000" joinstyle="miter"/>
                  <v:imagedata o:title=""/>
                  <o:lock v:ext="edit" aspectratio="f"/>
                  <v:textbox>
                    <w:txbxContent>
                      <w:p w14:paraId="7AC329B8">
                        <w:pPr>
                          <w:spacing w:line="240" w:lineRule="auto"/>
                          <w:ind w:firstLine="0" w:firstLineChars="0"/>
                          <w:jc w:val="center"/>
                          <w:rPr>
                            <w:b/>
                            <w:color w:val="000000"/>
                          </w:rPr>
                        </w:pPr>
                        <w:r>
                          <w:rPr>
                            <w:rFonts w:hint="eastAsia" w:cs="宋体"/>
                            <w:b/>
                            <w:color w:val="000000"/>
                            <w:lang w:bidi="ar"/>
                          </w:rPr>
                          <w:t>项目位置</w:t>
                        </w:r>
                      </w:p>
                    </w:txbxContent>
                  </v:textbox>
                </v:shape>
              </v:group>
            </w:pict>
          </mc:Fallback>
        </mc:AlternateContent>
      </w:r>
      <w:r>
        <w:rPr>
          <w:rFonts w:hint="default" w:ascii="Times New Roman" w:hAnsi="Times New Roman" w:cs="Times New Roman"/>
          <w:color w:val="auto"/>
        </w:rPr>
        <w:drawing>
          <wp:inline distT="0" distB="0" distL="0" distR="0">
            <wp:extent cx="7406640" cy="5212080"/>
            <wp:effectExtent l="0" t="0" r="3810" b="7620"/>
            <wp:docPr id="57" name="图片 57" descr="闽侯县城区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闽侯县城区规划图"/>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7406640" cy="5212080"/>
                    </a:xfrm>
                    <a:prstGeom prst="rect">
                      <a:avLst/>
                    </a:prstGeom>
                    <a:noFill/>
                    <a:ln>
                      <a:noFill/>
                    </a:ln>
                    <a:effectLst/>
                  </pic:spPr>
                </pic:pic>
              </a:graphicData>
            </a:graphic>
          </wp:inline>
        </w:drawing>
      </w:r>
    </w:p>
    <w:p w14:paraId="4424AD0D">
      <w:pPr>
        <w:pStyle w:val="12"/>
        <w:ind w:firstLine="360"/>
        <w:rPr>
          <w:rFonts w:hint="default" w:ascii="Times New Roman" w:hAnsi="Times New Roman" w:cs="Times New Roman"/>
          <w:color w:val="auto"/>
        </w:rPr>
        <w:sectPr>
          <w:pgSz w:w="16838" w:h="11906" w:orient="landscape"/>
          <w:pgMar w:top="1531" w:right="1701" w:bottom="1531" w:left="1701" w:header="851" w:footer="851" w:gutter="0"/>
          <w:cols w:space="720" w:num="1"/>
          <w:docGrid w:linePitch="312" w:charSpace="0"/>
        </w:sectPr>
      </w:pPr>
    </w:p>
    <w:p w14:paraId="706FB1C0">
      <w:pPr>
        <w:pStyle w:val="4"/>
        <w:numPr>
          <w:ilvl w:val="1"/>
          <w:numId w:val="0"/>
        </w:numPr>
        <w:rPr>
          <w:rFonts w:hint="default" w:ascii="Times New Roman" w:hAnsi="Times New Roman" w:cs="Times New Roman"/>
          <w:color w:val="auto"/>
        </w:rPr>
      </w:pPr>
      <w:bookmarkStart w:id="54" w:name="_Toc5345"/>
      <w:r>
        <w:rPr>
          <w:rFonts w:hint="default" w:ascii="Times New Roman" w:hAnsi="Times New Roman" w:cs="Times New Roman"/>
          <w:color w:val="auto"/>
        </w:rPr>
        <w:t>附件1：委托书</w:t>
      </w:r>
      <w:bookmarkEnd w:id="54"/>
    </w:p>
    <w:p w14:paraId="69B7259E">
      <w:pPr>
        <w:keepNext w:val="0"/>
        <w:keepLines w:val="0"/>
        <w:pageBreakBefore w:val="0"/>
        <w:widowControl w:val="0"/>
        <w:kinsoku/>
        <w:wordWrap/>
        <w:overflowPunct/>
        <w:topLinePunct w:val="0"/>
        <w:autoSpaceDE/>
        <w:autoSpaceDN/>
        <w:bidi w:val="0"/>
        <w:adjustRightInd/>
        <w:snapToGrid/>
        <w:ind w:right="240" w:rightChars="100" w:firstLine="0" w:firstLineChars="0"/>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608955" cy="7388860"/>
            <wp:effectExtent l="0" t="0" r="10795" b="2540"/>
            <wp:docPr id="56" name="图片 56" descr="f34a0707f54d1fc9d56864a69c4c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f34a0707f54d1fc9d56864a69c4c337"/>
                    <pic:cNvPicPr>
                      <a:picLocks noChangeAspect="1"/>
                    </pic:cNvPicPr>
                  </pic:nvPicPr>
                  <pic:blipFill>
                    <a:blip r:embed="rId40"/>
                    <a:srcRect b="6957"/>
                    <a:stretch>
                      <a:fillRect/>
                    </a:stretch>
                  </pic:blipFill>
                  <pic:spPr>
                    <a:xfrm>
                      <a:off x="0" y="0"/>
                      <a:ext cx="5608955" cy="7388860"/>
                    </a:xfrm>
                    <a:prstGeom prst="rect">
                      <a:avLst/>
                    </a:prstGeom>
                  </pic:spPr>
                </pic:pic>
              </a:graphicData>
            </a:graphic>
          </wp:inline>
        </w:drawing>
      </w:r>
    </w:p>
    <w:p w14:paraId="4A4897CA">
      <w:pPr>
        <w:pStyle w:val="12"/>
        <w:ind w:firstLine="360"/>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14:paraId="550DA9B9">
      <w:pPr>
        <w:pStyle w:val="4"/>
        <w:numPr>
          <w:ilvl w:val="1"/>
          <w:numId w:val="0"/>
        </w:numPr>
        <w:rPr>
          <w:rFonts w:hint="eastAsia" w:ascii="Times New Roman" w:hAnsi="Times New Roman" w:cs="Times New Roman"/>
          <w:color w:val="auto"/>
          <w:lang w:val="en-US" w:eastAsia="zh-CN"/>
        </w:rPr>
      </w:pPr>
      <w:r>
        <w:rPr>
          <w:rFonts w:hint="default" w:ascii="Times New Roman" w:hAnsi="Times New Roman" w:cs="Times New Roman"/>
          <w:color w:val="auto"/>
        </w:rPr>
        <w:t>附件</w:t>
      </w:r>
      <w:r>
        <w:rPr>
          <w:rFonts w:hint="eastAsia" w:ascii="Times New Roman" w:hAnsi="Times New Roman" w:cs="Times New Roman"/>
          <w:color w:val="auto"/>
          <w:lang w:val="en-US" w:eastAsia="zh-CN"/>
        </w:rPr>
        <w:t>2</w:t>
      </w:r>
      <w:r>
        <w:rPr>
          <w:rFonts w:hint="default" w:ascii="Times New Roman" w:hAnsi="Times New Roman" w:cs="Times New Roman"/>
          <w:color w:val="auto"/>
        </w:rPr>
        <w:t>：</w:t>
      </w:r>
      <w:r>
        <w:rPr>
          <w:rFonts w:hint="eastAsia" w:cs="Times New Roman"/>
          <w:color w:val="auto"/>
          <w:lang w:val="en-US" w:eastAsia="zh-CN"/>
        </w:rPr>
        <w:t>营业执照</w:t>
      </w:r>
    </w:p>
    <w:p w14:paraId="2D137B2A">
      <w:pPr>
        <w:pStyle w:val="12"/>
        <w:ind w:left="0" w:leftChars="0" w:firstLine="0" w:firstLineChars="0"/>
        <w:jc w:val="center"/>
        <w:rPr>
          <w:rFonts w:hint="eastAsia" w:ascii="Times New Roman" w:hAnsi="Times New Roman" w:eastAsia="宋体" w:cs="Times New Roman"/>
          <w:color w:val="auto"/>
          <w:lang w:eastAsia="zh-CN"/>
        </w:rPr>
        <w:sectPr>
          <w:pgSz w:w="11906" w:h="16838"/>
          <w:pgMar w:top="1701" w:right="1531" w:bottom="1701" w:left="1531" w:header="851" w:footer="851" w:gutter="0"/>
          <w:cols w:space="720" w:num="1"/>
          <w:docGrid w:linePitch="312" w:charSpace="0"/>
        </w:sectPr>
      </w:pPr>
      <w:r>
        <w:rPr>
          <w:rFonts w:hint="eastAsia" w:ascii="Times New Roman" w:hAnsi="Times New Roman" w:eastAsia="宋体" w:cs="Times New Roman"/>
          <w:color w:val="auto"/>
          <w:lang w:eastAsia="zh-CN"/>
        </w:rPr>
        <w:drawing>
          <wp:inline distT="0" distB="0" distL="114300" distR="114300">
            <wp:extent cx="5187315" cy="7336790"/>
            <wp:effectExtent l="0" t="0" r="13335" b="16510"/>
            <wp:docPr id="80" name="图片 80"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营业执照"/>
                    <pic:cNvPicPr>
                      <a:picLocks noChangeAspect="1"/>
                    </pic:cNvPicPr>
                  </pic:nvPicPr>
                  <pic:blipFill>
                    <a:blip r:embed="rId41"/>
                    <a:stretch>
                      <a:fillRect/>
                    </a:stretch>
                  </pic:blipFill>
                  <pic:spPr>
                    <a:xfrm>
                      <a:off x="0" y="0"/>
                      <a:ext cx="5187315" cy="7336790"/>
                    </a:xfrm>
                    <a:prstGeom prst="rect">
                      <a:avLst/>
                    </a:prstGeom>
                  </pic:spPr>
                </pic:pic>
              </a:graphicData>
            </a:graphic>
          </wp:inline>
        </w:drawing>
      </w:r>
    </w:p>
    <w:p w14:paraId="03F86B97">
      <w:pPr>
        <w:pStyle w:val="4"/>
        <w:numPr>
          <w:ilvl w:val="1"/>
          <w:numId w:val="0"/>
        </w:numPr>
        <w:spacing w:before="0" w:after="0" w:line="240" w:lineRule="auto"/>
        <w:rPr>
          <w:rFonts w:hint="eastAsia" w:ascii="Times New Roman" w:hAnsi="Times New Roman" w:eastAsia="宋体" w:cs="Times New Roman"/>
          <w:color w:val="auto"/>
          <w:lang w:eastAsia="zh-CN"/>
        </w:rPr>
      </w:pPr>
      <w:bookmarkStart w:id="55" w:name="_Toc12229"/>
      <w:r>
        <w:rPr>
          <w:rFonts w:hint="default" w:ascii="Times New Roman" w:hAnsi="Times New Roman" w:cs="Times New Roman"/>
          <w:color w:val="auto"/>
        </w:rPr>
        <w:t>附件</w:t>
      </w:r>
      <w:r>
        <w:rPr>
          <w:rFonts w:hint="eastAsia" w:cs="Times New Roman"/>
          <w:color w:val="auto"/>
          <w:lang w:val="en-US" w:eastAsia="zh-CN"/>
        </w:rPr>
        <w:t>3</w:t>
      </w:r>
      <w:r>
        <w:rPr>
          <w:rFonts w:hint="default" w:ascii="Times New Roman" w:hAnsi="Times New Roman" w:cs="Times New Roman"/>
          <w:color w:val="auto"/>
        </w:rPr>
        <w:t>：</w:t>
      </w:r>
      <w:bookmarkEnd w:id="55"/>
      <w:r>
        <w:rPr>
          <w:rFonts w:hint="eastAsia" w:cs="Times New Roman"/>
          <w:color w:val="auto"/>
          <w:lang w:eastAsia="zh-CN"/>
        </w:rPr>
        <w:t>法人身份证</w:t>
      </w:r>
    </w:p>
    <w:p w14:paraId="34026AB4">
      <w:pPr>
        <w:adjustRightInd w:val="0"/>
        <w:snapToGrid w:val="0"/>
        <w:ind w:firstLine="480"/>
        <w:jc w:val="center"/>
        <w:rPr>
          <w:rFonts w:hint="default" w:ascii="Times New Roman" w:hAnsi="Times New Roman" w:eastAsia="宋体" w:cs="Times New Roman"/>
          <w:color w:val="auto"/>
          <w:lang w:eastAsia="zh-CN"/>
        </w:rPr>
      </w:pPr>
    </w:p>
    <w:p w14:paraId="68F0D210">
      <w:pPr>
        <w:ind w:firstLine="480"/>
        <w:jc w:val="center"/>
        <w:rPr>
          <w:rFonts w:hint="eastAsia" w:ascii="Times New Roman" w:hAnsi="Times New Roman" w:eastAsia="宋体" w:cs="Times New Roman"/>
          <w:color w:val="auto"/>
          <w:lang w:eastAsia="zh-CN"/>
        </w:rPr>
        <w:sectPr>
          <w:pgSz w:w="11906" w:h="16838"/>
          <w:pgMar w:top="1701" w:right="1531" w:bottom="1701" w:left="1531" w:header="851" w:footer="851" w:gutter="0"/>
          <w:cols w:space="720" w:num="1"/>
          <w:docGrid w:linePitch="326" w:charSpace="0"/>
        </w:sectPr>
      </w:pPr>
      <w:r>
        <w:rPr>
          <w:rFonts w:hint="eastAsia" w:ascii="Times New Roman" w:hAnsi="Times New Roman" w:eastAsia="宋体" w:cs="Times New Roman"/>
          <w:color w:val="auto"/>
          <w:lang w:eastAsia="zh-CN"/>
        </w:rPr>
        <w:drawing>
          <wp:inline distT="0" distB="0" distL="114300" distR="114300">
            <wp:extent cx="5608955" cy="7931785"/>
            <wp:effectExtent l="0" t="0" r="10795" b="12065"/>
            <wp:docPr id="79" name="图片 79" descr="法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法人身份证"/>
                    <pic:cNvPicPr>
                      <a:picLocks noChangeAspect="1"/>
                    </pic:cNvPicPr>
                  </pic:nvPicPr>
                  <pic:blipFill>
                    <a:blip r:embed="rId42"/>
                    <a:stretch>
                      <a:fillRect/>
                    </a:stretch>
                  </pic:blipFill>
                  <pic:spPr>
                    <a:xfrm>
                      <a:off x="0" y="0"/>
                      <a:ext cx="5608955" cy="7931785"/>
                    </a:xfrm>
                    <a:prstGeom prst="rect">
                      <a:avLst/>
                    </a:prstGeom>
                  </pic:spPr>
                </pic:pic>
              </a:graphicData>
            </a:graphic>
          </wp:inline>
        </w:drawing>
      </w:r>
    </w:p>
    <w:p w14:paraId="368E732C">
      <w:pPr>
        <w:pStyle w:val="4"/>
        <w:numPr>
          <w:ilvl w:val="1"/>
          <w:numId w:val="0"/>
        </w:numPr>
        <w:spacing w:before="140"/>
        <w:rPr>
          <w:rFonts w:hint="eastAsia" w:ascii="Times New Roman" w:hAnsi="Times New Roman" w:eastAsia="宋体" w:cs="Times New Roman"/>
          <w:color w:val="auto"/>
          <w:lang w:eastAsia="zh-CN"/>
        </w:rPr>
      </w:pPr>
      <w:bookmarkStart w:id="56" w:name="_Toc23657"/>
      <w:r>
        <w:rPr>
          <w:rFonts w:hint="default" w:ascii="Times New Roman" w:hAnsi="Times New Roman" w:cs="Times New Roman"/>
          <w:color w:val="auto"/>
        </w:rPr>
        <w:t>附件</w:t>
      </w:r>
      <w:r>
        <w:rPr>
          <w:rFonts w:hint="eastAsia" w:cs="Times New Roman"/>
          <w:color w:val="auto"/>
          <w:lang w:val="en-US" w:eastAsia="zh-CN"/>
        </w:rPr>
        <w:t>4</w:t>
      </w:r>
      <w:r>
        <w:rPr>
          <w:rFonts w:hint="default" w:ascii="Times New Roman" w:hAnsi="Times New Roman" w:cs="Times New Roman"/>
          <w:color w:val="auto"/>
        </w:rPr>
        <w:t>：</w:t>
      </w:r>
      <w:bookmarkEnd w:id="56"/>
      <w:r>
        <w:rPr>
          <w:rFonts w:hint="eastAsia" w:cs="Times New Roman"/>
          <w:color w:val="auto"/>
          <w:lang w:eastAsia="zh-CN"/>
        </w:rPr>
        <w:t>噪声现状检测报告</w:t>
      </w:r>
    </w:p>
    <w:p w14:paraId="0F2610EC">
      <w:pPr>
        <w:ind w:left="0" w:leftChars="0" w:firstLine="0" w:firstLineChars="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615305" cy="7935595"/>
            <wp:effectExtent l="0" t="0" r="4445" b="8255"/>
            <wp:docPr id="72" name="图片 72" descr="211109-12 福建福老酒业有限公司锅炉改建项目(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11109-12 福建福老酒业有限公司锅炉改建项目(1)_00"/>
                    <pic:cNvPicPr>
                      <a:picLocks noChangeAspect="1"/>
                    </pic:cNvPicPr>
                  </pic:nvPicPr>
                  <pic:blipFill>
                    <a:blip r:embed="rId43"/>
                    <a:stretch>
                      <a:fillRect/>
                    </a:stretch>
                  </pic:blipFill>
                  <pic:spPr>
                    <a:xfrm>
                      <a:off x="0" y="0"/>
                      <a:ext cx="5615305" cy="7935595"/>
                    </a:xfrm>
                    <a:prstGeom prst="rect">
                      <a:avLst/>
                    </a:prstGeom>
                  </pic:spPr>
                </pic:pic>
              </a:graphicData>
            </a:graphic>
          </wp:inline>
        </w:drawing>
      </w:r>
    </w:p>
    <w:p w14:paraId="5CF13496">
      <w:pPr>
        <w:pStyle w:val="2"/>
        <w:rPr>
          <w:rFonts w:hint="default"/>
          <w:lang w:eastAsia="zh-CN"/>
        </w:rPr>
        <w:sectPr>
          <w:pgSz w:w="11906" w:h="16838"/>
          <w:pgMar w:top="1701" w:right="1531" w:bottom="1701" w:left="1531" w:header="851" w:footer="851" w:gutter="0"/>
          <w:cols w:space="720" w:num="1"/>
          <w:docGrid w:linePitch="312" w:charSpace="0"/>
        </w:sectPr>
      </w:pPr>
      <w:r>
        <w:rPr>
          <w:rFonts w:hint="default"/>
          <w:lang w:eastAsia="zh-CN"/>
        </w:rPr>
        <w:drawing>
          <wp:inline distT="0" distB="0" distL="114300" distR="114300">
            <wp:extent cx="5615305" cy="7935595"/>
            <wp:effectExtent l="0" t="0" r="4445" b="8255"/>
            <wp:docPr id="73" name="图片 73" descr="211109-12 福建福老酒业有限公司锅炉改建项目(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11109-12 福建福老酒业有限公司锅炉改建项目(1)_01"/>
                    <pic:cNvPicPr>
                      <a:picLocks noChangeAspect="1"/>
                    </pic:cNvPicPr>
                  </pic:nvPicPr>
                  <pic:blipFill>
                    <a:blip r:embed="rId44"/>
                    <a:stretch>
                      <a:fillRect/>
                    </a:stretch>
                  </pic:blipFill>
                  <pic:spPr>
                    <a:xfrm>
                      <a:off x="0" y="0"/>
                      <a:ext cx="5615305" cy="7935595"/>
                    </a:xfrm>
                    <a:prstGeom prst="rect">
                      <a:avLst/>
                    </a:prstGeom>
                  </pic:spPr>
                </pic:pic>
              </a:graphicData>
            </a:graphic>
          </wp:inline>
        </w:drawing>
      </w:r>
      <w:r>
        <w:rPr>
          <w:rFonts w:hint="default"/>
          <w:lang w:eastAsia="zh-CN"/>
        </w:rPr>
        <w:drawing>
          <wp:inline distT="0" distB="0" distL="114300" distR="114300">
            <wp:extent cx="5615305" cy="7935595"/>
            <wp:effectExtent l="0" t="0" r="4445" b="8255"/>
            <wp:docPr id="74" name="图片 74" descr="211109-12 福建福老酒业有限公司锅炉改建项目(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11109-12 福建福老酒业有限公司锅炉改建项目(1)_02"/>
                    <pic:cNvPicPr>
                      <a:picLocks noChangeAspect="1"/>
                    </pic:cNvPicPr>
                  </pic:nvPicPr>
                  <pic:blipFill>
                    <a:blip r:embed="rId45"/>
                    <a:stretch>
                      <a:fillRect/>
                    </a:stretch>
                  </pic:blipFill>
                  <pic:spPr>
                    <a:xfrm>
                      <a:off x="0" y="0"/>
                      <a:ext cx="5615305" cy="7935595"/>
                    </a:xfrm>
                    <a:prstGeom prst="rect">
                      <a:avLst/>
                    </a:prstGeom>
                  </pic:spPr>
                </pic:pic>
              </a:graphicData>
            </a:graphic>
          </wp:inline>
        </w:drawing>
      </w:r>
      <w:r>
        <w:rPr>
          <w:rFonts w:hint="default"/>
          <w:lang w:eastAsia="zh-CN"/>
        </w:rPr>
        <w:drawing>
          <wp:inline distT="0" distB="0" distL="114300" distR="114300">
            <wp:extent cx="5615305" cy="7935595"/>
            <wp:effectExtent l="0" t="0" r="4445" b="8255"/>
            <wp:docPr id="75" name="图片 75" descr="211109-12 福建福老酒业有限公司锅炉改建项目(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11109-12 福建福老酒业有限公司锅炉改建项目(1)_03"/>
                    <pic:cNvPicPr>
                      <a:picLocks noChangeAspect="1"/>
                    </pic:cNvPicPr>
                  </pic:nvPicPr>
                  <pic:blipFill>
                    <a:blip r:embed="rId46"/>
                    <a:stretch>
                      <a:fillRect/>
                    </a:stretch>
                  </pic:blipFill>
                  <pic:spPr>
                    <a:xfrm>
                      <a:off x="0" y="0"/>
                      <a:ext cx="5615305" cy="7935595"/>
                    </a:xfrm>
                    <a:prstGeom prst="rect">
                      <a:avLst/>
                    </a:prstGeom>
                  </pic:spPr>
                </pic:pic>
              </a:graphicData>
            </a:graphic>
          </wp:inline>
        </w:drawing>
      </w:r>
      <w:r>
        <w:rPr>
          <w:rFonts w:hint="default"/>
          <w:lang w:eastAsia="zh-CN"/>
        </w:rPr>
        <w:drawing>
          <wp:inline distT="0" distB="0" distL="114300" distR="114300">
            <wp:extent cx="5615305" cy="7935595"/>
            <wp:effectExtent l="0" t="0" r="4445" b="8255"/>
            <wp:docPr id="76" name="图片 76" descr="211109-12 福建福老酒业有限公司锅炉改建项目(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11109-12 福建福老酒业有限公司锅炉改建项目(1)_04"/>
                    <pic:cNvPicPr>
                      <a:picLocks noChangeAspect="1"/>
                    </pic:cNvPicPr>
                  </pic:nvPicPr>
                  <pic:blipFill>
                    <a:blip r:embed="rId47"/>
                    <a:stretch>
                      <a:fillRect/>
                    </a:stretch>
                  </pic:blipFill>
                  <pic:spPr>
                    <a:xfrm>
                      <a:off x="0" y="0"/>
                      <a:ext cx="5615305" cy="7935595"/>
                    </a:xfrm>
                    <a:prstGeom prst="rect">
                      <a:avLst/>
                    </a:prstGeom>
                  </pic:spPr>
                </pic:pic>
              </a:graphicData>
            </a:graphic>
          </wp:inline>
        </w:drawing>
      </w:r>
      <w:r>
        <w:rPr>
          <w:rFonts w:hint="default"/>
          <w:lang w:eastAsia="zh-CN"/>
        </w:rPr>
        <w:drawing>
          <wp:inline distT="0" distB="0" distL="114300" distR="114300">
            <wp:extent cx="5615305" cy="7935595"/>
            <wp:effectExtent l="0" t="0" r="4445" b="8255"/>
            <wp:docPr id="77" name="图片 77" descr="211109-12 福建福老酒业有限公司锅炉改建项目(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11109-12 福建福老酒业有限公司锅炉改建项目(1)_05"/>
                    <pic:cNvPicPr>
                      <a:picLocks noChangeAspect="1"/>
                    </pic:cNvPicPr>
                  </pic:nvPicPr>
                  <pic:blipFill>
                    <a:blip r:embed="rId48"/>
                    <a:stretch>
                      <a:fillRect/>
                    </a:stretch>
                  </pic:blipFill>
                  <pic:spPr>
                    <a:xfrm>
                      <a:off x="0" y="0"/>
                      <a:ext cx="5615305" cy="7935595"/>
                    </a:xfrm>
                    <a:prstGeom prst="rect">
                      <a:avLst/>
                    </a:prstGeom>
                  </pic:spPr>
                </pic:pic>
              </a:graphicData>
            </a:graphic>
          </wp:inline>
        </w:drawing>
      </w:r>
    </w:p>
    <w:p w14:paraId="5A42EB42">
      <w:pPr>
        <w:pStyle w:val="4"/>
        <w:numPr>
          <w:ilvl w:val="1"/>
          <w:numId w:val="0"/>
        </w:numPr>
        <w:spacing w:before="140" w:after="0"/>
        <w:rPr>
          <w:rFonts w:hint="eastAsia" w:cs="Times New Roman"/>
          <w:color w:val="auto"/>
          <w:lang w:val="en-US" w:eastAsia="zh-CN"/>
        </w:rPr>
      </w:pPr>
      <w:r>
        <w:rPr>
          <w:rFonts w:hint="default" w:ascii="Times New Roman" w:hAnsi="Times New Roman" w:cs="Times New Roman"/>
          <w:color w:val="auto"/>
        </w:rPr>
        <w:t>附件</w:t>
      </w:r>
      <w:r>
        <w:rPr>
          <w:rFonts w:hint="eastAsia" w:cs="Times New Roman"/>
          <w:color w:val="auto"/>
          <w:lang w:val="en-US" w:eastAsia="zh-CN"/>
        </w:rPr>
        <w:t>5</w:t>
      </w:r>
      <w:r>
        <w:rPr>
          <w:rFonts w:hint="default" w:ascii="Times New Roman" w:hAnsi="Times New Roman" w:cs="Times New Roman"/>
          <w:color w:val="auto"/>
        </w:rPr>
        <w:t>：</w:t>
      </w:r>
      <w:r>
        <w:rPr>
          <w:rFonts w:hint="eastAsia" w:cs="Times New Roman"/>
          <w:color w:val="auto"/>
          <w:lang w:val="en-US" w:eastAsia="zh-CN"/>
        </w:rPr>
        <w:t>排污许可证</w:t>
      </w:r>
    </w:p>
    <w:p w14:paraId="676F8D7E">
      <w:pPr>
        <w:ind w:left="0" w:leftChars="0" w:firstLine="0" w:firstLineChars="0"/>
        <w:rPr>
          <w:rFonts w:hint="default"/>
          <w:lang w:val="en-US" w:eastAsia="zh-CN"/>
        </w:rPr>
      </w:pPr>
      <w:r>
        <w:drawing>
          <wp:inline distT="0" distB="0" distL="114300" distR="114300">
            <wp:extent cx="5286375" cy="7553325"/>
            <wp:effectExtent l="0" t="0" r="9525" b="9525"/>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49"/>
                    <a:stretch>
                      <a:fillRect/>
                    </a:stretch>
                  </pic:blipFill>
                  <pic:spPr>
                    <a:xfrm>
                      <a:off x="0" y="0"/>
                      <a:ext cx="5286375" cy="7553325"/>
                    </a:xfrm>
                    <a:prstGeom prst="rect">
                      <a:avLst/>
                    </a:prstGeom>
                    <a:noFill/>
                    <a:ln>
                      <a:noFill/>
                    </a:ln>
                  </pic:spPr>
                </pic:pic>
              </a:graphicData>
            </a:graphic>
          </wp:inline>
        </w:drawing>
      </w:r>
    </w:p>
    <w:p w14:paraId="6A4525D7">
      <w:pPr>
        <w:pStyle w:val="12"/>
        <w:ind w:left="0" w:leftChars="0" w:firstLine="0" w:firstLineChars="0"/>
        <w:rPr>
          <w:rFonts w:hint="default"/>
          <w:lang w:eastAsia="zh-CN"/>
        </w:rPr>
      </w:pPr>
    </w:p>
    <w:p w14:paraId="1EBF15DD">
      <w:pPr>
        <w:ind w:firstLine="480"/>
        <w:jc w:val="center"/>
        <w:rPr>
          <w:rFonts w:hint="default" w:ascii="Times New Roman" w:hAnsi="Times New Roman" w:cs="Times New Roman"/>
          <w:color w:val="auto"/>
        </w:rPr>
      </w:pPr>
    </w:p>
    <w:p w14:paraId="51BBAAB3">
      <w:pPr>
        <w:ind w:firstLine="480"/>
        <w:jc w:val="center"/>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14:paraId="0B5B6A56">
      <w:pPr>
        <w:pStyle w:val="4"/>
        <w:numPr>
          <w:ilvl w:val="1"/>
          <w:numId w:val="0"/>
        </w:numPr>
        <w:spacing w:before="140" w:after="0"/>
        <w:rPr>
          <w:rFonts w:hint="eastAsia" w:ascii="Times New Roman" w:hAnsi="Times New Roman" w:eastAsia="宋体" w:cs="Times New Roman"/>
          <w:color w:val="auto"/>
          <w:lang w:eastAsia="zh-CN"/>
        </w:rPr>
      </w:pPr>
      <w:bookmarkStart w:id="57" w:name="_Toc1152"/>
      <w:r>
        <w:rPr>
          <w:rFonts w:hint="default" w:ascii="Times New Roman" w:hAnsi="Times New Roman" w:cs="Times New Roman"/>
          <w:color w:val="auto"/>
        </w:rPr>
        <w:t>附件</w:t>
      </w:r>
      <w:r>
        <w:rPr>
          <w:rFonts w:hint="eastAsia" w:cs="Times New Roman"/>
          <w:color w:val="auto"/>
          <w:lang w:val="en-US" w:eastAsia="zh-CN"/>
        </w:rPr>
        <w:t>6</w:t>
      </w:r>
      <w:r>
        <w:rPr>
          <w:rFonts w:hint="default" w:ascii="Times New Roman" w:hAnsi="Times New Roman" w:cs="Times New Roman"/>
          <w:color w:val="auto"/>
        </w:rPr>
        <w:t>：</w:t>
      </w:r>
      <w:bookmarkEnd w:id="57"/>
      <w:r>
        <w:rPr>
          <w:rFonts w:hint="default" w:ascii="Times New Roman" w:hAnsi="Times New Roman" w:cs="Times New Roman"/>
          <w:color w:val="auto"/>
        </w:rPr>
        <w:t>现有项目环评批复</w:t>
      </w:r>
      <w:r>
        <w:rPr>
          <w:rFonts w:hint="eastAsia" w:cs="Times New Roman"/>
          <w:color w:val="auto"/>
          <w:lang w:eastAsia="zh-CN"/>
        </w:rPr>
        <w:t>、验收意见</w:t>
      </w:r>
    </w:p>
    <w:p w14:paraId="49F06FAD">
      <w:pPr>
        <w:adjustRightInd w:val="0"/>
        <w:snapToGrid w:val="0"/>
        <w:spacing w:line="240" w:lineRule="auto"/>
        <w:ind w:firstLine="0" w:firstLineChars="0"/>
        <w:jc w:val="center"/>
        <w:rPr>
          <w:rFonts w:hint="default" w:ascii="Times New Roman" w:hAnsi="Times New Roman" w:eastAsia="宋体" w:cs="Times New Roman"/>
          <w:color w:val="auto"/>
          <w:lang w:eastAsia="zh-CN"/>
        </w:rPr>
      </w:pPr>
    </w:p>
    <w:p w14:paraId="630D4B62">
      <w:pPr>
        <w:adjustRightInd w:val="0"/>
        <w:snapToGrid w:val="0"/>
        <w:spacing w:line="240" w:lineRule="auto"/>
        <w:ind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611495" cy="7717790"/>
            <wp:effectExtent l="0" t="0" r="8255" b="16510"/>
            <wp:docPr id="8" name="图片 8" descr="137e092c77aec3484773a4689fbf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37e092c77aec3484773a4689fbf2bb"/>
                    <pic:cNvPicPr>
                      <a:picLocks noChangeAspect="1"/>
                    </pic:cNvPicPr>
                  </pic:nvPicPr>
                  <pic:blipFill>
                    <a:blip r:embed="rId50"/>
                    <a:stretch>
                      <a:fillRect/>
                    </a:stretch>
                  </pic:blipFill>
                  <pic:spPr>
                    <a:xfrm>
                      <a:off x="0" y="0"/>
                      <a:ext cx="5611495" cy="7717790"/>
                    </a:xfrm>
                    <a:prstGeom prst="rect">
                      <a:avLst/>
                    </a:prstGeom>
                  </pic:spPr>
                </pic:pic>
              </a:graphicData>
            </a:graphic>
          </wp:inline>
        </w:drawing>
      </w:r>
      <w:r>
        <w:rPr>
          <w:rFonts w:hint="default" w:ascii="Times New Roman" w:hAnsi="Times New Roman" w:eastAsia="宋体" w:cs="Times New Roman"/>
          <w:color w:val="auto"/>
          <w:lang w:eastAsia="zh-CN"/>
        </w:rPr>
        <w:drawing>
          <wp:inline distT="0" distB="0" distL="114300" distR="114300">
            <wp:extent cx="5611495" cy="7717790"/>
            <wp:effectExtent l="0" t="0" r="8255" b="16510"/>
            <wp:docPr id="9" name="图片 9" descr="89477b4e2fa391b0317f67c2aafc4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9477b4e2fa391b0317f67c2aafc4c1"/>
                    <pic:cNvPicPr>
                      <a:picLocks noChangeAspect="1"/>
                    </pic:cNvPicPr>
                  </pic:nvPicPr>
                  <pic:blipFill>
                    <a:blip r:embed="rId51"/>
                    <a:stretch>
                      <a:fillRect/>
                    </a:stretch>
                  </pic:blipFill>
                  <pic:spPr>
                    <a:xfrm>
                      <a:off x="0" y="0"/>
                      <a:ext cx="5611495" cy="7717790"/>
                    </a:xfrm>
                    <a:prstGeom prst="rect">
                      <a:avLst/>
                    </a:prstGeom>
                  </pic:spPr>
                </pic:pic>
              </a:graphicData>
            </a:graphic>
          </wp:inline>
        </w:drawing>
      </w:r>
      <w:r>
        <w:rPr>
          <w:rFonts w:hint="default" w:ascii="Times New Roman" w:hAnsi="Times New Roman" w:eastAsia="宋体" w:cs="Times New Roman"/>
          <w:color w:val="auto"/>
          <w:lang w:eastAsia="zh-CN"/>
        </w:rPr>
        <w:drawing>
          <wp:inline distT="0" distB="0" distL="114300" distR="114300">
            <wp:extent cx="5611495" cy="7717790"/>
            <wp:effectExtent l="0" t="0" r="8255" b="16510"/>
            <wp:docPr id="10" name="图片 10" descr="f5dd0b3057b9b3bb287749555dcdb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5dd0b3057b9b3bb287749555dcdb22"/>
                    <pic:cNvPicPr>
                      <a:picLocks noChangeAspect="1"/>
                    </pic:cNvPicPr>
                  </pic:nvPicPr>
                  <pic:blipFill>
                    <a:blip r:embed="rId52"/>
                    <a:stretch>
                      <a:fillRect/>
                    </a:stretch>
                  </pic:blipFill>
                  <pic:spPr>
                    <a:xfrm rot="10800000">
                      <a:off x="0" y="0"/>
                      <a:ext cx="5611495" cy="7717790"/>
                    </a:xfrm>
                    <a:prstGeom prst="rect">
                      <a:avLst/>
                    </a:prstGeom>
                  </pic:spPr>
                </pic:pic>
              </a:graphicData>
            </a:graphic>
          </wp:inline>
        </w:drawing>
      </w:r>
      <w:r>
        <w:rPr>
          <w:rFonts w:hint="default" w:ascii="Times New Roman" w:hAnsi="Times New Roman" w:eastAsia="宋体" w:cs="Times New Roman"/>
          <w:color w:val="auto"/>
          <w:lang w:eastAsia="zh-CN"/>
        </w:rPr>
        <w:drawing>
          <wp:inline distT="0" distB="0" distL="114300" distR="114300">
            <wp:extent cx="5611495" cy="7717790"/>
            <wp:effectExtent l="0" t="0" r="8255" b="16510"/>
            <wp:docPr id="11" name="图片 11" descr="ee47fcfd751b9a4e73f23e7a2c6b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e47fcfd751b9a4e73f23e7a2c6bb3a"/>
                    <pic:cNvPicPr>
                      <a:picLocks noChangeAspect="1"/>
                    </pic:cNvPicPr>
                  </pic:nvPicPr>
                  <pic:blipFill>
                    <a:blip r:embed="rId53"/>
                    <a:stretch>
                      <a:fillRect/>
                    </a:stretch>
                  </pic:blipFill>
                  <pic:spPr>
                    <a:xfrm rot="10800000">
                      <a:off x="0" y="0"/>
                      <a:ext cx="5611495" cy="7717790"/>
                    </a:xfrm>
                    <a:prstGeom prst="rect">
                      <a:avLst/>
                    </a:prstGeom>
                  </pic:spPr>
                </pic:pic>
              </a:graphicData>
            </a:graphic>
          </wp:inline>
        </w:drawing>
      </w:r>
    </w:p>
    <w:p w14:paraId="6A8D754E">
      <w:pPr>
        <w:pStyle w:val="12"/>
        <w:ind w:firstLine="360"/>
        <w:rPr>
          <w:rFonts w:hint="default" w:ascii="Times New Roman" w:hAnsi="Times New Roman" w:cs="Times New Roman"/>
          <w:color w:val="auto"/>
        </w:rPr>
      </w:pPr>
    </w:p>
    <w:p w14:paraId="6EDF680B">
      <w:pPr>
        <w:ind w:firstLine="480"/>
        <w:jc w:val="center"/>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14:paraId="55517F2F">
      <w:pPr>
        <w:pStyle w:val="4"/>
        <w:numPr>
          <w:ilvl w:val="1"/>
          <w:numId w:val="0"/>
        </w:numPr>
        <w:rPr>
          <w:rFonts w:hint="eastAsia" w:cs="Times New Roman"/>
          <w:color w:val="auto"/>
          <w:lang w:eastAsia="zh-CN"/>
        </w:rPr>
      </w:pPr>
      <w:bookmarkStart w:id="58" w:name="_Toc15185"/>
      <w:r>
        <w:rPr>
          <w:rFonts w:hint="default" w:ascii="Times New Roman" w:hAnsi="Times New Roman" w:cs="Times New Roman"/>
          <w:color w:val="auto"/>
        </w:rPr>
        <w:t>附件</w:t>
      </w:r>
      <w:r>
        <w:rPr>
          <w:rFonts w:hint="eastAsia" w:cs="Times New Roman"/>
          <w:color w:val="auto"/>
          <w:lang w:val="en-US" w:eastAsia="zh-CN"/>
        </w:rPr>
        <w:t>7</w:t>
      </w:r>
      <w:r>
        <w:rPr>
          <w:rFonts w:hint="default" w:ascii="Times New Roman" w:hAnsi="Times New Roman" w:cs="Times New Roman"/>
          <w:color w:val="auto"/>
        </w:rPr>
        <w:t>：</w:t>
      </w:r>
      <w:bookmarkEnd w:id="58"/>
      <w:r>
        <w:rPr>
          <w:rFonts w:hint="eastAsia" w:cs="Times New Roman"/>
          <w:color w:val="auto"/>
          <w:lang w:eastAsia="zh-CN"/>
        </w:rPr>
        <w:t>土地证、房产证</w:t>
      </w:r>
    </w:p>
    <w:p w14:paraId="3021DE79">
      <w:pPr>
        <w:rPr>
          <w:rFonts w:hint="eastAsia"/>
          <w:lang w:eastAsia="zh-CN"/>
        </w:rPr>
      </w:pPr>
      <w:r>
        <w:rPr>
          <w:rFonts w:hint="eastAsia" w:cs="Times New Roman"/>
          <w:color w:val="auto"/>
          <w:lang w:eastAsia="zh-CN"/>
        </w:rPr>
        <w:t>土地证：</w:t>
      </w:r>
    </w:p>
    <w:p w14:paraId="320AF8AB">
      <w:pPr>
        <w:ind w:firstLine="0" w:firstLineChars="0"/>
        <w:jc w:val="center"/>
        <w:rPr>
          <w:rFonts w:hint="default" w:ascii="Times New Roman" w:hAnsi="Times New Roman" w:eastAsia="宋体" w:cs="Times New Roman"/>
          <w:b/>
          <w:color w:val="auto"/>
          <w:lang w:eastAsia="zh-CN"/>
        </w:rPr>
      </w:pPr>
      <w:r>
        <w:drawing>
          <wp:inline distT="0" distB="0" distL="114300" distR="114300">
            <wp:extent cx="5208905" cy="7257415"/>
            <wp:effectExtent l="0" t="0" r="10795" b="635"/>
            <wp:docPr id="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1"/>
                    </pic:cNvPicPr>
                  </pic:nvPicPr>
                  <pic:blipFill>
                    <a:blip r:embed="rId54"/>
                    <a:srcRect r="6953" b="8377"/>
                    <a:stretch>
                      <a:fillRect/>
                    </a:stretch>
                  </pic:blipFill>
                  <pic:spPr>
                    <a:xfrm>
                      <a:off x="0" y="0"/>
                      <a:ext cx="5208905" cy="7257415"/>
                    </a:xfrm>
                    <a:prstGeom prst="rect">
                      <a:avLst/>
                    </a:prstGeom>
                    <a:noFill/>
                    <a:ln>
                      <a:noFill/>
                    </a:ln>
                  </pic:spPr>
                </pic:pic>
              </a:graphicData>
            </a:graphic>
          </wp:inline>
        </w:drawing>
      </w:r>
      <w:r>
        <w:drawing>
          <wp:inline distT="0" distB="0" distL="114300" distR="114300">
            <wp:extent cx="4655185" cy="6586855"/>
            <wp:effectExtent l="0" t="0" r="12065" b="4445"/>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55"/>
                    <a:stretch>
                      <a:fillRect/>
                    </a:stretch>
                  </pic:blipFill>
                  <pic:spPr>
                    <a:xfrm>
                      <a:off x="0" y="0"/>
                      <a:ext cx="4655185" cy="6586855"/>
                    </a:xfrm>
                    <a:prstGeom prst="rect">
                      <a:avLst/>
                    </a:prstGeom>
                    <a:noFill/>
                    <a:ln>
                      <a:noFill/>
                    </a:ln>
                  </pic:spPr>
                </pic:pic>
              </a:graphicData>
            </a:graphic>
          </wp:inline>
        </w:drawing>
      </w:r>
    </w:p>
    <w:p w14:paraId="65E4069A">
      <w:pPr>
        <w:pStyle w:val="2"/>
      </w:pPr>
    </w:p>
    <w:p w14:paraId="1E4E87C6">
      <w:pPr>
        <w:pStyle w:val="2"/>
      </w:pPr>
    </w:p>
    <w:p w14:paraId="16C28CD1">
      <w:pPr>
        <w:pStyle w:val="2"/>
      </w:pPr>
    </w:p>
    <w:p w14:paraId="5FD9827E">
      <w:pPr>
        <w:pStyle w:val="2"/>
      </w:pPr>
    </w:p>
    <w:p w14:paraId="59D22C27">
      <w:pPr>
        <w:pStyle w:val="2"/>
      </w:pPr>
    </w:p>
    <w:p w14:paraId="7087EBDA">
      <w:pPr>
        <w:pStyle w:val="2"/>
      </w:pPr>
    </w:p>
    <w:p w14:paraId="239E31BD">
      <w:pPr>
        <w:pStyle w:val="2"/>
      </w:pPr>
    </w:p>
    <w:p w14:paraId="3BC0F411">
      <w:pPr>
        <w:pStyle w:val="2"/>
        <w:rPr>
          <w:rFonts w:hint="eastAsia" w:eastAsia="宋体"/>
          <w:lang w:eastAsia="zh-CN"/>
        </w:rPr>
      </w:pPr>
      <w:r>
        <w:rPr>
          <w:rFonts w:hint="eastAsia"/>
          <w:lang w:eastAsia="zh-CN"/>
        </w:rPr>
        <w:t>产权证：</w:t>
      </w:r>
    </w:p>
    <w:p w14:paraId="056023A4">
      <w:pPr>
        <w:pStyle w:val="2"/>
        <w:rPr>
          <w:rFonts w:hint="default"/>
          <w:lang w:eastAsia="zh-CN"/>
        </w:rPr>
        <w:sectPr>
          <w:footerReference r:id="rId8" w:type="default"/>
          <w:pgSz w:w="11906" w:h="16838"/>
          <w:pgMar w:top="1701" w:right="1531" w:bottom="1701" w:left="1531" w:header="851" w:footer="851" w:gutter="0"/>
          <w:cols w:space="720" w:num="1"/>
          <w:docGrid w:linePitch="312" w:charSpace="0"/>
        </w:sectPr>
      </w:pPr>
      <w:r>
        <w:drawing>
          <wp:inline distT="0" distB="0" distL="114300" distR="114300">
            <wp:extent cx="4684395" cy="6628130"/>
            <wp:effectExtent l="0" t="0" r="1905" b="1270"/>
            <wp:docPr id="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5"/>
                    <pic:cNvPicPr>
                      <a:picLocks noChangeAspect="1"/>
                    </pic:cNvPicPr>
                  </pic:nvPicPr>
                  <pic:blipFill>
                    <a:blip r:embed="rId56"/>
                    <a:stretch>
                      <a:fillRect/>
                    </a:stretch>
                  </pic:blipFill>
                  <pic:spPr>
                    <a:xfrm>
                      <a:off x="0" y="0"/>
                      <a:ext cx="4684395" cy="6628130"/>
                    </a:xfrm>
                    <a:prstGeom prst="rect">
                      <a:avLst/>
                    </a:prstGeom>
                    <a:noFill/>
                    <a:ln>
                      <a:noFill/>
                    </a:ln>
                  </pic:spPr>
                </pic:pic>
              </a:graphicData>
            </a:graphic>
          </wp:inline>
        </w:drawing>
      </w:r>
      <w:r>
        <w:drawing>
          <wp:inline distT="0" distB="0" distL="114300" distR="114300">
            <wp:extent cx="5254625" cy="7639685"/>
            <wp:effectExtent l="0" t="0" r="3175" b="18415"/>
            <wp:docPr id="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6"/>
                    <pic:cNvPicPr>
                      <a:picLocks noChangeAspect="1"/>
                    </pic:cNvPicPr>
                  </pic:nvPicPr>
                  <pic:blipFill>
                    <a:blip r:embed="rId57"/>
                    <a:srcRect r="4058" b="1418"/>
                    <a:stretch>
                      <a:fillRect/>
                    </a:stretch>
                  </pic:blipFill>
                  <pic:spPr>
                    <a:xfrm>
                      <a:off x="0" y="0"/>
                      <a:ext cx="5254625" cy="7639685"/>
                    </a:xfrm>
                    <a:prstGeom prst="rect">
                      <a:avLst/>
                    </a:prstGeom>
                    <a:noFill/>
                    <a:ln>
                      <a:noFill/>
                    </a:ln>
                  </pic:spPr>
                </pic:pic>
              </a:graphicData>
            </a:graphic>
          </wp:inline>
        </w:drawing>
      </w:r>
    </w:p>
    <w:p w14:paraId="20F06E5B">
      <w:pPr>
        <w:pStyle w:val="4"/>
        <w:numPr>
          <w:ilvl w:val="1"/>
          <w:numId w:val="0"/>
        </w:numPr>
        <w:rPr>
          <w:rFonts w:hint="eastAsia" w:ascii="Times New Roman" w:hAnsi="Times New Roman" w:eastAsia="宋体" w:cs="Times New Roman"/>
          <w:color w:val="auto"/>
          <w:lang w:eastAsia="zh-CN"/>
        </w:rPr>
      </w:pPr>
      <w:bookmarkStart w:id="59" w:name="_Toc26433"/>
      <w:r>
        <w:rPr>
          <w:rFonts w:hint="default" w:ascii="Times New Roman" w:hAnsi="Times New Roman" w:cs="Times New Roman"/>
          <w:color w:val="auto"/>
        </w:rPr>
        <w:t>附件</w:t>
      </w:r>
      <w:r>
        <w:rPr>
          <w:rFonts w:hint="eastAsia" w:cs="Times New Roman"/>
          <w:color w:val="auto"/>
          <w:lang w:val="en-US" w:eastAsia="zh-CN"/>
        </w:rPr>
        <w:t>8</w:t>
      </w:r>
      <w:r>
        <w:rPr>
          <w:rFonts w:hint="default" w:ascii="Times New Roman" w:hAnsi="Times New Roman" w:cs="Times New Roman"/>
          <w:color w:val="auto"/>
        </w:rPr>
        <w:t>：</w:t>
      </w:r>
      <w:bookmarkEnd w:id="59"/>
      <w:r>
        <w:rPr>
          <w:rFonts w:hint="eastAsia" w:cs="Times New Roman"/>
          <w:color w:val="auto"/>
          <w:lang w:eastAsia="zh-CN"/>
        </w:rPr>
        <w:t>废气、噪声自行检测报告</w:t>
      </w:r>
    </w:p>
    <w:p w14:paraId="6C2A8EB6">
      <w:pPr>
        <w:ind w:firstLine="0" w:firstLineChars="0"/>
        <w:jc w:val="left"/>
        <w:rPr>
          <w:rFonts w:hint="default" w:ascii="Times New Roman" w:hAnsi="Times New Roman" w:eastAsia="宋体" w:cs="Times New Roman"/>
          <w:color w:val="auto"/>
          <w:lang w:val="en-US" w:eastAsia="zh-CN"/>
        </w:rPr>
      </w:pPr>
      <w:r>
        <w:rPr>
          <w:rFonts w:hint="eastAsia" w:cs="Times New Roman"/>
          <w:color w:val="auto"/>
          <w:lang w:eastAsia="zh-CN"/>
        </w:rPr>
        <w:t>废气：</w:t>
      </w:r>
    </w:p>
    <w:p w14:paraId="53DEE882">
      <w:pPr>
        <w:ind w:firstLine="0" w:firstLineChars="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156835" cy="7294880"/>
            <wp:effectExtent l="0" t="0" r="5715" b="1270"/>
            <wp:docPr id="85" name="图片 85" descr="20210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02104_00"/>
                    <pic:cNvPicPr>
                      <a:picLocks noChangeAspect="1"/>
                    </pic:cNvPicPr>
                  </pic:nvPicPr>
                  <pic:blipFill>
                    <a:blip r:embed="rId58"/>
                    <a:stretch>
                      <a:fillRect/>
                    </a:stretch>
                  </pic:blipFill>
                  <pic:spPr>
                    <a:xfrm>
                      <a:off x="0" y="0"/>
                      <a:ext cx="5156835" cy="729488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42580"/>
            <wp:effectExtent l="0" t="0" r="4445" b="1270"/>
            <wp:docPr id="86" name="图片 86" descr="20210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02104_01"/>
                    <pic:cNvPicPr>
                      <a:picLocks noChangeAspect="1"/>
                    </pic:cNvPicPr>
                  </pic:nvPicPr>
                  <pic:blipFill>
                    <a:blip r:embed="rId59"/>
                    <a:stretch>
                      <a:fillRect/>
                    </a:stretch>
                  </pic:blipFill>
                  <pic:spPr>
                    <a:xfrm>
                      <a:off x="0" y="0"/>
                      <a:ext cx="5615305" cy="794258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42580"/>
            <wp:effectExtent l="0" t="0" r="4445" b="1270"/>
            <wp:docPr id="87" name="图片 87" descr="20210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2104_02"/>
                    <pic:cNvPicPr>
                      <a:picLocks noChangeAspect="1"/>
                    </pic:cNvPicPr>
                  </pic:nvPicPr>
                  <pic:blipFill>
                    <a:blip r:embed="rId60"/>
                    <a:stretch>
                      <a:fillRect/>
                    </a:stretch>
                  </pic:blipFill>
                  <pic:spPr>
                    <a:xfrm>
                      <a:off x="0" y="0"/>
                      <a:ext cx="5615305" cy="794258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42580"/>
            <wp:effectExtent l="0" t="0" r="4445" b="1270"/>
            <wp:docPr id="88" name="图片 88" descr="202104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02104_03"/>
                    <pic:cNvPicPr>
                      <a:picLocks noChangeAspect="1"/>
                    </pic:cNvPicPr>
                  </pic:nvPicPr>
                  <pic:blipFill>
                    <a:blip r:embed="rId61"/>
                    <a:stretch>
                      <a:fillRect/>
                    </a:stretch>
                  </pic:blipFill>
                  <pic:spPr>
                    <a:xfrm>
                      <a:off x="0" y="0"/>
                      <a:ext cx="5615305" cy="794258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42580"/>
            <wp:effectExtent l="0" t="0" r="4445" b="1270"/>
            <wp:docPr id="89" name="图片 89" descr="202104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02104_04"/>
                    <pic:cNvPicPr>
                      <a:picLocks noChangeAspect="1"/>
                    </pic:cNvPicPr>
                  </pic:nvPicPr>
                  <pic:blipFill>
                    <a:blip r:embed="rId62"/>
                    <a:stretch>
                      <a:fillRect/>
                    </a:stretch>
                  </pic:blipFill>
                  <pic:spPr>
                    <a:xfrm>
                      <a:off x="0" y="0"/>
                      <a:ext cx="5615305" cy="794258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42580"/>
            <wp:effectExtent l="0" t="0" r="4445" b="1270"/>
            <wp:docPr id="90" name="图片 90" descr="202104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02104_05"/>
                    <pic:cNvPicPr>
                      <a:picLocks noChangeAspect="1"/>
                    </pic:cNvPicPr>
                  </pic:nvPicPr>
                  <pic:blipFill>
                    <a:blip r:embed="rId63"/>
                    <a:stretch>
                      <a:fillRect/>
                    </a:stretch>
                  </pic:blipFill>
                  <pic:spPr>
                    <a:xfrm>
                      <a:off x="0" y="0"/>
                      <a:ext cx="5615305" cy="794258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42580"/>
            <wp:effectExtent l="0" t="0" r="4445" b="1270"/>
            <wp:docPr id="91" name="图片 91" descr="202104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02104_06"/>
                    <pic:cNvPicPr>
                      <a:picLocks noChangeAspect="1"/>
                    </pic:cNvPicPr>
                  </pic:nvPicPr>
                  <pic:blipFill>
                    <a:blip r:embed="rId64"/>
                    <a:stretch>
                      <a:fillRect/>
                    </a:stretch>
                  </pic:blipFill>
                  <pic:spPr>
                    <a:xfrm>
                      <a:off x="0" y="0"/>
                      <a:ext cx="5615305" cy="794258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42580"/>
            <wp:effectExtent l="0" t="0" r="4445" b="1270"/>
            <wp:docPr id="92" name="图片 92" descr="202104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02104_07"/>
                    <pic:cNvPicPr>
                      <a:picLocks noChangeAspect="1"/>
                    </pic:cNvPicPr>
                  </pic:nvPicPr>
                  <pic:blipFill>
                    <a:blip r:embed="rId65"/>
                    <a:stretch>
                      <a:fillRect/>
                    </a:stretch>
                  </pic:blipFill>
                  <pic:spPr>
                    <a:xfrm>
                      <a:off x="0" y="0"/>
                      <a:ext cx="5615305" cy="7942580"/>
                    </a:xfrm>
                    <a:prstGeom prst="rect">
                      <a:avLst/>
                    </a:prstGeom>
                  </pic:spPr>
                </pic:pic>
              </a:graphicData>
            </a:graphic>
          </wp:inline>
        </w:drawing>
      </w:r>
    </w:p>
    <w:p w14:paraId="70C35707">
      <w:pPr>
        <w:ind w:firstLine="0" w:firstLineChars="0"/>
        <w:rPr>
          <w:rFonts w:hint="eastAsia" w:ascii="Times New Roman" w:hAnsi="Times New Roman" w:eastAsia="宋体" w:cs="Times New Roman"/>
          <w:color w:val="auto"/>
          <w:lang w:eastAsia="zh-CN"/>
        </w:rPr>
      </w:pPr>
    </w:p>
    <w:p w14:paraId="0DC40E96">
      <w:pPr>
        <w:ind w:firstLine="0" w:firstLineChars="0"/>
        <w:rPr>
          <w:rFonts w:hint="eastAsia" w:ascii="Times New Roman" w:hAnsi="Times New Roman" w:eastAsia="宋体" w:cs="Times New Roman"/>
          <w:color w:val="auto"/>
          <w:lang w:eastAsia="zh-CN"/>
        </w:rPr>
      </w:pPr>
    </w:p>
    <w:p w14:paraId="7FD46752">
      <w:pPr>
        <w:ind w:firstLine="0" w:firstLineChars="0"/>
        <w:rPr>
          <w:rFonts w:hint="eastAsia" w:ascii="Times New Roman" w:hAnsi="Times New Roman" w:eastAsia="宋体" w:cs="Times New Roman"/>
          <w:color w:val="auto"/>
          <w:lang w:eastAsia="zh-CN"/>
        </w:rPr>
      </w:pPr>
      <w:r>
        <w:rPr>
          <w:rFonts w:hint="eastAsia" w:cs="Times New Roman"/>
          <w:color w:val="auto"/>
          <w:lang w:eastAsia="zh-CN"/>
        </w:rPr>
        <w:t>噪声：</w:t>
      </w:r>
    </w:p>
    <w:p w14:paraId="7FC88DB7">
      <w:pPr>
        <w:ind w:firstLine="0" w:firstLineChars="0"/>
        <w:rPr>
          <w:rFonts w:hint="eastAsia" w:ascii="Times New Roman" w:hAnsi="Times New Roman" w:eastAsia="宋体" w:cs="Times New Roman"/>
          <w:color w:val="auto"/>
          <w:lang w:eastAsia="zh-CN"/>
        </w:rPr>
        <w:sectPr>
          <w:pgSz w:w="11906" w:h="16838"/>
          <w:pgMar w:top="1701" w:right="1531" w:bottom="1701" w:left="1531" w:header="851" w:footer="851" w:gutter="0"/>
          <w:cols w:space="720" w:num="1"/>
          <w:docGrid w:linePitch="312" w:charSpace="0"/>
        </w:sectPr>
      </w:pPr>
      <w:r>
        <w:rPr>
          <w:rFonts w:hint="eastAsia" w:ascii="Times New Roman" w:hAnsi="Times New Roman" w:eastAsia="宋体" w:cs="Times New Roman"/>
          <w:color w:val="auto"/>
          <w:lang w:eastAsia="zh-CN"/>
        </w:rPr>
        <w:drawing>
          <wp:inline distT="0" distB="0" distL="114300" distR="114300">
            <wp:extent cx="5444490" cy="7694295"/>
            <wp:effectExtent l="0" t="0" r="3810" b="1905"/>
            <wp:docPr id="93" name="图片 93" descr="CTPF20HJ0343-6福建福老酒业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TPF20HJ0343-6福建福老酒业有限公司_00"/>
                    <pic:cNvPicPr>
                      <a:picLocks noChangeAspect="1"/>
                    </pic:cNvPicPr>
                  </pic:nvPicPr>
                  <pic:blipFill>
                    <a:blip r:embed="rId66"/>
                    <a:stretch>
                      <a:fillRect/>
                    </a:stretch>
                  </pic:blipFill>
                  <pic:spPr>
                    <a:xfrm>
                      <a:off x="0" y="0"/>
                      <a:ext cx="5444490" cy="769429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35595"/>
            <wp:effectExtent l="0" t="0" r="4445" b="8255"/>
            <wp:docPr id="94" name="图片 94" descr="CTPF20HJ0343-6福建福老酒业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TPF20HJ0343-6福建福老酒业有限公司_01"/>
                    <pic:cNvPicPr>
                      <a:picLocks noChangeAspect="1"/>
                    </pic:cNvPicPr>
                  </pic:nvPicPr>
                  <pic:blipFill>
                    <a:blip r:embed="rId67"/>
                    <a:stretch>
                      <a:fillRect/>
                    </a:stretch>
                  </pic:blipFill>
                  <pic:spPr>
                    <a:xfrm>
                      <a:off x="0" y="0"/>
                      <a:ext cx="5615305" cy="793559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35595"/>
            <wp:effectExtent l="0" t="0" r="4445" b="8255"/>
            <wp:docPr id="95" name="图片 95" descr="CTPF20HJ0343-6福建福老酒业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TPF20HJ0343-6福建福老酒业有限公司_02"/>
                    <pic:cNvPicPr>
                      <a:picLocks noChangeAspect="1"/>
                    </pic:cNvPicPr>
                  </pic:nvPicPr>
                  <pic:blipFill>
                    <a:blip r:embed="rId68"/>
                    <a:stretch>
                      <a:fillRect/>
                    </a:stretch>
                  </pic:blipFill>
                  <pic:spPr>
                    <a:xfrm>
                      <a:off x="0" y="0"/>
                      <a:ext cx="5615305" cy="793559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35595"/>
            <wp:effectExtent l="0" t="0" r="4445" b="8255"/>
            <wp:docPr id="96" name="图片 96" descr="CTPF20HJ0343-6福建福老酒业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TPF20HJ0343-6福建福老酒业有限公司_03"/>
                    <pic:cNvPicPr>
                      <a:picLocks noChangeAspect="1"/>
                    </pic:cNvPicPr>
                  </pic:nvPicPr>
                  <pic:blipFill>
                    <a:blip r:embed="rId69"/>
                    <a:stretch>
                      <a:fillRect/>
                    </a:stretch>
                  </pic:blipFill>
                  <pic:spPr>
                    <a:xfrm>
                      <a:off x="0" y="0"/>
                      <a:ext cx="5615305" cy="793559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35595"/>
            <wp:effectExtent l="0" t="0" r="4445" b="8255"/>
            <wp:docPr id="97" name="图片 97" descr="CTPF20HJ0343-6福建福老酒业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TPF20HJ0343-6福建福老酒业有限公司_04"/>
                    <pic:cNvPicPr>
                      <a:picLocks noChangeAspect="1"/>
                    </pic:cNvPicPr>
                  </pic:nvPicPr>
                  <pic:blipFill>
                    <a:blip r:embed="rId70"/>
                    <a:stretch>
                      <a:fillRect/>
                    </a:stretch>
                  </pic:blipFill>
                  <pic:spPr>
                    <a:xfrm>
                      <a:off x="0" y="0"/>
                      <a:ext cx="5615305" cy="793559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35595"/>
            <wp:effectExtent l="0" t="0" r="4445" b="8255"/>
            <wp:docPr id="98" name="图片 98" descr="CTPF20HJ0343-6福建福老酒业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TPF20HJ0343-6福建福老酒业有限公司_05"/>
                    <pic:cNvPicPr>
                      <a:picLocks noChangeAspect="1"/>
                    </pic:cNvPicPr>
                  </pic:nvPicPr>
                  <pic:blipFill>
                    <a:blip r:embed="rId71"/>
                    <a:stretch>
                      <a:fillRect/>
                    </a:stretch>
                  </pic:blipFill>
                  <pic:spPr>
                    <a:xfrm>
                      <a:off x="0" y="0"/>
                      <a:ext cx="5615305" cy="793559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35595"/>
            <wp:effectExtent l="0" t="0" r="4445" b="8255"/>
            <wp:docPr id="99" name="图片 99" descr="CTPF20HJ0343-6福建福老酒业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TPF20HJ0343-6福建福老酒业有限公司_06"/>
                    <pic:cNvPicPr>
                      <a:picLocks noChangeAspect="1"/>
                    </pic:cNvPicPr>
                  </pic:nvPicPr>
                  <pic:blipFill>
                    <a:blip r:embed="rId72"/>
                    <a:stretch>
                      <a:fillRect/>
                    </a:stretch>
                  </pic:blipFill>
                  <pic:spPr>
                    <a:xfrm>
                      <a:off x="0" y="0"/>
                      <a:ext cx="5615305" cy="7935595"/>
                    </a:xfrm>
                    <a:prstGeom prst="rect">
                      <a:avLst/>
                    </a:prstGeom>
                  </pic:spPr>
                </pic:pic>
              </a:graphicData>
            </a:graphic>
          </wp:inline>
        </w:drawing>
      </w:r>
    </w:p>
    <w:p w14:paraId="3F4CCB01">
      <w:pPr>
        <w:pStyle w:val="4"/>
        <w:numPr>
          <w:ilvl w:val="1"/>
          <w:numId w:val="0"/>
        </w:numPr>
        <w:rPr>
          <w:rFonts w:hint="default" w:ascii="Times New Roman" w:hAnsi="Times New Roman" w:cs="Times New Roman"/>
          <w:color w:val="auto"/>
        </w:rPr>
      </w:pPr>
      <w:r>
        <w:rPr>
          <w:rFonts w:hint="default" w:ascii="Times New Roman" w:hAnsi="Times New Roman" w:cs="Times New Roman"/>
          <w:color w:val="auto"/>
        </w:rPr>
        <w:t>附件</w:t>
      </w:r>
      <w:r>
        <w:rPr>
          <w:rFonts w:hint="eastAsia" w:cs="Times New Roman"/>
          <w:color w:val="auto"/>
          <w:lang w:val="en-US" w:eastAsia="zh-CN"/>
        </w:rPr>
        <w:t>9</w:t>
      </w:r>
      <w:r>
        <w:rPr>
          <w:rFonts w:hint="default" w:ascii="Times New Roman" w:hAnsi="Times New Roman" w:cs="Times New Roman"/>
          <w:color w:val="auto"/>
        </w:rPr>
        <w:t>：环评公示及涉密说明</w:t>
      </w:r>
    </w:p>
    <w:p w14:paraId="343437BE">
      <w:pPr>
        <w:pStyle w:val="12"/>
        <w:adjustRightInd w:val="0"/>
        <w:ind w:firstLine="0" w:firstLineChars="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608955" cy="7265035"/>
            <wp:effectExtent l="0" t="0" r="10795" b="12065"/>
            <wp:docPr id="54" name="图片 54" descr="ab04294ad07e006bba03f4778108c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ab04294ad07e006bba03f4778108ca4"/>
                    <pic:cNvPicPr>
                      <a:picLocks noChangeAspect="1"/>
                    </pic:cNvPicPr>
                  </pic:nvPicPr>
                  <pic:blipFill>
                    <a:blip r:embed="rId73"/>
                    <a:srcRect b="8406"/>
                    <a:stretch>
                      <a:fillRect/>
                    </a:stretch>
                  </pic:blipFill>
                  <pic:spPr>
                    <a:xfrm>
                      <a:off x="0" y="0"/>
                      <a:ext cx="5608955" cy="72650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8955" cy="7131685"/>
            <wp:effectExtent l="0" t="0" r="10795" b="12065"/>
            <wp:docPr id="53" name="图片 53" descr="71c3fc398b697afdbe5518ced66db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71c3fc398b697afdbe5518ced66db35"/>
                    <pic:cNvPicPr>
                      <a:picLocks noChangeAspect="1"/>
                    </pic:cNvPicPr>
                  </pic:nvPicPr>
                  <pic:blipFill>
                    <a:blip r:embed="rId74"/>
                    <a:srcRect l="509" r="-509" b="10087"/>
                    <a:stretch>
                      <a:fillRect/>
                    </a:stretch>
                  </pic:blipFill>
                  <pic:spPr>
                    <a:xfrm>
                      <a:off x="0" y="0"/>
                      <a:ext cx="5608955" cy="7131685"/>
                    </a:xfrm>
                    <a:prstGeom prst="rect">
                      <a:avLst/>
                    </a:prstGeom>
                  </pic:spPr>
                </pic:pic>
              </a:graphicData>
            </a:graphic>
          </wp:inline>
        </w:drawing>
      </w:r>
    </w:p>
    <w:p w14:paraId="3828815E">
      <w:pPr>
        <w:pStyle w:val="12"/>
        <w:adjustRightInd w:val="0"/>
        <w:ind w:firstLine="0" w:firstLineChars="0"/>
        <w:jc w:val="center"/>
        <w:rPr>
          <w:rFonts w:hint="eastAsia" w:ascii="Times New Roman" w:hAnsi="Times New Roman" w:eastAsia="宋体" w:cs="Times New Roman"/>
          <w:color w:val="auto"/>
          <w:lang w:eastAsia="zh-CN"/>
        </w:rPr>
        <w:sectPr>
          <w:pgSz w:w="11906" w:h="16838"/>
          <w:pgMar w:top="1701" w:right="1531" w:bottom="1701" w:left="1531" w:header="851" w:footer="851" w:gutter="0"/>
          <w:cols w:space="720" w:num="1"/>
          <w:docGrid w:linePitch="312" w:charSpace="0"/>
        </w:sectPr>
      </w:pPr>
      <w:r>
        <w:rPr>
          <w:rFonts w:hint="eastAsia" w:ascii="Times New Roman" w:hAnsi="Times New Roman" w:eastAsia="宋体" w:cs="Times New Roman"/>
          <w:color w:val="auto"/>
          <w:lang w:eastAsia="zh-CN"/>
        </w:rPr>
        <w:drawing>
          <wp:inline distT="0" distB="0" distL="114300" distR="114300">
            <wp:extent cx="5608955" cy="7931785"/>
            <wp:effectExtent l="0" t="0" r="10795" b="12065"/>
            <wp:docPr id="55" name="图片 55" descr="c05d966ff0e4dcf00209dc6235954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05d966ff0e4dcf00209dc6235954f2"/>
                    <pic:cNvPicPr>
                      <a:picLocks noChangeAspect="1"/>
                    </pic:cNvPicPr>
                  </pic:nvPicPr>
                  <pic:blipFill>
                    <a:blip r:embed="rId75"/>
                    <a:stretch>
                      <a:fillRect/>
                    </a:stretch>
                  </pic:blipFill>
                  <pic:spPr>
                    <a:xfrm>
                      <a:off x="0" y="0"/>
                      <a:ext cx="5608955" cy="7931785"/>
                    </a:xfrm>
                    <a:prstGeom prst="rect">
                      <a:avLst/>
                    </a:prstGeom>
                  </pic:spPr>
                </pic:pic>
              </a:graphicData>
            </a:graphic>
          </wp:inline>
        </w:drawing>
      </w:r>
    </w:p>
    <w:p w14:paraId="3900B28C">
      <w:pPr>
        <w:pStyle w:val="4"/>
        <w:numPr>
          <w:ilvl w:val="1"/>
          <w:numId w:val="0"/>
        </w:numPr>
        <w:rPr>
          <w:rFonts w:hint="default" w:ascii="Times New Roman" w:hAnsi="Times New Roman" w:cs="Times New Roman"/>
          <w:color w:val="auto"/>
        </w:rPr>
      </w:pPr>
      <w:r>
        <w:rPr>
          <w:rFonts w:hint="default" w:ascii="Times New Roman" w:hAnsi="Times New Roman" w:cs="Times New Roman"/>
          <w:color w:val="auto"/>
        </w:rPr>
        <w:t>附件</w:t>
      </w:r>
      <w:r>
        <w:rPr>
          <w:rFonts w:hint="eastAsia" w:cs="Times New Roman"/>
          <w:color w:val="auto"/>
          <w:lang w:val="en-US" w:eastAsia="zh-CN"/>
        </w:rPr>
        <w:t>10</w:t>
      </w:r>
      <w:r>
        <w:rPr>
          <w:rFonts w:hint="default" w:ascii="Times New Roman" w:hAnsi="Times New Roman" w:cs="Times New Roman"/>
          <w:color w:val="auto"/>
        </w:rPr>
        <w:t>：总量承诺函</w:t>
      </w:r>
    </w:p>
    <w:p w14:paraId="01580B05">
      <w:pPr>
        <w:ind w:left="0" w:leftChars="0" w:firstLine="0" w:firstLineChars="0"/>
        <w:rPr>
          <w:rFonts w:hint="eastAsia" w:eastAsia="宋体"/>
          <w:lang w:eastAsia="zh-CN"/>
        </w:rPr>
      </w:pPr>
      <w:r>
        <w:rPr>
          <w:rFonts w:hint="eastAsia" w:eastAsia="宋体"/>
          <w:lang w:eastAsia="zh-CN"/>
        </w:rPr>
        <w:drawing>
          <wp:inline distT="0" distB="0" distL="114300" distR="114300">
            <wp:extent cx="5608955" cy="7093585"/>
            <wp:effectExtent l="0" t="0" r="10795" b="12065"/>
            <wp:docPr id="52" name="图片 52" descr="b4a9cabb2a2362da7721cb7acaf44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b4a9cabb2a2362da7721cb7acaf44b3"/>
                    <pic:cNvPicPr>
                      <a:picLocks noChangeAspect="1"/>
                    </pic:cNvPicPr>
                  </pic:nvPicPr>
                  <pic:blipFill>
                    <a:blip r:embed="rId76"/>
                    <a:srcRect t="5050" b="5410"/>
                    <a:stretch>
                      <a:fillRect/>
                    </a:stretch>
                  </pic:blipFill>
                  <pic:spPr>
                    <a:xfrm>
                      <a:off x="0" y="0"/>
                      <a:ext cx="5608955" cy="7093585"/>
                    </a:xfrm>
                    <a:prstGeom prst="rect">
                      <a:avLst/>
                    </a:prstGeom>
                  </pic:spPr>
                </pic:pic>
              </a:graphicData>
            </a:graphic>
          </wp:inline>
        </w:drawing>
      </w:r>
    </w:p>
    <w:sectPr>
      <w:pgSz w:w="11906" w:h="16838"/>
      <w:pgMar w:top="1701" w:right="1531" w:bottom="1701" w:left="1531" w:header="851" w:footer="851"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S Mincho">
    <w:panose1 w:val="02020609040205080304"/>
    <w:charset w:val="80"/>
    <w:family w:val="modern"/>
    <w:pitch w:val="default"/>
    <w:sig w:usb0="A00002BF" w:usb1="68C7FCFB" w:usb2="00000010"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400D81">
    <w:pPr>
      <w:tabs>
        <w:tab w:val="center" w:pos="4153"/>
        <w:tab w:val="right" w:pos="8306"/>
      </w:tabs>
      <w:ind w:right="360"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FFB02">
    <w:pPr>
      <w:framePr w:wrap="around" w:vAnchor="text" w:hAnchor="margin" w:xAlign="center" w:y="1"/>
      <w:tabs>
        <w:tab w:val="center" w:pos="4153"/>
        <w:tab w:val="right" w:pos="8306"/>
      </w:tabs>
      <w:ind w:firstLine="480"/>
      <w:rPr>
        <w:rStyle w:val="24"/>
      </w:rPr>
    </w:pPr>
    <w:r>
      <w:fldChar w:fldCharType="begin"/>
    </w:r>
    <w:r>
      <w:rPr>
        <w:rStyle w:val="24"/>
      </w:rPr>
      <w:instrText xml:space="preserve">PAGE  </w:instrText>
    </w:r>
    <w:r>
      <w:fldChar w:fldCharType="end"/>
    </w:r>
  </w:p>
  <w:p w14:paraId="1E8E79AE">
    <w:pPr>
      <w:tabs>
        <w:tab w:val="center" w:pos="4153"/>
        <w:tab w:val="right" w:pos="8306"/>
      </w:tabs>
      <w:ind w:right="360"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C7B43">
    <w:pPr>
      <w:tabs>
        <w:tab w:val="center" w:pos="4153"/>
        <w:tab w:val="right" w:pos="8306"/>
      </w:tabs>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AFB771">
                          <w:pPr>
                            <w:tabs>
                              <w:tab w:val="center" w:pos="4153"/>
                              <w:tab w:val="right" w:pos="8306"/>
                            </w:tabs>
                            <w:ind w:firstLine="560"/>
                            <w:rPr>
                              <w:rStyle w:val="24"/>
                              <w:rFonts w:ascii="宋体" w:hAnsi="宋体"/>
                              <w:sz w:val="28"/>
                              <w:szCs w:val="28"/>
                            </w:rPr>
                          </w:pPr>
                          <w:r>
                            <w:rPr>
                              <w:rStyle w:val="24"/>
                              <w:rFonts w:hint="eastAsia" w:ascii="宋体" w:hAnsi="宋体"/>
                              <w:sz w:val="28"/>
                              <w:szCs w:val="28"/>
                            </w:rPr>
                            <w:t>—</w:t>
                          </w:r>
                          <w:r>
                            <w:rPr>
                              <w:rStyle w:val="24"/>
                              <w:rFonts w:hint="eastAsia" w:ascii="宋体" w:hAnsi="宋体"/>
                              <w:sz w:val="20"/>
                            </w:rPr>
                            <w:t xml:space="preserve">  </w:t>
                          </w:r>
                          <w:r>
                            <w:rPr>
                              <w:rFonts w:ascii="宋体" w:hAnsi="宋体"/>
                              <w:sz w:val="26"/>
                              <w:szCs w:val="26"/>
                            </w:rPr>
                            <w:fldChar w:fldCharType="begin"/>
                          </w:r>
                          <w:r>
                            <w:rPr>
                              <w:rStyle w:val="24"/>
                              <w:rFonts w:ascii="宋体" w:hAnsi="宋体"/>
                              <w:sz w:val="26"/>
                              <w:szCs w:val="26"/>
                            </w:rPr>
                            <w:instrText xml:space="preserve">PAGE  </w:instrText>
                          </w:r>
                          <w:r>
                            <w:rPr>
                              <w:rFonts w:ascii="宋体" w:hAnsi="宋体"/>
                              <w:sz w:val="26"/>
                              <w:szCs w:val="26"/>
                            </w:rPr>
                            <w:fldChar w:fldCharType="separate"/>
                          </w:r>
                          <w:r>
                            <w:rPr>
                              <w:rStyle w:val="24"/>
                              <w:rFonts w:ascii="宋体" w:hAnsi="宋体"/>
                              <w:sz w:val="26"/>
                              <w:szCs w:val="26"/>
                            </w:rPr>
                            <w:t>27</w:t>
                          </w:r>
                          <w:r>
                            <w:rPr>
                              <w:rFonts w:ascii="宋体" w:hAnsi="宋体"/>
                              <w:sz w:val="26"/>
                              <w:szCs w:val="26"/>
                            </w:rPr>
                            <w:fldChar w:fldCharType="end"/>
                          </w:r>
                          <w:r>
                            <w:rPr>
                              <w:rStyle w:val="24"/>
                              <w:rFonts w:hint="eastAsia" w:ascii="宋体" w:hAnsi="宋体"/>
                              <w:sz w:val="20"/>
                            </w:rPr>
                            <w:t xml:space="preserve">  </w:t>
                          </w:r>
                          <w:r>
                            <w:rPr>
                              <w:rStyle w:val="24"/>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k50e4tAgAAWQ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a0o0Uyj56fu3&#10;049fp59fSTyERK31M0Q+WMSG7q3pED6cexxG5l3lVPyCE4EfAh8vAosuEB4vTSfTaQ4Xh2/YAD97&#10;vG6dD++EUSQaBXWoYBKWHTY+9KFDSMymzbqRMlVRatIW9PrqT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k50e4tAgAAWQQAAA4AAAAAAAAAAQAgAAAAHwEAAGRycy9lMm9Eb2MueG1sUEsFBgAAAAAG&#10;AAYAWQEAAL4FAAAAAA==&#10;">
              <v:fill on="f" focussize="0,0"/>
              <v:stroke on="f" weight="0.5pt"/>
              <v:imagedata o:title=""/>
              <o:lock v:ext="edit" aspectratio="f"/>
              <v:textbox inset="0mm,0mm,0mm,0mm" style="mso-fit-shape-to-text:t;">
                <w:txbxContent>
                  <w:p w14:paraId="1FAFB771">
                    <w:pPr>
                      <w:tabs>
                        <w:tab w:val="center" w:pos="4153"/>
                        <w:tab w:val="right" w:pos="8306"/>
                      </w:tabs>
                      <w:ind w:firstLine="560"/>
                      <w:rPr>
                        <w:rStyle w:val="24"/>
                        <w:rFonts w:ascii="宋体" w:hAnsi="宋体"/>
                        <w:sz w:val="28"/>
                        <w:szCs w:val="28"/>
                      </w:rPr>
                    </w:pPr>
                    <w:r>
                      <w:rPr>
                        <w:rStyle w:val="24"/>
                        <w:rFonts w:hint="eastAsia" w:ascii="宋体" w:hAnsi="宋体"/>
                        <w:sz w:val="28"/>
                        <w:szCs w:val="28"/>
                      </w:rPr>
                      <w:t>—</w:t>
                    </w:r>
                    <w:r>
                      <w:rPr>
                        <w:rStyle w:val="24"/>
                        <w:rFonts w:hint="eastAsia" w:ascii="宋体" w:hAnsi="宋体"/>
                        <w:sz w:val="20"/>
                      </w:rPr>
                      <w:t xml:space="preserve">  </w:t>
                    </w:r>
                    <w:r>
                      <w:rPr>
                        <w:rFonts w:ascii="宋体" w:hAnsi="宋体"/>
                        <w:sz w:val="26"/>
                        <w:szCs w:val="26"/>
                      </w:rPr>
                      <w:fldChar w:fldCharType="begin"/>
                    </w:r>
                    <w:r>
                      <w:rPr>
                        <w:rStyle w:val="24"/>
                        <w:rFonts w:ascii="宋体" w:hAnsi="宋体"/>
                        <w:sz w:val="26"/>
                        <w:szCs w:val="26"/>
                      </w:rPr>
                      <w:instrText xml:space="preserve">PAGE  </w:instrText>
                    </w:r>
                    <w:r>
                      <w:rPr>
                        <w:rFonts w:ascii="宋体" w:hAnsi="宋体"/>
                        <w:sz w:val="26"/>
                        <w:szCs w:val="26"/>
                      </w:rPr>
                      <w:fldChar w:fldCharType="separate"/>
                    </w:r>
                    <w:r>
                      <w:rPr>
                        <w:rStyle w:val="24"/>
                        <w:rFonts w:ascii="宋体" w:hAnsi="宋体"/>
                        <w:sz w:val="26"/>
                        <w:szCs w:val="26"/>
                      </w:rPr>
                      <w:t>27</w:t>
                    </w:r>
                    <w:r>
                      <w:rPr>
                        <w:rFonts w:ascii="宋体" w:hAnsi="宋体"/>
                        <w:sz w:val="26"/>
                        <w:szCs w:val="26"/>
                      </w:rPr>
                      <w:fldChar w:fldCharType="end"/>
                    </w:r>
                    <w:r>
                      <w:rPr>
                        <w:rStyle w:val="24"/>
                        <w:rFonts w:hint="eastAsia" w:ascii="宋体" w:hAnsi="宋体"/>
                        <w:sz w:val="20"/>
                      </w:rPr>
                      <w:t xml:space="preserve">  </w:t>
                    </w:r>
                    <w:r>
                      <w:rPr>
                        <w:rStyle w:val="24"/>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DBA39">
    <w:pPr>
      <w:tabs>
        <w:tab w:val="center" w:pos="4153"/>
        <w:tab w:val="right" w:pos="8306"/>
      </w:tabs>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10981D">
                          <w:pPr>
                            <w:tabs>
                              <w:tab w:val="center" w:pos="4153"/>
                              <w:tab w:val="right" w:pos="8306"/>
                            </w:tabs>
                            <w:ind w:firstLine="560"/>
                            <w:rPr>
                              <w:rStyle w:val="24"/>
                              <w:rFonts w:ascii="宋体" w:hAnsi="宋体"/>
                              <w:sz w:val="28"/>
                              <w:szCs w:val="28"/>
                            </w:rPr>
                          </w:pPr>
                          <w:r>
                            <w:rPr>
                              <w:rStyle w:val="24"/>
                              <w:rFonts w:hint="eastAsia" w:ascii="宋体" w:hAnsi="宋体"/>
                              <w:sz w:val="28"/>
                              <w:szCs w:val="28"/>
                            </w:rPr>
                            <w:t>—</w:t>
                          </w:r>
                          <w:r>
                            <w:rPr>
                              <w:rStyle w:val="24"/>
                              <w:rFonts w:hint="eastAsia" w:ascii="宋体" w:hAnsi="宋体"/>
                              <w:sz w:val="20"/>
                            </w:rPr>
                            <w:t xml:space="preserve">  </w:t>
                          </w:r>
                          <w:r>
                            <w:rPr>
                              <w:rFonts w:ascii="宋体" w:hAnsi="宋体"/>
                              <w:sz w:val="26"/>
                              <w:szCs w:val="26"/>
                            </w:rPr>
                            <w:fldChar w:fldCharType="begin"/>
                          </w:r>
                          <w:r>
                            <w:rPr>
                              <w:rStyle w:val="24"/>
                              <w:rFonts w:ascii="宋体" w:hAnsi="宋体"/>
                              <w:sz w:val="26"/>
                              <w:szCs w:val="26"/>
                            </w:rPr>
                            <w:instrText xml:space="preserve">PAGE  </w:instrText>
                          </w:r>
                          <w:r>
                            <w:rPr>
                              <w:rFonts w:ascii="宋体" w:hAnsi="宋体"/>
                              <w:sz w:val="26"/>
                              <w:szCs w:val="26"/>
                            </w:rPr>
                            <w:fldChar w:fldCharType="separate"/>
                          </w:r>
                          <w:r>
                            <w:rPr>
                              <w:rStyle w:val="24"/>
                              <w:rFonts w:ascii="宋体" w:hAnsi="宋体"/>
                              <w:sz w:val="26"/>
                              <w:szCs w:val="26"/>
                            </w:rPr>
                            <w:t>47</w:t>
                          </w:r>
                          <w:r>
                            <w:rPr>
                              <w:rFonts w:ascii="宋体" w:hAnsi="宋体"/>
                              <w:sz w:val="26"/>
                              <w:szCs w:val="26"/>
                            </w:rPr>
                            <w:fldChar w:fldCharType="end"/>
                          </w:r>
                          <w:r>
                            <w:rPr>
                              <w:rStyle w:val="24"/>
                              <w:rFonts w:hint="eastAsia" w:ascii="宋体" w:hAnsi="宋体"/>
                              <w:sz w:val="20"/>
                            </w:rPr>
                            <w:t xml:space="preserve">  </w:t>
                          </w:r>
                          <w:r>
                            <w:rPr>
                              <w:rStyle w:val="24"/>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3qzJgtAgAAWQ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qd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3qzJgtAgAAWQQAAA4AAAAAAAAAAQAgAAAAHwEAAGRycy9lMm9Eb2MueG1sUEsFBgAAAAAG&#10;AAYAWQEAAL4FAAAAAA==&#10;">
              <v:fill on="f" focussize="0,0"/>
              <v:stroke on="f" weight="0.5pt"/>
              <v:imagedata o:title=""/>
              <o:lock v:ext="edit" aspectratio="f"/>
              <v:textbox inset="0mm,0mm,0mm,0mm" style="mso-fit-shape-to-text:t;">
                <w:txbxContent>
                  <w:p w14:paraId="4410981D">
                    <w:pPr>
                      <w:tabs>
                        <w:tab w:val="center" w:pos="4153"/>
                        <w:tab w:val="right" w:pos="8306"/>
                      </w:tabs>
                      <w:ind w:firstLine="560"/>
                      <w:rPr>
                        <w:rStyle w:val="24"/>
                        <w:rFonts w:ascii="宋体" w:hAnsi="宋体"/>
                        <w:sz w:val="28"/>
                        <w:szCs w:val="28"/>
                      </w:rPr>
                    </w:pPr>
                    <w:r>
                      <w:rPr>
                        <w:rStyle w:val="24"/>
                        <w:rFonts w:hint="eastAsia" w:ascii="宋体" w:hAnsi="宋体"/>
                        <w:sz w:val="28"/>
                        <w:szCs w:val="28"/>
                      </w:rPr>
                      <w:t>—</w:t>
                    </w:r>
                    <w:r>
                      <w:rPr>
                        <w:rStyle w:val="24"/>
                        <w:rFonts w:hint="eastAsia" w:ascii="宋体" w:hAnsi="宋体"/>
                        <w:sz w:val="20"/>
                      </w:rPr>
                      <w:t xml:space="preserve">  </w:t>
                    </w:r>
                    <w:r>
                      <w:rPr>
                        <w:rFonts w:ascii="宋体" w:hAnsi="宋体"/>
                        <w:sz w:val="26"/>
                        <w:szCs w:val="26"/>
                      </w:rPr>
                      <w:fldChar w:fldCharType="begin"/>
                    </w:r>
                    <w:r>
                      <w:rPr>
                        <w:rStyle w:val="24"/>
                        <w:rFonts w:ascii="宋体" w:hAnsi="宋体"/>
                        <w:sz w:val="26"/>
                        <w:szCs w:val="26"/>
                      </w:rPr>
                      <w:instrText xml:space="preserve">PAGE  </w:instrText>
                    </w:r>
                    <w:r>
                      <w:rPr>
                        <w:rFonts w:ascii="宋体" w:hAnsi="宋体"/>
                        <w:sz w:val="26"/>
                        <w:szCs w:val="26"/>
                      </w:rPr>
                      <w:fldChar w:fldCharType="separate"/>
                    </w:r>
                    <w:r>
                      <w:rPr>
                        <w:rStyle w:val="24"/>
                        <w:rFonts w:ascii="宋体" w:hAnsi="宋体"/>
                        <w:sz w:val="26"/>
                        <w:szCs w:val="26"/>
                      </w:rPr>
                      <w:t>47</w:t>
                    </w:r>
                    <w:r>
                      <w:rPr>
                        <w:rFonts w:ascii="宋体" w:hAnsi="宋体"/>
                        <w:sz w:val="26"/>
                        <w:szCs w:val="26"/>
                      </w:rPr>
                      <w:fldChar w:fldCharType="end"/>
                    </w:r>
                    <w:r>
                      <w:rPr>
                        <w:rStyle w:val="24"/>
                        <w:rFonts w:hint="eastAsia" w:ascii="宋体" w:hAnsi="宋体"/>
                        <w:sz w:val="20"/>
                      </w:rPr>
                      <w:t xml:space="preserve">  </w:t>
                    </w:r>
                    <w:r>
                      <w:rPr>
                        <w:rStyle w:val="24"/>
                        <w:rFonts w:hint="eastAsia" w:ascii="宋体" w:hAnsi="宋体"/>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F053EF"/>
    <w:multiLevelType w:val="singleLevel"/>
    <w:tmpl w:val="82F053EF"/>
    <w:lvl w:ilvl="0" w:tentative="0">
      <w:start w:val="1"/>
      <w:numFmt w:val="decimal"/>
      <w:suff w:val="nothing"/>
      <w:lvlText w:val="（%1）"/>
      <w:lvlJc w:val="left"/>
    </w:lvl>
  </w:abstractNum>
  <w:abstractNum w:abstractNumId="1">
    <w:nsid w:val="B6B39585"/>
    <w:multiLevelType w:val="singleLevel"/>
    <w:tmpl w:val="B6B39585"/>
    <w:lvl w:ilvl="0" w:tentative="0">
      <w:start w:val="3"/>
      <w:numFmt w:val="decimal"/>
      <w:suff w:val="nothing"/>
      <w:lvlText w:val="（%1）"/>
      <w:lvlJc w:val="left"/>
    </w:lvl>
  </w:abstractNum>
  <w:abstractNum w:abstractNumId="2">
    <w:nsid w:val="59BBE8CB"/>
    <w:multiLevelType w:val="multilevel"/>
    <w:tmpl w:val="59BBE8CB"/>
    <w:lvl w:ilvl="0" w:tentative="0">
      <w:start w:val="1"/>
      <w:numFmt w:val="chineseCounting"/>
      <w:pStyle w:val="3"/>
      <w:suff w:val="nothing"/>
      <w:lvlText w:val="%1、"/>
      <w:lvlJc w:val="left"/>
      <w:pPr>
        <w:tabs>
          <w:tab w:val="left" w:pos="0"/>
        </w:tabs>
        <w:ind w:left="425" w:hanging="425"/>
      </w:pPr>
      <w:rPr>
        <w:rFonts w:hint="eastAsia" w:ascii="Times New Roman" w:hAnsi="Times New Roman" w:eastAsia="黑体" w:cs="宋体"/>
        <w:b w:val="0"/>
        <w:sz w:val="30"/>
      </w:rPr>
    </w:lvl>
    <w:lvl w:ilvl="1" w:tentative="0">
      <w:start w:val="1"/>
      <w:numFmt w:val="decimal"/>
      <w:pStyle w:val="4"/>
      <w:isLgl/>
      <w:lvlText w:val="%1.%2"/>
      <w:lvlJc w:val="left"/>
      <w:pPr>
        <w:tabs>
          <w:tab w:val="left" w:pos="420"/>
        </w:tabs>
        <w:ind w:left="567" w:hanging="567"/>
      </w:pPr>
      <w:rPr>
        <w:rFonts w:hint="eastAsia" w:ascii="Times New Roman" w:hAnsi="Times New Roman" w:eastAsia="宋体" w:cs="宋体"/>
        <w:sz w:val="32"/>
      </w:rPr>
    </w:lvl>
    <w:lvl w:ilvl="2" w:tentative="0">
      <w:start w:val="1"/>
      <w:numFmt w:val="decimal"/>
      <w:pStyle w:val="5"/>
      <w:isLgl/>
      <w:lvlText w:val="%1.%2.%3"/>
      <w:lvlJc w:val="left"/>
      <w:pPr>
        <w:tabs>
          <w:tab w:val="left" w:pos="420"/>
        </w:tabs>
        <w:ind w:left="567" w:hanging="567"/>
      </w:pPr>
      <w:rPr>
        <w:rFonts w:hint="eastAsia" w:ascii="Times New Roman" w:hAnsi="Times New Roman" w:eastAsia="宋体" w:cs="宋体"/>
        <w:sz w:val="30"/>
      </w:rPr>
    </w:lvl>
    <w:lvl w:ilvl="3" w:tentative="0">
      <w:start w:val="1"/>
      <w:numFmt w:val="decimal"/>
      <w:pStyle w:val="6"/>
      <w:isLgl/>
      <w:lvlText w:val="%1.%2.%3.%4"/>
      <w:lvlJc w:val="left"/>
      <w:pPr>
        <w:tabs>
          <w:tab w:val="left" w:pos="420"/>
        </w:tabs>
        <w:ind w:left="850" w:hanging="850"/>
      </w:pPr>
      <w:rPr>
        <w:rFonts w:hint="eastAsia" w:ascii="Times New Roman" w:hAnsi="Times New Roman" w:eastAsia="宋体" w:cs="宋体"/>
        <w:sz w:val="28"/>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947"/>
    <w:rsid w:val="000060B3"/>
    <w:rsid w:val="00015D20"/>
    <w:rsid w:val="000250C8"/>
    <w:rsid w:val="0004364B"/>
    <w:rsid w:val="00061B1F"/>
    <w:rsid w:val="0006378F"/>
    <w:rsid w:val="000733C4"/>
    <w:rsid w:val="00074783"/>
    <w:rsid w:val="0008070B"/>
    <w:rsid w:val="000810AC"/>
    <w:rsid w:val="00081A02"/>
    <w:rsid w:val="00082231"/>
    <w:rsid w:val="00092D38"/>
    <w:rsid w:val="0009377B"/>
    <w:rsid w:val="000A20C9"/>
    <w:rsid w:val="000B058F"/>
    <w:rsid w:val="000B09AC"/>
    <w:rsid w:val="000B4467"/>
    <w:rsid w:val="000B4DB9"/>
    <w:rsid w:val="000C09AC"/>
    <w:rsid w:val="000C3BE4"/>
    <w:rsid w:val="000C767F"/>
    <w:rsid w:val="000D4D7C"/>
    <w:rsid w:val="000D5A44"/>
    <w:rsid w:val="000E3ED2"/>
    <w:rsid w:val="00112BE7"/>
    <w:rsid w:val="00131F42"/>
    <w:rsid w:val="001357F1"/>
    <w:rsid w:val="00140FA8"/>
    <w:rsid w:val="001424B4"/>
    <w:rsid w:val="00142FEB"/>
    <w:rsid w:val="00143A2D"/>
    <w:rsid w:val="00145A41"/>
    <w:rsid w:val="00151675"/>
    <w:rsid w:val="00157435"/>
    <w:rsid w:val="0017504D"/>
    <w:rsid w:val="001753EA"/>
    <w:rsid w:val="0017671A"/>
    <w:rsid w:val="00177422"/>
    <w:rsid w:val="00184590"/>
    <w:rsid w:val="001870D1"/>
    <w:rsid w:val="0018781E"/>
    <w:rsid w:val="0019262D"/>
    <w:rsid w:val="00194874"/>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76843"/>
    <w:rsid w:val="002805AB"/>
    <w:rsid w:val="0028291D"/>
    <w:rsid w:val="00284204"/>
    <w:rsid w:val="00291773"/>
    <w:rsid w:val="002A168C"/>
    <w:rsid w:val="002A3DC7"/>
    <w:rsid w:val="002B49E2"/>
    <w:rsid w:val="002B7B00"/>
    <w:rsid w:val="002B7C44"/>
    <w:rsid w:val="002C0872"/>
    <w:rsid w:val="002C2B17"/>
    <w:rsid w:val="002D3DD0"/>
    <w:rsid w:val="002E1F3A"/>
    <w:rsid w:val="002E298A"/>
    <w:rsid w:val="002F149A"/>
    <w:rsid w:val="00301978"/>
    <w:rsid w:val="0030332C"/>
    <w:rsid w:val="003051C2"/>
    <w:rsid w:val="00312296"/>
    <w:rsid w:val="00314F0E"/>
    <w:rsid w:val="00321D8E"/>
    <w:rsid w:val="00325928"/>
    <w:rsid w:val="00332863"/>
    <w:rsid w:val="0033684D"/>
    <w:rsid w:val="00337B42"/>
    <w:rsid w:val="003408D7"/>
    <w:rsid w:val="00341B42"/>
    <w:rsid w:val="0034348F"/>
    <w:rsid w:val="00356653"/>
    <w:rsid w:val="0035743F"/>
    <w:rsid w:val="00357BE2"/>
    <w:rsid w:val="0036170C"/>
    <w:rsid w:val="00366E0F"/>
    <w:rsid w:val="00381A72"/>
    <w:rsid w:val="00384676"/>
    <w:rsid w:val="00390857"/>
    <w:rsid w:val="00390B0D"/>
    <w:rsid w:val="003A4BF3"/>
    <w:rsid w:val="003B420D"/>
    <w:rsid w:val="003C6C16"/>
    <w:rsid w:val="003D28C2"/>
    <w:rsid w:val="003D794D"/>
    <w:rsid w:val="003E0823"/>
    <w:rsid w:val="003E3058"/>
    <w:rsid w:val="003E76A9"/>
    <w:rsid w:val="003F0809"/>
    <w:rsid w:val="003F089A"/>
    <w:rsid w:val="003F6A8C"/>
    <w:rsid w:val="003F755C"/>
    <w:rsid w:val="00406F01"/>
    <w:rsid w:val="00416D50"/>
    <w:rsid w:val="00416FD5"/>
    <w:rsid w:val="00417772"/>
    <w:rsid w:val="00420E6A"/>
    <w:rsid w:val="00425A9E"/>
    <w:rsid w:val="00426D6B"/>
    <w:rsid w:val="00431E6C"/>
    <w:rsid w:val="00433CE7"/>
    <w:rsid w:val="00452738"/>
    <w:rsid w:val="00456091"/>
    <w:rsid w:val="00457737"/>
    <w:rsid w:val="00466321"/>
    <w:rsid w:val="0047670E"/>
    <w:rsid w:val="00484B9B"/>
    <w:rsid w:val="004855F6"/>
    <w:rsid w:val="0048661E"/>
    <w:rsid w:val="00492720"/>
    <w:rsid w:val="00494670"/>
    <w:rsid w:val="004A3823"/>
    <w:rsid w:val="004C1DB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64668"/>
    <w:rsid w:val="005646EF"/>
    <w:rsid w:val="005720AE"/>
    <w:rsid w:val="00594D77"/>
    <w:rsid w:val="00594EBE"/>
    <w:rsid w:val="005969E4"/>
    <w:rsid w:val="005A06B7"/>
    <w:rsid w:val="005A1759"/>
    <w:rsid w:val="005A23F7"/>
    <w:rsid w:val="005A68A7"/>
    <w:rsid w:val="005B3044"/>
    <w:rsid w:val="005D36AB"/>
    <w:rsid w:val="005E1807"/>
    <w:rsid w:val="005F29B6"/>
    <w:rsid w:val="00614050"/>
    <w:rsid w:val="00617CC3"/>
    <w:rsid w:val="006377A6"/>
    <w:rsid w:val="00637A3D"/>
    <w:rsid w:val="006411EF"/>
    <w:rsid w:val="00662C59"/>
    <w:rsid w:val="006748B8"/>
    <w:rsid w:val="006775C3"/>
    <w:rsid w:val="0069290A"/>
    <w:rsid w:val="0069775A"/>
    <w:rsid w:val="00697813"/>
    <w:rsid w:val="006A3EE8"/>
    <w:rsid w:val="006A5655"/>
    <w:rsid w:val="006A72BF"/>
    <w:rsid w:val="006B03F2"/>
    <w:rsid w:val="006B37DC"/>
    <w:rsid w:val="006B4F68"/>
    <w:rsid w:val="006B6D6D"/>
    <w:rsid w:val="006C0592"/>
    <w:rsid w:val="006C272E"/>
    <w:rsid w:val="006C5479"/>
    <w:rsid w:val="006D13B5"/>
    <w:rsid w:val="006E12FF"/>
    <w:rsid w:val="006E607E"/>
    <w:rsid w:val="00706C5D"/>
    <w:rsid w:val="00732922"/>
    <w:rsid w:val="007504F1"/>
    <w:rsid w:val="0075162E"/>
    <w:rsid w:val="00754034"/>
    <w:rsid w:val="00756556"/>
    <w:rsid w:val="00761237"/>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1888"/>
    <w:rsid w:val="007C21B5"/>
    <w:rsid w:val="007E07E3"/>
    <w:rsid w:val="007E4BD2"/>
    <w:rsid w:val="007F73C1"/>
    <w:rsid w:val="00801393"/>
    <w:rsid w:val="00802F88"/>
    <w:rsid w:val="0081293E"/>
    <w:rsid w:val="00815465"/>
    <w:rsid w:val="00817E9A"/>
    <w:rsid w:val="00821F82"/>
    <w:rsid w:val="008306BD"/>
    <w:rsid w:val="00831A80"/>
    <w:rsid w:val="00833743"/>
    <w:rsid w:val="008340A4"/>
    <w:rsid w:val="008432F0"/>
    <w:rsid w:val="0087135F"/>
    <w:rsid w:val="00872D94"/>
    <w:rsid w:val="00880364"/>
    <w:rsid w:val="00891592"/>
    <w:rsid w:val="00891E9E"/>
    <w:rsid w:val="008A2F68"/>
    <w:rsid w:val="008A763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5C9"/>
    <w:rsid w:val="00902727"/>
    <w:rsid w:val="0090312B"/>
    <w:rsid w:val="0091736D"/>
    <w:rsid w:val="0093037A"/>
    <w:rsid w:val="009354CA"/>
    <w:rsid w:val="0094154D"/>
    <w:rsid w:val="00945C5F"/>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0AFD"/>
    <w:rsid w:val="009C7DD5"/>
    <w:rsid w:val="009E227D"/>
    <w:rsid w:val="009E5019"/>
    <w:rsid w:val="00A04F1B"/>
    <w:rsid w:val="00A0501B"/>
    <w:rsid w:val="00A14947"/>
    <w:rsid w:val="00A20BAF"/>
    <w:rsid w:val="00A32A83"/>
    <w:rsid w:val="00A368DB"/>
    <w:rsid w:val="00A423AA"/>
    <w:rsid w:val="00A53133"/>
    <w:rsid w:val="00A53EC6"/>
    <w:rsid w:val="00A55C0F"/>
    <w:rsid w:val="00A82DCE"/>
    <w:rsid w:val="00A8713F"/>
    <w:rsid w:val="00A90BA1"/>
    <w:rsid w:val="00A97A9A"/>
    <w:rsid w:val="00AA0671"/>
    <w:rsid w:val="00AA2531"/>
    <w:rsid w:val="00AA380C"/>
    <w:rsid w:val="00AB1E09"/>
    <w:rsid w:val="00AB5330"/>
    <w:rsid w:val="00AB7747"/>
    <w:rsid w:val="00AC14CE"/>
    <w:rsid w:val="00AC2A56"/>
    <w:rsid w:val="00AD055E"/>
    <w:rsid w:val="00AD47A7"/>
    <w:rsid w:val="00AF0CBF"/>
    <w:rsid w:val="00AF257F"/>
    <w:rsid w:val="00AF2D88"/>
    <w:rsid w:val="00AF33CF"/>
    <w:rsid w:val="00AF4D50"/>
    <w:rsid w:val="00AF6179"/>
    <w:rsid w:val="00B1073B"/>
    <w:rsid w:val="00B1295A"/>
    <w:rsid w:val="00B168CB"/>
    <w:rsid w:val="00B20A45"/>
    <w:rsid w:val="00B22C5C"/>
    <w:rsid w:val="00B24F30"/>
    <w:rsid w:val="00B31ABF"/>
    <w:rsid w:val="00B33BE3"/>
    <w:rsid w:val="00B368CF"/>
    <w:rsid w:val="00B53B5D"/>
    <w:rsid w:val="00B6055E"/>
    <w:rsid w:val="00B6317D"/>
    <w:rsid w:val="00B7723F"/>
    <w:rsid w:val="00B80534"/>
    <w:rsid w:val="00B8433C"/>
    <w:rsid w:val="00B87491"/>
    <w:rsid w:val="00B91B4B"/>
    <w:rsid w:val="00BA034F"/>
    <w:rsid w:val="00BA29E9"/>
    <w:rsid w:val="00BA49E9"/>
    <w:rsid w:val="00BA7142"/>
    <w:rsid w:val="00BB237C"/>
    <w:rsid w:val="00BB41A3"/>
    <w:rsid w:val="00BC2368"/>
    <w:rsid w:val="00BC32DC"/>
    <w:rsid w:val="00BC35B6"/>
    <w:rsid w:val="00BC751E"/>
    <w:rsid w:val="00BD1B51"/>
    <w:rsid w:val="00BD4596"/>
    <w:rsid w:val="00BE1405"/>
    <w:rsid w:val="00BE312D"/>
    <w:rsid w:val="00BF1C20"/>
    <w:rsid w:val="00BF61B4"/>
    <w:rsid w:val="00C01237"/>
    <w:rsid w:val="00C10578"/>
    <w:rsid w:val="00C135BC"/>
    <w:rsid w:val="00C142B4"/>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85F0C"/>
    <w:rsid w:val="00C972B1"/>
    <w:rsid w:val="00CA0B0D"/>
    <w:rsid w:val="00CA2CCE"/>
    <w:rsid w:val="00CA43FD"/>
    <w:rsid w:val="00CA7EF8"/>
    <w:rsid w:val="00CC489B"/>
    <w:rsid w:val="00CD2BCD"/>
    <w:rsid w:val="00CD3A4C"/>
    <w:rsid w:val="00CD74C0"/>
    <w:rsid w:val="00CE10E9"/>
    <w:rsid w:val="00CE2910"/>
    <w:rsid w:val="00CE5393"/>
    <w:rsid w:val="00CF36BE"/>
    <w:rsid w:val="00CF6000"/>
    <w:rsid w:val="00D003F3"/>
    <w:rsid w:val="00D0364F"/>
    <w:rsid w:val="00D06834"/>
    <w:rsid w:val="00D138E9"/>
    <w:rsid w:val="00D308ED"/>
    <w:rsid w:val="00D36D86"/>
    <w:rsid w:val="00D428AA"/>
    <w:rsid w:val="00D50A34"/>
    <w:rsid w:val="00D53EFA"/>
    <w:rsid w:val="00D85E2C"/>
    <w:rsid w:val="00D94A7C"/>
    <w:rsid w:val="00D95896"/>
    <w:rsid w:val="00DB2983"/>
    <w:rsid w:val="00DC1257"/>
    <w:rsid w:val="00DC3DC0"/>
    <w:rsid w:val="00DC5B2B"/>
    <w:rsid w:val="00DD318D"/>
    <w:rsid w:val="00DD72AC"/>
    <w:rsid w:val="00DF2E12"/>
    <w:rsid w:val="00DF33FA"/>
    <w:rsid w:val="00DF3790"/>
    <w:rsid w:val="00DF514A"/>
    <w:rsid w:val="00DF6690"/>
    <w:rsid w:val="00DF6804"/>
    <w:rsid w:val="00E0358D"/>
    <w:rsid w:val="00E04323"/>
    <w:rsid w:val="00E070A2"/>
    <w:rsid w:val="00E15663"/>
    <w:rsid w:val="00E2656A"/>
    <w:rsid w:val="00E412D0"/>
    <w:rsid w:val="00E50410"/>
    <w:rsid w:val="00E56322"/>
    <w:rsid w:val="00E60982"/>
    <w:rsid w:val="00E62C62"/>
    <w:rsid w:val="00E654C1"/>
    <w:rsid w:val="00E65D97"/>
    <w:rsid w:val="00E678F7"/>
    <w:rsid w:val="00E70689"/>
    <w:rsid w:val="00E72A5A"/>
    <w:rsid w:val="00E73354"/>
    <w:rsid w:val="00E9242D"/>
    <w:rsid w:val="00EA28FD"/>
    <w:rsid w:val="00EA6D8E"/>
    <w:rsid w:val="00EB5255"/>
    <w:rsid w:val="00EB5C47"/>
    <w:rsid w:val="00ED0639"/>
    <w:rsid w:val="00EF01E9"/>
    <w:rsid w:val="00EF2656"/>
    <w:rsid w:val="00EF4755"/>
    <w:rsid w:val="00EF7135"/>
    <w:rsid w:val="00F027DB"/>
    <w:rsid w:val="00F14A7A"/>
    <w:rsid w:val="00F22985"/>
    <w:rsid w:val="00F23938"/>
    <w:rsid w:val="00F3383E"/>
    <w:rsid w:val="00F3434A"/>
    <w:rsid w:val="00F465A7"/>
    <w:rsid w:val="00F50B7C"/>
    <w:rsid w:val="00F550E6"/>
    <w:rsid w:val="00F661C3"/>
    <w:rsid w:val="00F74345"/>
    <w:rsid w:val="00F743E1"/>
    <w:rsid w:val="00F76C78"/>
    <w:rsid w:val="00F80A0A"/>
    <w:rsid w:val="00F82B19"/>
    <w:rsid w:val="00F9212D"/>
    <w:rsid w:val="00F965DA"/>
    <w:rsid w:val="00FA406A"/>
    <w:rsid w:val="00FB072F"/>
    <w:rsid w:val="00FB0813"/>
    <w:rsid w:val="00FB10B9"/>
    <w:rsid w:val="00FB503A"/>
    <w:rsid w:val="00FB516C"/>
    <w:rsid w:val="00FD0236"/>
    <w:rsid w:val="00FD18F4"/>
    <w:rsid w:val="00FD54DB"/>
    <w:rsid w:val="00FD619F"/>
    <w:rsid w:val="01144E04"/>
    <w:rsid w:val="01253946"/>
    <w:rsid w:val="01290F7E"/>
    <w:rsid w:val="012E72BB"/>
    <w:rsid w:val="01406DA6"/>
    <w:rsid w:val="01465D7B"/>
    <w:rsid w:val="015374D9"/>
    <w:rsid w:val="01567CDC"/>
    <w:rsid w:val="015D1E09"/>
    <w:rsid w:val="017F5A0B"/>
    <w:rsid w:val="018278B0"/>
    <w:rsid w:val="019342BA"/>
    <w:rsid w:val="01D058FC"/>
    <w:rsid w:val="01D909E2"/>
    <w:rsid w:val="020822A1"/>
    <w:rsid w:val="023176F6"/>
    <w:rsid w:val="0257138F"/>
    <w:rsid w:val="02697903"/>
    <w:rsid w:val="02BD7967"/>
    <w:rsid w:val="02D30EB0"/>
    <w:rsid w:val="02F36864"/>
    <w:rsid w:val="02F96569"/>
    <w:rsid w:val="03226910"/>
    <w:rsid w:val="032C15D7"/>
    <w:rsid w:val="032F1DC8"/>
    <w:rsid w:val="03305056"/>
    <w:rsid w:val="037516E8"/>
    <w:rsid w:val="037D7592"/>
    <w:rsid w:val="03982821"/>
    <w:rsid w:val="03997313"/>
    <w:rsid w:val="03AE798A"/>
    <w:rsid w:val="03C72161"/>
    <w:rsid w:val="03EA7B21"/>
    <w:rsid w:val="03F80720"/>
    <w:rsid w:val="03F94853"/>
    <w:rsid w:val="0418667A"/>
    <w:rsid w:val="04351194"/>
    <w:rsid w:val="044266C8"/>
    <w:rsid w:val="04540575"/>
    <w:rsid w:val="04607805"/>
    <w:rsid w:val="04745760"/>
    <w:rsid w:val="04804FDB"/>
    <w:rsid w:val="04871BFB"/>
    <w:rsid w:val="048A25D2"/>
    <w:rsid w:val="04A6376D"/>
    <w:rsid w:val="04B64F01"/>
    <w:rsid w:val="04BF5FBF"/>
    <w:rsid w:val="04C876CC"/>
    <w:rsid w:val="04DB2986"/>
    <w:rsid w:val="04DB7416"/>
    <w:rsid w:val="04EF5C7B"/>
    <w:rsid w:val="0506508B"/>
    <w:rsid w:val="05145F3C"/>
    <w:rsid w:val="05265494"/>
    <w:rsid w:val="05724385"/>
    <w:rsid w:val="05836D23"/>
    <w:rsid w:val="058F185B"/>
    <w:rsid w:val="05A82A2F"/>
    <w:rsid w:val="05B53743"/>
    <w:rsid w:val="05C50AD2"/>
    <w:rsid w:val="05F83EAE"/>
    <w:rsid w:val="05F8528A"/>
    <w:rsid w:val="06172591"/>
    <w:rsid w:val="062D6A26"/>
    <w:rsid w:val="062E39D0"/>
    <w:rsid w:val="062F6941"/>
    <w:rsid w:val="063C62CC"/>
    <w:rsid w:val="063E7D85"/>
    <w:rsid w:val="0650099B"/>
    <w:rsid w:val="06797350"/>
    <w:rsid w:val="06967B5E"/>
    <w:rsid w:val="06B84F5C"/>
    <w:rsid w:val="06E525E5"/>
    <w:rsid w:val="071B126C"/>
    <w:rsid w:val="07293586"/>
    <w:rsid w:val="07295285"/>
    <w:rsid w:val="072E442D"/>
    <w:rsid w:val="07636392"/>
    <w:rsid w:val="076512AD"/>
    <w:rsid w:val="0766098B"/>
    <w:rsid w:val="07716182"/>
    <w:rsid w:val="07770C56"/>
    <w:rsid w:val="0798786D"/>
    <w:rsid w:val="07C217F5"/>
    <w:rsid w:val="07C92A71"/>
    <w:rsid w:val="080A24E6"/>
    <w:rsid w:val="080E4FCD"/>
    <w:rsid w:val="08372078"/>
    <w:rsid w:val="08431B65"/>
    <w:rsid w:val="08666DA1"/>
    <w:rsid w:val="08695E60"/>
    <w:rsid w:val="08895CAC"/>
    <w:rsid w:val="08B57CCB"/>
    <w:rsid w:val="08C327FF"/>
    <w:rsid w:val="08DB3BEA"/>
    <w:rsid w:val="08EC7A4E"/>
    <w:rsid w:val="09220158"/>
    <w:rsid w:val="092217DD"/>
    <w:rsid w:val="09304210"/>
    <w:rsid w:val="093A7294"/>
    <w:rsid w:val="09454969"/>
    <w:rsid w:val="097E6EA3"/>
    <w:rsid w:val="09810495"/>
    <w:rsid w:val="0983169A"/>
    <w:rsid w:val="09D71E5F"/>
    <w:rsid w:val="09DF15CC"/>
    <w:rsid w:val="09E2697A"/>
    <w:rsid w:val="0A263993"/>
    <w:rsid w:val="0A2D3AC2"/>
    <w:rsid w:val="0A3F2E2B"/>
    <w:rsid w:val="0A684BA4"/>
    <w:rsid w:val="0A7E3F4F"/>
    <w:rsid w:val="0A8B18C5"/>
    <w:rsid w:val="0AA755DF"/>
    <w:rsid w:val="0AC9565B"/>
    <w:rsid w:val="0AE211AF"/>
    <w:rsid w:val="0AFC1468"/>
    <w:rsid w:val="0B120D44"/>
    <w:rsid w:val="0B3155B3"/>
    <w:rsid w:val="0B547E13"/>
    <w:rsid w:val="0B6D5EE9"/>
    <w:rsid w:val="0B8730B0"/>
    <w:rsid w:val="0BBC7C0B"/>
    <w:rsid w:val="0BCD4627"/>
    <w:rsid w:val="0BD27BF6"/>
    <w:rsid w:val="0BE42A09"/>
    <w:rsid w:val="0BE63744"/>
    <w:rsid w:val="0BEC7247"/>
    <w:rsid w:val="0C074F67"/>
    <w:rsid w:val="0C294588"/>
    <w:rsid w:val="0C2C230A"/>
    <w:rsid w:val="0C3B3C7D"/>
    <w:rsid w:val="0C4560B5"/>
    <w:rsid w:val="0C493422"/>
    <w:rsid w:val="0C6A2B3A"/>
    <w:rsid w:val="0C8410E4"/>
    <w:rsid w:val="0C9353B3"/>
    <w:rsid w:val="0CAB2EAE"/>
    <w:rsid w:val="0CD34642"/>
    <w:rsid w:val="0CF739F1"/>
    <w:rsid w:val="0CF75828"/>
    <w:rsid w:val="0D10632B"/>
    <w:rsid w:val="0D2B14C6"/>
    <w:rsid w:val="0D2B22E3"/>
    <w:rsid w:val="0D345D60"/>
    <w:rsid w:val="0D611730"/>
    <w:rsid w:val="0D621C7D"/>
    <w:rsid w:val="0D721BE1"/>
    <w:rsid w:val="0D7E7FD1"/>
    <w:rsid w:val="0D9F1926"/>
    <w:rsid w:val="0E0D7574"/>
    <w:rsid w:val="0E3B377F"/>
    <w:rsid w:val="0E5275DB"/>
    <w:rsid w:val="0E5D5685"/>
    <w:rsid w:val="0E671AB4"/>
    <w:rsid w:val="0E73034D"/>
    <w:rsid w:val="0E96474D"/>
    <w:rsid w:val="0EB75AC4"/>
    <w:rsid w:val="0EBC5492"/>
    <w:rsid w:val="0EE04CED"/>
    <w:rsid w:val="0F0C0A35"/>
    <w:rsid w:val="0F13775A"/>
    <w:rsid w:val="0F1422BE"/>
    <w:rsid w:val="0F442373"/>
    <w:rsid w:val="0F5F45FE"/>
    <w:rsid w:val="0F9A112B"/>
    <w:rsid w:val="0FC50510"/>
    <w:rsid w:val="0FCA319C"/>
    <w:rsid w:val="0FCC0442"/>
    <w:rsid w:val="0FEF0D66"/>
    <w:rsid w:val="0FFB367C"/>
    <w:rsid w:val="1002474E"/>
    <w:rsid w:val="100C42C5"/>
    <w:rsid w:val="102C6989"/>
    <w:rsid w:val="106D2F64"/>
    <w:rsid w:val="107D1796"/>
    <w:rsid w:val="10896F77"/>
    <w:rsid w:val="10A51F8B"/>
    <w:rsid w:val="10B63710"/>
    <w:rsid w:val="10F10820"/>
    <w:rsid w:val="11096DD9"/>
    <w:rsid w:val="111764FF"/>
    <w:rsid w:val="111C2F7A"/>
    <w:rsid w:val="11205DB7"/>
    <w:rsid w:val="115C78AE"/>
    <w:rsid w:val="115D1472"/>
    <w:rsid w:val="11665CA1"/>
    <w:rsid w:val="11751814"/>
    <w:rsid w:val="11766133"/>
    <w:rsid w:val="119D3C47"/>
    <w:rsid w:val="11BF3628"/>
    <w:rsid w:val="11EF3A8C"/>
    <w:rsid w:val="12175C9E"/>
    <w:rsid w:val="122C7302"/>
    <w:rsid w:val="1243091A"/>
    <w:rsid w:val="12C22B80"/>
    <w:rsid w:val="12EE0B8C"/>
    <w:rsid w:val="13032F1C"/>
    <w:rsid w:val="13263654"/>
    <w:rsid w:val="1328367A"/>
    <w:rsid w:val="132F0FB1"/>
    <w:rsid w:val="13303297"/>
    <w:rsid w:val="13380894"/>
    <w:rsid w:val="133B7C11"/>
    <w:rsid w:val="134D485D"/>
    <w:rsid w:val="13951726"/>
    <w:rsid w:val="13C00D9F"/>
    <w:rsid w:val="140C5D92"/>
    <w:rsid w:val="14220E7C"/>
    <w:rsid w:val="14396509"/>
    <w:rsid w:val="1442132E"/>
    <w:rsid w:val="14524A50"/>
    <w:rsid w:val="14D37745"/>
    <w:rsid w:val="14DD2C3C"/>
    <w:rsid w:val="14E239C4"/>
    <w:rsid w:val="14F40A67"/>
    <w:rsid w:val="151C6F54"/>
    <w:rsid w:val="151E5339"/>
    <w:rsid w:val="15242A3A"/>
    <w:rsid w:val="153B4367"/>
    <w:rsid w:val="153D3AAD"/>
    <w:rsid w:val="155D7478"/>
    <w:rsid w:val="156740F1"/>
    <w:rsid w:val="156B641B"/>
    <w:rsid w:val="158203A9"/>
    <w:rsid w:val="1583450F"/>
    <w:rsid w:val="15943460"/>
    <w:rsid w:val="159712B2"/>
    <w:rsid w:val="15CC515D"/>
    <w:rsid w:val="15D52E4D"/>
    <w:rsid w:val="15FA3A6F"/>
    <w:rsid w:val="16070E8F"/>
    <w:rsid w:val="16087E1D"/>
    <w:rsid w:val="160B3367"/>
    <w:rsid w:val="16244481"/>
    <w:rsid w:val="162B1B2E"/>
    <w:rsid w:val="16482D6D"/>
    <w:rsid w:val="16590164"/>
    <w:rsid w:val="1663650F"/>
    <w:rsid w:val="16750E69"/>
    <w:rsid w:val="167A19D9"/>
    <w:rsid w:val="16816A0F"/>
    <w:rsid w:val="1686712A"/>
    <w:rsid w:val="16A33F03"/>
    <w:rsid w:val="16C32BC2"/>
    <w:rsid w:val="16D30570"/>
    <w:rsid w:val="1711672D"/>
    <w:rsid w:val="173B7BDA"/>
    <w:rsid w:val="1752622B"/>
    <w:rsid w:val="17596858"/>
    <w:rsid w:val="17701D14"/>
    <w:rsid w:val="17704C86"/>
    <w:rsid w:val="17735226"/>
    <w:rsid w:val="177C19B4"/>
    <w:rsid w:val="17945C26"/>
    <w:rsid w:val="17A925D0"/>
    <w:rsid w:val="17D63565"/>
    <w:rsid w:val="17ED1F41"/>
    <w:rsid w:val="18515349"/>
    <w:rsid w:val="186C1276"/>
    <w:rsid w:val="18781D3D"/>
    <w:rsid w:val="18964FD2"/>
    <w:rsid w:val="1897395E"/>
    <w:rsid w:val="189F624C"/>
    <w:rsid w:val="18C62201"/>
    <w:rsid w:val="18CA0302"/>
    <w:rsid w:val="18E122F2"/>
    <w:rsid w:val="18ED49F3"/>
    <w:rsid w:val="18F83CE0"/>
    <w:rsid w:val="191A6B87"/>
    <w:rsid w:val="195613E9"/>
    <w:rsid w:val="195B2F36"/>
    <w:rsid w:val="19647BA2"/>
    <w:rsid w:val="19851C3D"/>
    <w:rsid w:val="198600AA"/>
    <w:rsid w:val="19A26BA0"/>
    <w:rsid w:val="19AE29AC"/>
    <w:rsid w:val="19D42279"/>
    <w:rsid w:val="1A084A14"/>
    <w:rsid w:val="1A1C66C0"/>
    <w:rsid w:val="1A42393B"/>
    <w:rsid w:val="1A475DB0"/>
    <w:rsid w:val="1A52259C"/>
    <w:rsid w:val="1A776CD3"/>
    <w:rsid w:val="1A8854A5"/>
    <w:rsid w:val="1AA43E26"/>
    <w:rsid w:val="1AAD45DE"/>
    <w:rsid w:val="1AB9482E"/>
    <w:rsid w:val="1ACE6689"/>
    <w:rsid w:val="1AFF28A6"/>
    <w:rsid w:val="1B046F80"/>
    <w:rsid w:val="1B1705E7"/>
    <w:rsid w:val="1B3267B5"/>
    <w:rsid w:val="1B40161D"/>
    <w:rsid w:val="1B441859"/>
    <w:rsid w:val="1B5556FE"/>
    <w:rsid w:val="1B6606B1"/>
    <w:rsid w:val="1B7766A6"/>
    <w:rsid w:val="1B86328A"/>
    <w:rsid w:val="1B9E7044"/>
    <w:rsid w:val="1BA3709D"/>
    <w:rsid w:val="1BCB0363"/>
    <w:rsid w:val="1BCD1DDA"/>
    <w:rsid w:val="1C5E7925"/>
    <w:rsid w:val="1CAB2987"/>
    <w:rsid w:val="1CE23907"/>
    <w:rsid w:val="1CEE2E96"/>
    <w:rsid w:val="1CF756E4"/>
    <w:rsid w:val="1CF763F3"/>
    <w:rsid w:val="1CFD070F"/>
    <w:rsid w:val="1D1B4C4A"/>
    <w:rsid w:val="1D242BC5"/>
    <w:rsid w:val="1D2B3BE8"/>
    <w:rsid w:val="1D3E1D20"/>
    <w:rsid w:val="1D5435EB"/>
    <w:rsid w:val="1D5F6196"/>
    <w:rsid w:val="1D6132A5"/>
    <w:rsid w:val="1D6D12C4"/>
    <w:rsid w:val="1D751E3D"/>
    <w:rsid w:val="1D84622C"/>
    <w:rsid w:val="1D8E56D5"/>
    <w:rsid w:val="1D9D3801"/>
    <w:rsid w:val="1DC83ED9"/>
    <w:rsid w:val="1DE50839"/>
    <w:rsid w:val="1DF63CB4"/>
    <w:rsid w:val="1E3F597B"/>
    <w:rsid w:val="1E414482"/>
    <w:rsid w:val="1E4A5E44"/>
    <w:rsid w:val="1E6B2054"/>
    <w:rsid w:val="1E724832"/>
    <w:rsid w:val="1E7A43DA"/>
    <w:rsid w:val="1E9D0F7B"/>
    <w:rsid w:val="1EAF1807"/>
    <w:rsid w:val="1EEC3884"/>
    <w:rsid w:val="1F0E468A"/>
    <w:rsid w:val="1F1B18BC"/>
    <w:rsid w:val="1F2B4E34"/>
    <w:rsid w:val="1F3843C1"/>
    <w:rsid w:val="1F44587F"/>
    <w:rsid w:val="1F605FE7"/>
    <w:rsid w:val="1F632507"/>
    <w:rsid w:val="1F746E84"/>
    <w:rsid w:val="1FA84E42"/>
    <w:rsid w:val="1FB00F69"/>
    <w:rsid w:val="1FB965BB"/>
    <w:rsid w:val="1FE7539E"/>
    <w:rsid w:val="203D7D90"/>
    <w:rsid w:val="20590AC2"/>
    <w:rsid w:val="20614CD6"/>
    <w:rsid w:val="20671BE0"/>
    <w:rsid w:val="207043FE"/>
    <w:rsid w:val="209308CC"/>
    <w:rsid w:val="20963CB8"/>
    <w:rsid w:val="20A81A1B"/>
    <w:rsid w:val="20B07FB6"/>
    <w:rsid w:val="20B646FB"/>
    <w:rsid w:val="211046D4"/>
    <w:rsid w:val="211676D7"/>
    <w:rsid w:val="211845C8"/>
    <w:rsid w:val="213B74B1"/>
    <w:rsid w:val="213E6FB8"/>
    <w:rsid w:val="215A2310"/>
    <w:rsid w:val="216C3EE6"/>
    <w:rsid w:val="21B36E7F"/>
    <w:rsid w:val="21CB33D9"/>
    <w:rsid w:val="21CE1C7F"/>
    <w:rsid w:val="21D25F9C"/>
    <w:rsid w:val="21DE318A"/>
    <w:rsid w:val="21EF5B80"/>
    <w:rsid w:val="21F226EB"/>
    <w:rsid w:val="21FD2577"/>
    <w:rsid w:val="22042579"/>
    <w:rsid w:val="222B20EB"/>
    <w:rsid w:val="222C343F"/>
    <w:rsid w:val="224510FC"/>
    <w:rsid w:val="22576990"/>
    <w:rsid w:val="226877B8"/>
    <w:rsid w:val="22F47480"/>
    <w:rsid w:val="23011782"/>
    <w:rsid w:val="23106539"/>
    <w:rsid w:val="234B34B7"/>
    <w:rsid w:val="23636575"/>
    <w:rsid w:val="237E0F11"/>
    <w:rsid w:val="239255C5"/>
    <w:rsid w:val="23DE1C48"/>
    <w:rsid w:val="240210CD"/>
    <w:rsid w:val="24337677"/>
    <w:rsid w:val="24514728"/>
    <w:rsid w:val="24623E46"/>
    <w:rsid w:val="246F15F9"/>
    <w:rsid w:val="24782E72"/>
    <w:rsid w:val="24BF09F7"/>
    <w:rsid w:val="24CB5BED"/>
    <w:rsid w:val="24F00936"/>
    <w:rsid w:val="24FC1579"/>
    <w:rsid w:val="25100DC9"/>
    <w:rsid w:val="252458BF"/>
    <w:rsid w:val="252B120A"/>
    <w:rsid w:val="252D53FE"/>
    <w:rsid w:val="25574537"/>
    <w:rsid w:val="2561089A"/>
    <w:rsid w:val="256E70EA"/>
    <w:rsid w:val="257632C2"/>
    <w:rsid w:val="2593043B"/>
    <w:rsid w:val="25C5105D"/>
    <w:rsid w:val="25CA35FA"/>
    <w:rsid w:val="25CF052A"/>
    <w:rsid w:val="25EA71B5"/>
    <w:rsid w:val="25EB342A"/>
    <w:rsid w:val="25EC2D81"/>
    <w:rsid w:val="262961B5"/>
    <w:rsid w:val="263A4F49"/>
    <w:rsid w:val="265B69C8"/>
    <w:rsid w:val="2662742C"/>
    <w:rsid w:val="267F3AB9"/>
    <w:rsid w:val="268623B7"/>
    <w:rsid w:val="26BB7F82"/>
    <w:rsid w:val="26D273BE"/>
    <w:rsid w:val="26F1708D"/>
    <w:rsid w:val="273534DF"/>
    <w:rsid w:val="274D4DAF"/>
    <w:rsid w:val="2751509B"/>
    <w:rsid w:val="277057A2"/>
    <w:rsid w:val="27712C61"/>
    <w:rsid w:val="27805317"/>
    <w:rsid w:val="27915F19"/>
    <w:rsid w:val="27986F69"/>
    <w:rsid w:val="27B66C14"/>
    <w:rsid w:val="27DB3A6D"/>
    <w:rsid w:val="27E266BE"/>
    <w:rsid w:val="27FB6B9D"/>
    <w:rsid w:val="281F20EA"/>
    <w:rsid w:val="28284534"/>
    <w:rsid w:val="28524E07"/>
    <w:rsid w:val="286D6E2A"/>
    <w:rsid w:val="287723F6"/>
    <w:rsid w:val="287D3569"/>
    <w:rsid w:val="28853F57"/>
    <w:rsid w:val="288B0015"/>
    <w:rsid w:val="28965154"/>
    <w:rsid w:val="28972724"/>
    <w:rsid w:val="29031737"/>
    <w:rsid w:val="291412AF"/>
    <w:rsid w:val="29206EB8"/>
    <w:rsid w:val="292251BA"/>
    <w:rsid w:val="29595666"/>
    <w:rsid w:val="297F1B17"/>
    <w:rsid w:val="29874881"/>
    <w:rsid w:val="298C4BB9"/>
    <w:rsid w:val="29A0394E"/>
    <w:rsid w:val="29A27C41"/>
    <w:rsid w:val="29A62ABE"/>
    <w:rsid w:val="29BA6D10"/>
    <w:rsid w:val="29E325E0"/>
    <w:rsid w:val="29E3627E"/>
    <w:rsid w:val="29EE496D"/>
    <w:rsid w:val="2A3A657B"/>
    <w:rsid w:val="2A452503"/>
    <w:rsid w:val="2A552A26"/>
    <w:rsid w:val="2A6976B6"/>
    <w:rsid w:val="2A6F179B"/>
    <w:rsid w:val="2A7542EE"/>
    <w:rsid w:val="2A893CA1"/>
    <w:rsid w:val="2A9A2534"/>
    <w:rsid w:val="2AC86160"/>
    <w:rsid w:val="2ADF7D11"/>
    <w:rsid w:val="2B0A757D"/>
    <w:rsid w:val="2B102BB8"/>
    <w:rsid w:val="2B3E4DB0"/>
    <w:rsid w:val="2B483F08"/>
    <w:rsid w:val="2B4C0D74"/>
    <w:rsid w:val="2B4D6032"/>
    <w:rsid w:val="2B567541"/>
    <w:rsid w:val="2B694173"/>
    <w:rsid w:val="2B6B404A"/>
    <w:rsid w:val="2B7A5672"/>
    <w:rsid w:val="2B9510E4"/>
    <w:rsid w:val="2BA936A8"/>
    <w:rsid w:val="2BB52D4A"/>
    <w:rsid w:val="2BE54812"/>
    <w:rsid w:val="2C315A5A"/>
    <w:rsid w:val="2C3F68BD"/>
    <w:rsid w:val="2C4B1C25"/>
    <w:rsid w:val="2C6116E2"/>
    <w:rsid w:val="2C795946"/>
    <w:rsid w:val="2C8958D9"/>
    <w:rsid w:val="2C9E098C"/>
    <w:rsid w:val="2CB1540A"/>
    <w:rsid w:val="2CB6160B"/>
    <w:rsid w:val="2CD60996"/>
    <w:rsid w:val="2D1452CC"/>
    <w:rsid w:val="2D164812"/>
    <w:rsid w:val="2D2E7EFA"/>
    <w:rsid w:val="2D4413BE"/>
    <w:rsid w:val="2D5168EB"/>
    <w:rsid w:val="2D646A9E"/>
    <w:rsid w:val="2D7417E0"/>
    <w:rsid w:val="2D937994"/>
    <w:rsid w:val="2D967370"/>
    <w:rsid w:val="2D9A3C9C"/>
    <w:rsid w:val="2D9E56F5"/>
    <w:rsid w:val="2DAB40A7"/>
    <w:rsid w:val="2DB070E1"/>
    <w:rsid w:val="2DB9108C"/>
    <w:rsid w:val="2DD21CFE"/>
    <w:rsid w:val="2DED22BD"/>
    <w:rsid w:val="2E060F93"/>
    <w:rsid w:val="2E5B6CCE"/>
    <w:rsid w:val="2E667F96"/>
    <w:rsid w:val="2E811FD2"/>
    <w:rsid w:val="2E8226AB"/>
    <w:rsid w:val="2E9B0C22"/>
    <w:rsid w:val="2EB26CA6"/>
    <w:rsid w:val="2EC857AF"/>
    <w:rsid w:val="2ECC3126"/>
    <w:rsid w:val="2EDE1CA5"/>
    <w:rsid w:val="2EE8129A"/>
    <w:rsid w:val="2EEB7F84"/>
    <w:rsid w:val="2EF54A74"/>
    <w:rsid w:val="2F010A42"/>
    <w:rsid w:val="2F117543"/>
    <w:rsid w:val="2F213E94"/>
    <w:rsid w:val="2F2218CD"/>
    <w:rsid w:val="2F327161"/>
    <w:rsid w:val="2FAD43E3"/>
    <w:rsid w:val="2FC7058A"/>
    <w:rsid w:val="2FD065E6"/>
    <w:rsid w:val="2FD96870"/>
    <w:rsid w:val="300E6765"/>
    <w:rsid w:val="3035771E"/>
    <w:rsid w:val="303D1505"/>
    <w:rsid w:val="30580BC9"/>
    <w:rsid w:val="305B3706"/>
    <w:rsid w:val="307C7B13"/>
    <w:rsid w:val="30981088"/>
    <w:rsid w:val="309B0E28"/>
    <w:rsid w:val="30A019AE"/>
    <w:rsid w:val="30A229C5"/>
    <w:rsid w:val="30B90164"/>
    <w:rsid w:val="30BD1830"/>
    <w:rsid w:val="310E1AE3"/>
    <w:rsid w:val="31174B3B"/>
    <w:rsid w:val="311E2ED7"/>
    <w:rsid w:val="313A1B9E"/>
    <w:rsid w:val="31405C47"/>
    <w:rsid w:val="31457FBA"/>
    <w:rsid w:val="315619EE"/>
    <w:rsid w:val="315C449C"/>
    <w:rsid w:val="316C2770"/>
    <w:rsid w:val="318A151B"/>
    <w:rsid w:val="319C2EC7"/>
    <w:rsid w:val="31B82709"/>
    <w:rsid w:val="31BC0EDD"/>
    <w:rsid w:val="31BC5FAB"/>
    <w:rsid w:val="31C43381"/>
    <w:rsid w:val="31D05482"/>
    <w:rsid w:val="32044DE7"/>
    <w:rsid w:val="32127643"/>
    <w:rsid w:val="32152719"/>
    <w:rsid w:val="3219116F"/>
    <w:rsid w:val="32400B34"/>
    <w:rsid w:val="324711D9"/>
    <w:rsid w:val="327266B7"/>
    <w:rsid w:val="329E6876"/>
    <w:rsid w:val="32B55019"/>
    <w:rsid w:val="32C207D0"/>
    <w:rsid w:val="33027CCB"/>
    <w:rsid w:val="330938A4"/>
    <w:rsid w:val="33155247"/>
    <w:rsid w:val="33233DD1"/>
    <w:rsid w:val="333015F2"/>
    <w:rsid w:val="3333558C"/>
    <w:rsid w:val="333357B9"/>
    <w:rsid w:val="33377599"/>
    <w:rsid w:val="334B6320"/>
    <w:rsid w:val="33523D87"/>
    <w:rsid w:val="336015CA"/>
    <w:rsid w:val="337C5CE2"/>
    <w:rsid w:val="338A2D0F"/>
    <w:rsid w:val="338E0E25"/>
    <w:rsid w:val="33AD5DE2"/>
    <w:rsid w:val="33D934D4"/>
    <w:rsid w:val="33ED353E"/>
    <w:rsid w:val="33F46302"/>
    <w:rsid w:val="33F9005E"/>
    <w:rsid w:val="33FE2F6A"/>
    <w:rsid w:val="340E07E5"/>
    <w:rsid w:val="34235BF7"/>
    <w:rsid w:val="34776090"/>
    <w:rsid w:val="347F7F90"/>
    <w:rsid w:val="34845FFE"/>
    <w:rsid w:val="34AA7269"/>
    <w:rsid w:val="34D44E08"/>
    <w:rsid w:val="34F81D93"/>
    <w:rsid w:val="353108A9"/>
    <w:rsid w:val="35407898"/>
    <w:rsid w:val="356332EE"/>
    <w:rsid w:val="35795A7A"/>
    <w:rsid w:val="35867B7C"/>
    <w:rsid w:val="358C5FA8"/>
    <w:rsid w:val="35AF07FC"/>
    <w:rsid w:val="35C15DF1"/>
    <w:rsid w:val="35C264DF"/>
    <w:rsid w:val="35E0255E"/>
    <w:rsid w:val="35F04BB4"/>
    <w:rsid w:val="35F97933"/>
    <w:rsid w:val="35FD643B"/>
    <w:rsid w:val="36051466"/>
    <w:rsid w:val="36074A7F"/>
    <w:rsid w:val="360761AC"/>
    <w:rsid w:val="36111D60"/>
    <w:rsid w:val="362E15BF"/>
    <w:rsid w:val="36344C0B"/>
    <w:rsid w:val="3645480F"/>
    <w:rsid w:val="36466CA9"/>
    <w:rsid w:val="364735C6"/>
    <w:rsid w:val="368419DB"/>
    <w:rsid w:val="36923549"/>
    <w:rsid w:val="36AA4385"/>
    <w:rsid w:val="36B00C10"/>
    <w:rsid w:val="36B75FBF"/>
    <w:rsid w:val="36B76963"/>
    <w:rsid w:val="36B84BBF"/>
    <w:rsid w:val="36BA564C"/>
    <w:rsid w:val="36BD0C45"/>
    <w:rsid w:val="36D1363F"/>
    <w:rsid w:val="371E2415"/>
    <w:rsid w:val="3746697E"/>
    <w:rsid w:val="374B6D81"/>
    <w:rsid w:val="37767CBC"/>
    <w:rsid w:val="37A3153C"/>
    <w:rsid w:val="37AD2B24"/>
    <w:rsid w:val="37B3220F"/>
    <w:rsid w:val="37B62948"/>
    <w:rsid w:val="37BA05D2"/>
    <w:rsid w:val="37C356D1"/>
    <w:rsid w:val="37C37D60"/>
    <w:rsid w:val="37CC4FCD"/>
    <w:rsid w:val="37D03612"/>
    <w:rsid w:val="37E00298"/>
    <w:rsid w:val="37E201D0"/>
    <w:rsid w:val="37E65A75"/>
    <w:rsid w:val="38141F03"/>
    <w:rsid w:val="382724FA"/>
    <w:rsid w:val="383271EC"/>
    <w:rsid w:val="38411EEB"/>
    <w:rsid w:val="38811DB6"/>
    <w:rsid w:val="3894402F"/>
    <w:rsid w:val="38B302F9"/>
    <w:rsid w:val="38C15AA9"/>
    <w:rsid w:val="38DB4FAA"/>
    <w:rsid w:val="38E73B11"/>
    <w:rsid w:val="38F105F4"/>
    <w:rsid w:val="38F12CD3"/>
    <w:rsid w:val="38F26DE2"/>
    <w:rsid w:val="38F94775"/>
    <w:rsid w:val="39193AB9"/>
    <w:rsid w:val="392971ED"/>
    <w:rsid w:val="39325651"/>
    <w:rsid w:val="39503DF1"/>
    <w:rsid w:val="39523981"/>
    <w:rsid w:val="39583F58"/>
    <w:rsid w:val="39613471"/>
    <w:rsid w:val="396F6A8E"/>
    <w:rsid w:val="397817E5"/>
    <w:rsid w:val="397A778A"/>
    <w:rsid w:val="39847693"/>
    <w:rsid w:val="399764F9"/>
    <w:rsid w:val="39BD6E1B"/>
    <w:rsid w:val="39C15F74"/>
    <w:rsid w:val="39D6110F"/>
    <w:rsid w:val="3A271FA0"/>
    <w:rsid w:val="3A2B23A7"/>
    <w:rsid w:val="3A5066FA"/>
    <w:rsid w:val="3A5B25EF"/>
    <w:rsid w:val="3A5F44D3"/>
    <w:rsid w:val="3A616D13"/>
    <w:rsid w:val="3A872856"/>
    <w:rsid w:val="3AC0708D"/>
    <w:rsid w:val="3AD526F1"/>
    <w:rsid w:val="3ADC2B95"/>
    <w:rsid w:val="3B00137F"/>
    <w:rsid w:val="3B04378B"/>
    <w:rsid w:val="3B2F45E4"/>
    <w:rsid w:val="3B3763D1"/>
    <w:rsid w:val="3B377F33"/>
    <w:rsid w:val="3B681B8A"/>
    <w:rsid w:val="3B7A6DD7"/>
    <w:rsid w:val="3B804F23"/>
    <w:rsid w:val="3B9F6A1B"/>
    <w:rsid w:val="3BA87A17"/>
    <w:rsid w:val="3BAE764C"/>
    <w:rsid w:val="3BD4470C"/>
    <w:rsid w:val="3BD44ADD"/>
    <w:rsid w:val="3BEC0B52"/>
    <w:rsid w:val="3BF41C87"/>
    <w:rsid w:val="3C066867"/>
    <w:rsid w:val="3C2F6E1E"/>
    <w:rsid w:val="3C4D0AAA"/>
    <w:rsid w:val="3C4F64BA"/>
    <w:rsid w:val="3C604CE8"/>
    <w:rsid w:val="3C810CC7"/>
    <w:rsid w:val="3C9838DB"/>
    <w:rsid w:val="3CC70342"/>
    <w:rsid w:val="3CCA4C4F"/>
    <w:rsid w:val="3CD921B8"/>
    <w:rsid w:val="3CDA245A"/>
    <w:rsid w:val="3CE308D4"/>
    <w:rsid w:val="3CE8106F"/>
    <w:rsid w:val="3D035378"/>
    <w:rsid w:val="3D0B656F"/>
    <w:rsid w:val="3D1B6F44"/>
    <w:rsid w:val="3D1E06B7"/>
    <w:rsid w:val="3D3F65C6"/>
    <w:rsid w:val="3D514E60"/>
    <w:rsid w:val="3D554EEA"/>
    <w:rsid w:val="3D5835D6"/>
    <w:rsid w:val="3D640675"/>
    <w:rsid w:val="3D640B45"/>
    <w:rsid w:val="3D7A14A2"/>
    <w:rsid w:val="3D80785C"/>
    <w:rsid w:val="3DBD30FA"/>
    <w:rsid w:val="3DDD479F"/>
    <w:rsid w:val="3DEE2F5C"/>
    <w:rsid w:val="3DF36CD1"/>
    <w:rsid w:val="3E1A36D6"/>
    <w:rsid w:val="3E2D76B9"/>
    <w:rsid w:val="3E2E756B"/>
    <w:rsid w:val="3E337B3E"/>
    <w:rsid w:val="3E722108"/>
    <w:rsid w:val="3E8976D9"/>
    <w:rsid w:val="3E9F0985"/>
    <w:rsid w:val="3EA0645E"/>
    <w:rsid w:val="3EA419DB"/>
    <w:rsid w:val="3EBC555F"/>
    <w:rsid w:val="3EC20933"/>
    <w:rsid w:val="3EC67486"/>
    <w:rsid w:val="3EDA0523"/>
    <w:rsid w:val="3EE019A6"/>
    <w:rsid w:val="3EFD1269"/>
    <w:rsid w:val="3F0C47A7"/>
    <w:rsid w:val="3F0F1848"/>
    <w:rsid w:val="3F5B638A"/>
    <w:rsid w:val="3F5F763B"/>
    <w:rsid w:val="3F6A121D"/>
    <w:rsid w:val="3F7C0903"/>
    <w:rsid w:val="3F8E6FA5"/>
    <w:rsid w:val="3FB44A1C"/>
    <w:rsid w:val="3FC24A2C"/>
    <w:rsid w:val="3FC3275A"/>
    <w:rsid w:val="400D0872"/>
    <w:rsid w:val="401D1486"/>
    <w:rsid w:val="405D7862"/>
    <w:rsid w:val="406916B3"/>
    <w:rsid w:val="406E6E70"/>
    <w:rsid w:val="40764976"/>
    <w:rsid w:val="407A6407"/>
    <w:rsid w:val="40810BB6"/>
    <w:rsid w:val="40882F97"/>
    <w:rsid w:val="40B47C7B"/>
    <w:rsid w:val="40D71E10"/>
    <w:rsid w:val="410C0387"/>
    <w:rsid w:val="41517F47"/>
    <w:rsid w:val="41972E4D"/>
    <w:rsid w:val="41A052D0"/>
    <w:rsid w:val="41B56BFE"/>
    <w:rsid w:val="41EA05D1"/>
    <w:rsid w:val="4200449D"/>
    <w:rsid w:val="4200548E"/>
    <w:rsid w:val="421E53B6"/>
    <w:rsid w:val="422148FE"/>
    <w:rsid w:val="423A3BCC"/>
    <w:rsid w:val="424E57D2"/>
    <w:rsid w:val="425B60BE"/>
    <w:rsid w:val="42911BE5"/>
    <w:rsid w:val="42A805F2"/>
    <w:rsid w:val="42B26C49"/>
    <w:rsid w:val="42B8474A"/>
    <w:rsid w:val="42F0009A"/>
    <w:rsid w:val="43380F99"/>
    <w:rsid w:val="433A6FE6"/>
    <w:rsid w:val="433B127C"/>
    <w:rsid w:val="434616D3"/>
    <w:rsid w:val="43480868"/>
    <w:rsid w:val="4350713C"/>
    <w:rsid w:val="436653E0"/>
    <w:rsid w:val="43A00867"/>
    <w:rsid w:val="43AF4F06"/>
    <w:rsid w:val="43BD5FBA"/>
    <w:rsid w:val="43C4431A"/>
    <w:rsid w:val="43D12241"/>
    <w:rsid w:val="43E03BDE"/>
    <w:rsid w:val="43E201C2"/>
    <w:rsid w:val="43E32A0B"/>
    <w:rsid w:val="43EB1B29"/>
    <w:rsid w:val="43F13A73"/>
    <w:rsid w:val="44382086"/>
    <w:rsid w:val="443A7B6D"/>
    <w:rsid w:val="44403649"/>
    <w:rsid w:val="444165C6"/>
    <w:rsid w:val="449E26AF"/>
    <w:rsid w:val="449F1289"/>
    <w:rsid w:val="44B951CC"/>
    <w:rsid w:val="44B95A3B"/>
    <w:rsid w:val="44CD14E0"/>
    <w:rsid w:val="44F20B0B"/>
    <w:rsid w:val="44F36336"/>
    <w:rsid w:val="4501631C"/>
    <w:rsid w:val="45260AD8"/>
    <w:rsid w:val="452C3D15"/>
    <w:rsid w:val="452E5F4C"/>
    <w:rsid w:val="45494444"/>
    <w:rsid w:val="454E2EFE"/>
    <w:rsid w:val="45507C63"/>
    <w:rsid w:val="45612018"/>
    <w:rsid w:val="458946E9"/>
    <w:rsid w:val="45970940"/>
    <w:rsid w:val="45A207D7"/>
    <w:rsid w:val="45A47C0E"/>
    <w:rsid w:val="45B76BBA"/>
    <w:rsid w:val="45C32F97"/>
    <w:rsid w:val="45C72F44"/>
    <w:rsid w:val="45F75872"/>
    <w:rsid w:val="46080B16"/>
    <w:rsid w:val="46290511"/>
    <w:rsid w:val="463472FB"/>
    <w:rsid w:val="46577FD6"/>
    <w:rsid w:val="466248F0"/>
    <w:rsid w:val="46AB342C"/>
    <w:rsid w:val="46D955A7"/>
    <w:rsid w:val="47025C1D"/>
    <w:rsid w:val="470C32B1"/>
    <w:rsid w:val="47133957"/>
    <w:rsid w:val="471A48B3"/>
    <w:rsid w:val="47234105"/>
    <w:rsid w:val="4723441D"/>
    <w:rsid w:val="47337E96"/>
    <w:rsid w:val="473B1B07"/>
    <w:rsid w:val="474F6E0F"/>
    <w:rsid w:val="47585C96"/>
    <w:rsid w:val="47622F99"/>
    <w:rsid w:val="47705E5F"/>
    <w:rsid w:val="47A07E0C"/>
    <w:rsid w:val="47AC4FF6"/>
    <w:rsid w:val="47C603E8"/>
    <w:rsid w:val="47DD7200"/>
    <w:rsid w:val="4800349E"/>
    <w:rsid w:val="481A1169"/>
    <w:rsid w:val="483507D3"/>
    <w:rsid w:val="48505C33"/>
    <w:rsid w:val="486E7F5B"/>
    <w:rsid w:val="4870272E"/>
    <w:rsid w:val="48845BC5"/>
    <w:rsid w:val="48B46707"/>
    <w:rsid w:val="48FA4737"/>
    <w:rsid w:val="49373532"/>
    <w:rsid w:val="49395BCD"/>
    <w:rsid w:val="494811E1"/>
    <w:rsid w:val="49694779"/>
    <w:rsid w:val="497C7F85"/>
    <w:rsid w:val="497E373C"/>
    <w:rsid w:val="49B9621C"/>
    <w:rsid w:val="49BE447F"/>
    <w:rsid w:val="49D2396D"/>
    <w:rsid w:val="49DC7715"/>
    <w:rsid w:val="49DD633C"/>
    <w:rsid w:val="4A023139"/>
    <w:rsid w:val="4A1E05DC"/>
    <w:rsid w:val="4A243948"/>
    <w:rsid w:val="4A2606BE"/>
    <w:rsid w:val="4A3315AC"/>
    <w:rsid w:val="4A3F0B72"/>
    <w:rsid w:val="4A487B75"/>
    <w:rsid w:val="4A5B6857"/>
    <w:rsid w:val="4A7862B5"/>
    <w:rsid w:val="4A7B576F"/>
    <w:rsid w:val="4AB72EEA"/>
    <w:rsid w:val="4AB87339"/>
    <w:rsid w:val="4ABA669A"/>
    <w:rsid w:val="4ABC08EE"/>
    <w:rsid w:val="4ABC2C3A"/>
    <w:rsid w:val="4ACA59A7"/>
    <w:rsid w:val="4ACC3A63"/>
    <w:rsid w:val="4AD93045"/>
    <w:rsid w:val="4AF561A9"/>
    <w:rsid w:val="4AFA304E"/>
    <w:rsid w:val="4B166E20"/>
    <w:rsid w:val="4B443410"/>
    <w:rsid w:val="4B5C290D"/>
    <w:rsid w:val="4B64781A"/>
    <w:rsid w:val="4B651A71"/>
    <w:rsid w:val="4B667F97"/>
    <w:rsid w:val="4B842CFD"/>
    <w:rsid w:val="4B8E2620"/>
    <w:rsid w:val="4B933132"/>
    <w:rsid w:val="4BAD385B"/>
    <w:rsid w:val="4BDC451E"/>
    <w:rsid w:val="4BE20432"/>
    <w:rsid w:val="4C465562"/>
    <w:rsid w:val="4C471BA7"/>
    <w:rsid w:val="4C4A0649"/>
    <w:rsid w:val="4C4C410D"/>
    <w:rsid w:val="4C7E5ECA"/>
    <w:rsid w:val="4C876AA5"/>
    <w:rsid w:val="4CBC60BD"/>
    <w:rsid w:val="4CC550F8"/>
    <w:rsid w:val="4CF4338D"/>
    <w:rsid w:val="4CFD7656"/>
    <w:rsid w:val="4D0E00FB"/>
    <w:rsid w:val="4D176606"/>
    <w:rsid w:val="4D2838A7"/>
    <w:rsid w:val="4D4051A4"/>
    <w:rsid w:val="4D47444B"/>
    <w:rsid w:val="4D512281"/>
    <w:rsid w:val="4D52465E"/>
    <w:rsid w:val="4D754351"/>
    <w:rsid w:val="4D7D69C0"/>
    <w:rsid w:val="4DEC4FB0"/>
    <w:rsid w:val="4DF75391"/>
    <w:rsid w:val="4E075D8A"/>
    <w:rsid w:val="4E085A4A"/>
    <w:rsid w:val="4E1103A2"/>
    <w:rsid w:val="4E6A3A66"/>
    <w:rsid w:val="4E820AE4"/>
    <w:rsid w:val="4EC00FAD"/>
    <w:rsid w:val="4EE66F35"/>
    <w:rsid w:val="4EE75DB2"/>
    <w:rsid w:val="4EF80252"/>
    <w:rsid w:val="4F036846"/>
    <w:rsid w:val="4F0467B6"/>
    <w:rsid w:val="4F144B0F"/>
    <w:rsid w:val="4F372219"/>
    <w:rsid w:val="4F486C0A"/>
    <w:rsid w:val="4F561C4B"/>
    <w:rsid w:val="4F680CDB"/>
    <w:rsid w:val="4F786766"/>
    <w:rsid w:val="4F924447"/>
    <w:rsid w:val="4F9843DC"/>
    <w:rsid w:val="4F9F4696"/>
    <w:rsid w:val="4FA217D3"/>
    <w:rsid w:val="4FAE2DC1"/>
    <w:rsid w:val="4FC21845"/>
    <w:rsid w:val="4FC62A8C"/>
    <w:rsid w:val="4FE20F0D"/>
    <w:rsid w:val="4FE51552"/>
    <w:rsid w:val="4FE56933"/>
    <w:rsid w:val="4FF56E86"/>
    <w:rsid w:val="50020A13"/>
    <w:rsid w:val="5003330D"/>
    <w:rsid w:val="50194746"/>
    <w:rsid w:val="50203E7C"/>
    <w:rsid w:val="502E5B28"/>
    <w:rsid w:val="50377D6A"/>
    <w:rsid w:val="503A1776"/>
    <w:rsid w:val="50504C4B"/>
    <w:rsid w:val="509674D4"/>
    <w:rsid w:val="509C6E7C"/>
    <w:rsid w:val="50A24223"/>
    <w:rsid w:val="50AD52BD"/>
    <w:rsid w:val="50B366C5"/>
    <w:rsid w:val="50B96C02"/>
    <w:rsid w:val="50D1103C"/>
    <w:rsid w:val="50D55552"/>
    <w:rsid w:val="50E063E5"/>
    <w:rsid w:val="50EC74AB"/>
    <w:rsid w:val="5112348A"/>
    <w:rsid w:val="512B3798"/>
    <w:rsid w:val="51416BEB"/>
    <w:rsid w:val="515B11C4"/>
    <w:rsid w:val="5162104E"/>
    <w:rsid w:val="51A259B5"/>
    <w:rsid w:val="51BF78DE"/>
    <w:rsid w:val="51F1017B"/>
    <w:rsid w:val="52053BBF"/>
    <w:rsid w:val="52073E6C"/>
    <w:rsid w:val="521B4B3B"/>
    <w:rsid w:val="522B6FE2"/>
    <w:rsid w:val="52345AFF"/>
    <w:rsid w:val="5244531B"/>
    <w:rsid w:val="528D254B"/>
    <w:rsid w:val="528F764D"/>
    <w:rsid w:val="52BB5524"/>
    <w:rsid w:val="52BD70B1"/>
    <w:rsid w:val="52D435A9"/>
    <w:rsid w:val="52E47FD2"/>
    <w:rsid w:val="52EF6D40"/>
    <w:rsid w:val="53241406"/>
    <w:rsid w:val="53A039CC"/>
    <w:rsid w:val="53A1505A"/>
    <w:rsid w:val="53D93F3E"/>
    <w:rsid w:val="53ED4489"/>
    <w:rsid w:val="54063E08"/>
    <w:rsid w:val="543437E8"/>
    <w:rsid w:val="54566323"/>
    <w:rsid w:val="546A52F0"/>
    <w:rsid w:val="54957BAE"/>
    <w:rsid w:val="54A81362"/>
    <w:rsid w:val="54B74615"/>
    <w:rsid w:val="54DD666C"/>
    <w:rsid w:val="54E10FC7"/>
    <w:rsid w:val="54EB1227"/>
    <w:rsid w:val="54F171F9"/>
    <w:rsid w:val="54F57175"/>
    <w:rsid w:val="54F70277"/>
    <w:rsid w:val="54F73313"/>
    <w:rsid w:val="54F80955"/>
    <w:rsid w:val="54F96E83"/>
    <w:rsid w:val="54FD0E3B"/>
    <w:rsid w:val="551E7CC6"/>
    <w:rsid w:val="553B0A80"/>
    <w:rsid w:val="554F3FF4"/>
    <w:rsid w:val="555170A7"/>
    <w:rsid w:val="5562274C"/>
    <w:rsid w:val="5587536D"/>
    <w:rsid w:val="559B174B"/>
    <w:rsid w:val="559F5269"/>
    <w:rsid w:val="55A462F3"/>
    <w:rsid w:val="55AB3A4D"/>
    <w:rsid w:val="55B86093"/>
    <w:rsid w:val="55CD6E4A"/>
    <w:rsid w:val="55CE0CF4"/>
    <w:rsid w:val="55F403D6"/>
    <w:rsid w:val="55F64D5F"/>
    <w:rsid w:val="561E539C"/>
    <w:rsid w:val="562B7C7F"/>
    <w:rsid w:val="566412A3"/>
    <w:rsid w:val="56A43EE5"/>
    <w:rsid w:val="56A91334"/>
    <w:rsid w:val="56B22A9C"/>
    <w:rsid w:val="56C95FA9"/>
    <w:rsid w:val="56D8766E"/>
    <w:rsid w:val="56ED382F"/>
    <w:rsid w:val="57003E96"/>
    <w:rsid w:val="5759744E"/>
    <w:rsid w:val="576F7271"/>
    <w:rsid w:val="57866E08"/>
    <w:rsid w:val="57904270"/>
    <w:rsid w:val="57AC706E"/>
    <w:rsid w:val="57B63C82"/>
    <w:rsid w:val="57B72A76"/>
    <w:rsid w:val="57B83A58"/>
    <w:rsid w:val="57C3426C"/>
    <w:rsid w:val="57C90C66"/>
    <w:rsid w:val="57CE1F93"/>
    <w:rsid w:val="57D265BC"/>
    <w:rsid w:val="581C4626"/>
    <w:rsid w:val="582513AB"/>
    <w:rsid w:val="583E2985"/>
    <w:rsid w:val="584D5F52"/>
    <w:rsid w:val="58504EDA"/>
    <w:rsid w:val="586B5D0C"/>
    <w:rsid w:val="58796B0F"/>
    <w:rsid w:val="588743D1"/>
    <w:rsid w:val="5887701A"/>
    <w:rsid w:val="589A1198"/>
    <w:rsid w:val="58A263B4"/>
    <w:rsid w:val="58B759CB"/>
    <w:rsid w:val="58BB7969"/>
    <w:rsid w:val="58BC207A"/>
    <w:rsid w:val="58E125FF"/>
    <w:rsid w:val="58E23958"/>
    <w:rsid w:val="58E9099D"/>
    <w:rsid w:val="58F61F6A"/>
    <w:rsid w:val="593F3715"/>
    <w:rsid w:val="59990C47"/>
    <w:rsid w:val="599A0F67"/>
    <w:rsid w:val="59B96879"/>
    <w:rsid w:val="59C0439F"/>
    <w:rsid w:val="59C313C6"/>
    <w:rsid w:val="59E44263"/>
    <w:rsid w:val="5A110DDF"/>
    <w:rsid w:val="5A26789A"/>
    <w:rsid w:val="5A2825F4"/>
    <w:rsid w:val="5A2E4B5D"/>
    <w:rsid w:val="5A4331EE"/>
    <w:rsid w:val="5A68664C"/>
    <w:rsid w:val="5A702935"/>
    <w:rsid w:val="5A9F2F96"/>
    <w:rsid w:val="5AA12940"/>
    <w:rsid w:val="5ABD33B7"/>
    <w:rsid w:val="5ABE2233"/>
    <w:rsid w:val="5AF16334"/>
    <w:rsid w:val="5B0D21A4"/>
    <w:rsid w:val="5B21304B"/>
    <w:rsid w:val="5B2D0678"/>
    <w:rsid w:val="5B351FF1"/>
    <w:rsid w:val="5B3F16B2"/>
    <w:rsid w:val="5BCA3C18"/>
    <w:rsid w:val="5BD32B01"/>
    <w:rsid w:val="5BD77DCC"/>
    <w:rsid w:val="5BDF5D95"/>
    <w:rsid w:val="5BF3205E"/>
    <w:rsid w:val="5BFE7528"/>
    <w:rsid w:val="5C2338DE"/>
    <w:rsid w:val="5C2A2F96"/>
    <w:rsid w:val="5C6679F7"/>
    <w:rsid w:val="5C737CEF"/>
    <w:rsid w:val="5C8E5B99"/>
    <w:rsid w:val="5C9151A8"/>
    <w:rsid w:val="5CE7126A"/>
    <w:rsid w:val="5D0559D4"/>
    <w:rsid w:val="5D2C0425"/>
    <w:rsid w:val="5D3D1BD4"/>
    <w:rsid w:val="5D4E2759"/>
    <w:rsid w:val="5D817965"/>
    <w:rsid w:val="5D9B410E"/>
    <w:rsid w:val="5DBB7546"/>
    <w:rsid w:val="5E2467F1"/>
    <w:rsid w:val="5E2D72C9"/>
    <w:rsid w:val="5E3014F9"/>
    <w:rsid w:val="5E4B2DBD"/>
    <w:rsid w:val="5E565FEC"/>
    <w:rsid w:val="5E5C7DCE"/>
    <w:rsid w:val="5E5D1F84"/>
    <w:rsid w:val="5EAF5C4C"/>
    <w:rsid w:val="5EB610E5"/>
    <w:rsid w:val="5EC55262"/>
    <w:rsid w:val="5EC713B4"/>
    <w:rsid w:val="5ECA2749"/>
    <w:rsid w:val="5ED242D7"/>
    <w:rsid w:val="5ED66942"/>
    <w:rsid w:val="5EF54E28"/>
    <w:rsid w:val="5F0C3C7C"/>
    <w:rsid w:val="5F107AA7"/>
    <w:rsid w:val="5F1A2B43"/>
    <w:rsid w:val="5F287936"/>
    <w:rsid w:val="5F2C3A81"/>
    <w:rsid w:val="5F4F429F"/>
    <w:rsid w:val="5F712028"/>
    <w:rsid w:val="5FB837BB"/>
    <w:rsid w:val="5FCA5759"/>
    <w:rsid w:val="5FDF2FCB"/>
    <w:rsid w:val="5FF028C8"/>
    <w:rsid w:val="5FFE4F2A"/>
    <w:rsid w:val="601E1B69"/>
    <w:rsid w:val="602626A4"/>
    <w:rsid w:val="60425E83"/>
    <w:rsid w:val="6044472A"/>
    <w:rsid w:val="60447488"/>
    <w:rsid w:val="604957C6"/>
    <w:rsid w:val="60632948"/>
    <w:rsid w:val="60870E0E"/>
    <w:rsid w:val="60A72382"/>
    <w:rsid w:val="60AE772B"/>
    <w:rsid w:val="60C64A9A"/>
    <w:rsid w:val="60CC405A"/>
    <w:rsid w:val="60CC714A"/>
    <w:rsid w:val="60D5052A"/>
    <w:rsid w:val="60DA3754"/>
    <w:rsid w:val="60DD41F3"/>
    <w:rsid w:val="60FC1866"/>
    <w:rsid w:val="61006EB0"/>
    <w:rsid w:val="61054F00"/>
    <w:rsid w:val="61253B20"/>
    <w:rsid w:val="61867324"/>
    <w:rsid w:val="61B17F98"/>
    <w:rsid w:val="61C50E60"/>
    <w:rsid w:val="61C727FE"/>
    <w:rsid w:val="61C80203"/>
    <w:rsid w:val="61DA58CB"/>
    <w:rsid w:val="61E215D8"/>
    <w:rsid w:val="61FB6749"/>
    <w:rsid w:val="621B3775"/>
    <w:rsid w:val="622A7A66"/>
    <w:rsid w:val="62364782"/>
    <w:rsid w:val="62690A4F"/>
    <w:rsid w:val="62694DD8"/>
    <w:rsid w:val="626E5911"/>
    <w:rsid w:val="628673A9"/>
    <w:rsid w:val="62896A4A"/>
    <w:rsid w:val="628D638D"/>
    <w:rsid w:val="62940676"/>
    <w:rsid w:val="62973365"/>
    <w:rsid w:val="629D790E"/>
    <w:rsid w:val="629E3742"/>
    <w:rsid w:val="62AE6F9C"/>
    <w:rsid w:val="62DA1901"/>
    <w:rsid w:val="62DE337B"/>
    <w:rsid w:val="62F020A0"/>
    <w:rsid w:val="63296148"/>
    <w:rsid w:val="634F5CB8"/>
    <w:rsid w:val="63603120"/>
    <w:rsid w:val="63641DB6"/>
    <w:rsid w:val="63695900"/>
    <w:rsid w:val="636E04B8"/>
    <w:rsid w:val="63892AC9"/>
    <w:rsid w:val="6394356A"/>
    <w:rsid w:val="63A34623"/>
    <w:rsid w:val="63B418C5"/>
    <w:rsid w:val="63BC6F13"/>
    <w:rsid w:val="63C61B2C"/>
    <w:rsid w:val="63C913ED"/>
    <w:rsid w:val="63D40BE9"/>
    <w:rsid w:val="640D02EF"/>
    <w:rsid w:val="64102431"/>
    <w:rsid w:val="6416019A"/>
    <w:rsid w:val="643D2985"/>
    <w:rsid w:val="644C1EE9"/>
    <w:rsid w:val="644F2494"/>
    <w:rsid w:val="64704AFB"/>
    <w:rsid w:val="64761303"/>
    <w:rsid w:val="648F271C"/>
    <w:rsid w:val="64A5243A"/>
    <w:rsid w:val="64C47469"/>
    <w:rsid w:val="64CE445A"/>
    <w:rsid w:val="64CF3168"/>
    <w:rsid w:val="64EC2318"/>
    <w:rsid w:val="64F531DE"/>
    <w:rsid w:val="651A006D"/>
    <w:rsid w:val="65333FEC"/>
    <w:rsid w:val="65373578"/>
    <w:rsid w:val="65384473"/>
    <w:rsid w:val="65667FDE"/>
    <w:rsid w:val="65C169E2"/>
    <w:rsid w:val="65E92EE0"/>
    <w:rsid w:val="65EE4B40"/>
    <w:rsid w:val="6622590D"/>
    <w:rsid w:val="66277A8B"/>
    <w:rsid w:val="66333D2C"/>
    <w:rsid w:val="66353332"/>
    <w:rsid w:val="66591648"/>
    <w:rsid w:val="667B4715"/>
    <w:rsid w:val="668B14EF"/>
    <w:rsid w:val="66A72964"/>
    <w:rsid w:val="66BD0C19"/>
    <w:rsid w:val="66C7062C"/>
    <w:rsid w:val="66CA2A97"/>
    <w:rsid w:val="66CF2DEE"/>
    <w:rsid w:val="671F124A"/>
    <w:rsid w:val="672759BA"/>
    <w:rsid w:val="67287E96"/>
    <w:rsid w:val="672D3569"/>
    <w:rsid w:val="67374850"/>
    <w:rsid w:val="67530FFE"/>
    <w:rsid w:val="677A33C6"/>
    <w:rsid w:val="67870914"/>
    <w:rsid w:val="67A74E48"/>
    <w:rsid w:val="67B077B5"/>
    <w:rsid w:val="681F6961"/>
    <w:rsid w:val="68230833"/>
    <w:rsid w:val="682455FD"/>
    <w:rsid w:val="684D10B5"/>
    <w:rsid w:val="68513CB8"/>
    <w:rsid w:val="685D0134"/>
    <w:rsid w:val="685D182B"/>
    <w:rsid w:val="68610A2F"/>
    <w:rsid w:val="68673B74"/>
    <w:rsid w:val="68805514"/>
    <w:rsid w:val="68924A8A"/>
    <w:rsid w:val="68983125"/>
    <w:rsid w:val="68B24298"/>
    <w:rsid w:val="68B56590"/>
    <w:rsid w:val="68DE3C93"/>
    <w:rsid w:val="6901169C"/>
    <w:rsid w:val="690A5643"/>
    <w:rsid w:val="6910593A"/>
    <w:rsid w:val="692D0E1E"/>
    <w:rsid w:val="692E4DC5"/>
    <w:rsid w:val="69316E2F"/>
    <w:rsid w:val="693C4B3B"/>
    <w:rsid w:val="694E2071"/>
    <w:rsid w:val="694F10AB"/>
    <w:rsid w:val="69766163"/>
    <w:rsid w:val="69787EA2"/>
    <w:rsid w:val="697A3B33"/>
    <w:rsid w:val="69800353"/>
    <w:rsid w:val="69B76167"/>
    <w:rsid w:val="69CD55B4"/>
    <w:rsid w:val="69D44760"/>
    <w:rsid w:val="6A126ACE"/>
    <w:rsid w:val="6A1B313B"/>
    <w:rsid w:val="6A362708"/>
    <w:rsid w:val="6A397588"/>
    <w:rsid w:val="6A520EC7"/>
    <w:rsid w:val="6A5D24A5"/>
    <w:rsid w:val="6A6D5B9F"/>
    <w:rsid w:val="6AC42941"/>
    <w:rsid w:val="6ACB218E"/>
    <w:rsid w:val="6AF87E20"/>
    <w:rsid w:val="6B322639"/>
    <w:rsid w:val="6B375493"/>
    <w:rsid w:val="6B3B0433"/>
    <w:rsid w:val="6B4E2F6B"/>
    <w:rsid w:val="6B633636"/>
    <w:rsid w:val="6B860939"/>
    <w:rsid w:val="6B9C59A6"/>
    <w:rsid w:val="6BAB2818"/>
    <w:rsid w:val="6BB50243"/>
    <w:rsid w:val="6BEA47D7"/>
    <w:rsid w:val="6BF00E9C"/>
    <w:rsid w:val="6BF12589"/>
    <w:rsid w:val="6C1120A0"/>
    <w:rsid w:val="6C133AE8"/>
    <w:rsid w:val="6C2532F6"/>
    <w:rsid w:val="6C2B3107"/>
    <w:rsid w:val="6C2E7E64"/>
    <w:rsid w:val="6C322CB0"/>
    <w:rsid w:val="6C587640"/>
    <w:rsid w:val="6C636C38"/>
    <w:rsid w:val="6CC11F8A"/>
    <w:rsid w:val="6CC13481"/>
    <w:rsid w:val="6CD14A7D"/>
    <w:rsid w:val="6CDB59C5"/>
    <w:rsid w:val="6D091893"/>
    <w:rsid w:val="6D0A7FDC"/>
    <w:rsid w:val="6D4141D9"/>
    <w:rsid w:val="6D4F59A1"/>
    <w:rsid w:val="6D77796F"/>
    <w:rsid w:val="6DB34098"/>
    <w:rsid w:val="6DB545B6"/>
    <w:rsid w:val="6DB74935"/>
    <w:rsid w:val="6DE02FB4"/>
    <w:rsid w:val="6E0C256A"/>
    <w:rsid w:val="6E104869"/>
    <w:rsid w:val="6E1516FB"/>
    <w:rsid w:val="6E514CED"/>
    <w:rsid w:val="6E551F26"/>
    <w:rsid w:val="6E732847"/>
    <w:rsid w:val="6EB563D5"/>
    <w:rsid w:val="6EBC0360"/>
    <w:rsid w:val="6EC16B2B"/>
    <w:rsid w:val="6EC90F1E"/>
    <w:rsid w:val="6ECF3049"/>
    <w:rsid w:val="6ED92677"/>
    <w:rsid w:val="6EE31699"/>
    <w:rsid w:val="6EFE5514"/>
    <w:rsid w:val="6F0131AB"/>
    <w:rsid w:val="6F225983"/>
    <w:rsid w:val="6F60681E"/>
    <w:rsid w:val="6F812B58"/>
    <w:rsid w:val="6FC74B67"/>
    <w:rsid w:val="6FE54F74"/>
    <w:rsid w:val="6FFC5590"/>
    <w:rsid w:val="70096D11"/>
    <w:rsid w:val="704663D5"/>
    <w:rsid w:val="706719D0"/>
    <w:rsid w:val="706D1DD0"/>
    <w:rsid w:val="70856B87"/>
    <w:rsid w:val="708C1582"/>
    <w:rsid w:val="70AE22AE"/>
    <w:rsid w:val="70D527EE"/>
    <w:rsid w:val="70FB0450"/>
    <w:rsid w:val="71030A7E"/>
    <w:rsid w:val="712F0DDB"/>
    <w:rsid w:val="71380A69"/>
    <w:rsid w:val="715B5300"/>
    <w:rsid w:val="71744E78"/>
    <w:rsid w:val="71D27F8A"/>
    <w:rsid w:val="71E30F0C"/>
    <w:rsid w:val="720C7DF1"/>
    <w:rsid w:val="721868BF"/>
    <w:rsid w:val="721F7C8B"/>
    <w:rsid w:val="72285DBC"/>
    <w:rsid w:val="722A73B7"/>
    <w:rsid w:val="722F044F"/>
    <w:rsid w:val="72553024"/>
    <w:rsid w:val="72562125"/>
    <w:rsid w:val="72625EA1"/>
    <w:rsid w:val="72891AE6"/>
    <w:rsid w:val="72A01A7D"/>
    <w:rsid w:val="72B5685D"/>
    <w:rsid w:val="72E25768"/>
    <w:rsid w:val="73122968"/>
    <w:rsid w:val="73191907"/>
    <w:rsid w:val="731B2E2B"/>
    <w:rsid w:val="731F5D5E"/>
    <w:rsid w:val="735A4161"/>
    <w:rsid w:val="737E7B6F"/>
    <w:rsid w:val="73893AF8"/>
    <w:rsid w:val="73A73D3F"/>
    <w:rsid w:val="73C51AD5"/>
    <w:rsid w:val="73D4479A"/>
    <w:rsid w:val="73FA146F"/>
    <w:rsid w:val="740B7127"/>
    <w:rsid w:val="740D72DD"/>
    <w:rsid w:val="740E68AB"/>
    <w:rsid w:val="741E793C"/>
    <w:rsid w:val="743D6A7C"/>
    <w:rsid w:val="744C1395"/>
    <w:rsid w:val="745E3944"/>
    <w:rsid w:val="748809B2"/>
    <w:rsid w:val="748A47B1"/>
    <w:rsid w:val="748D284B"/>
    <w:rsid w:val="748E1D48"/>
    <w:rsid w:val="74A4671C"/>
    <w:rsid w:val="74AE6E7D"/>
    <w:rsid w:val="74B03C60"/>
    <w:rsid w:val="74C00116"/>
    <w:rsid w:val="74C079D2"/>
    <w:rsid w:val="74CA668D"/>
    <w:rsid w:val="75042F80"/>
    <w:rsid w:val="751607BD"/>
    <w:rsid w:val="752179D3"/>
    <w:rsid w:val="752B7B94"/>
    <w:rsid w:val="753A2574"/>
    <w:rsid w:val="754517C5"/>
    <w:rsid w:val="75646BB7"/>
    <w:rsid w:val="756A25E7"/>
    <w:rsid w:val="757530AB"/>
    <w:rsid w:val="7580716F"/>
    <w:rsid w:val="75851268"/>
    <w:rsid w:val="75856806"/>
    <w:rsid w:val="7593098E"/>
    <w:rsid w:val="759630D9"/>
    <w:rsid w:val="75A36B3D"/>
    <w:rsid w:val="75C81E6C"/>
    <w:rsid w:val="75CB7941"/>
    <w:rsid w:val="75D33F28"/>
    <w:rsid w:val="75D536BC"/>
    <w:rsid w:val="75DA174C"/>
    <w:rsid w:val="75F606A5"/>
    <w:rsid w:val="7635099D"/>
    <w:rsid w:val="76422C4A"/>
    <w:rsid w:val="76423AF2"/>
    <w:rsid w:val="76431901"/>
    <w:rsid w:val="76455FF9"/>
    <w:rsid w:val="764A1933"/>
    <w:rsid w:val="767E01C1"/>
    <w:rsid w:val="768C36FC"/>
    <w:rsid w:val="769D0A2A"/>
    <w:rsid w:val="769F62B3"/>
    <w:rsid w:val="76AF5D1A"/>
    <w:rsid w:val="76C02B7B"/>
    <w:rsid w:val="76C23F5E"/>
    <w:rsid w:val="76D6258E"/>
    <w:rsid w:val="76EF766F"/>
    <w:rsid w:val="76FA61D6"/>
    <w:rsid w:val="76FD28EB"/>
    <w:rsid w:val="77136398"/>
    <w:rsid w:val="772E69EC"/>
    <w:rsid w:val="77325C7B"/>
    <w:rsid w:val="773968A5"/>
    <w:rsid w:val="77430E07"/>
    <w:rsid w:val="77460E3F"/>
    <w:rsid w:val="775D6F5A"/>
    <w:rsid w:val="77660A33"/>
    <w:rsid w:val="77751ED2"/>
    <w:rsid w:val="77762421"/>
    <w:rsid w:val="777F4C1F"/>
    <w:rsid w:val="779730E3"/>
    <w:rsid w:val="77AF7060"/>
    <w:rsid w:val="77B56B1F"/>
    <w:rsid w:val="77D31F1C"/>
    <w:rsid w:val="77D77F66"/>
    <w:rsid w:val="77DB5ED6"/>
    <w:rsid w:val="780F09F4"/>
    <w:rsid w:val="7825254C"/>
    <w:rsid w:val="7830652F"/>
    <w:rsid w:val="78572898"/>
    <w:rsid w:val="786078E7"/>
    <w:rsid w:val="78755928"/>
    <w:rsid w:val="788E511F"/>
    <w:rsid w:val="789B6A7E"/>
    <w:rsid w:val="789C2D8D"/>
    <w:rsid w:val="78A90480"/>
    <w:rsid w:val="78AB74B7"/>
    <w:rsid w:val="78FD6A2B"/>
    <w:rsid w:val="79192B1F"/>
    <w:rsid w:val="793737CF"/>
    <w:rsid w:val="795D0818"/>
    <w:rsid w:val="797A0CEE"/>
    <w:rsid w:val="7985259B"/>
    <w:rsid w:val="79E331B0"/>
    <w:rsid w:val="7A0C195D"/>
    <w:rsid w:val="7A1B3DF1"/>
    <w:rsid w:val="7A364017"/>
    <w:rsid w:val="7A8265E1"/>
    <w:rsid w:val="7A9F7E85"/>
    <w:rsid w:val="7AF52DF5"/>
    <w:rsid w:val="7B031E86"/>
    <w:rsid w:val="7B101679"/>
    <w:rsid w:val="7B257811"/>
    <w:rsid w:val="7B364B62"/>
    <w:rsid w:val="7B686D42"/>
    <w:rsid w:val="7B841746"/>
    <w:rsid w:val="7BBA6F28"/>
    <w:rsid w:val="7BEF5C44"/>
    <w:rsid w:val="7C1C2525"/>
    <w:rsid w:val="7C1C2FB2"/>
    <w:rsid w:val="7C3641FE"/>
    <w:rsid w:val="7C4F2403"/>
    <w:rsid w:val="7C5164D8"/>
    <w:rsid w:val="7C6C5AC7"/>
    <w:rsid w:val="7C736E04"/>
    <w:rsid w:val="7C7B0FBC"/>
    <w:rsid w:val="7C803145"/>
    <w:rsid w:val="7C8237D5"/>
    <w:rsid w:val="7C8823DA"/>
    <w:rsid w:val="7CC6544B"/>
    <w:rsid w:val="7CC8395B"/>
    <w:rsid w:val="7CDA3CB0"/>
    <w:rsid w:val="7D0239FF"/>
    <w:rsid w:val="7D0A2076"/>
    <w:rsid w:val="7D44453F"/>
    <w:rsid w:val="7D48125B"/>
    <w:rsid w:val="7D4A15F2"/>
    <w:rsid w:val="7D5E40CD"/>
    <w:rsid w:val="7D693F77"/>
    <w:rsid w:val="7D752336"/>
    <w:rsid w:val="7D9D545C"/>
    <w:rsid w:val="7DA03D73"/>
    <w:rsid w:val="7DCD56F2"/>
    <w:rsid w:val="7DF5288B"/>
    <w:rsid w:val="7DF545C5"/>
    <w:rsid w:val="7E0208B6"/>
    <w:rsid w:val="7E0B3266"/>
    <w:rsid w:val="7E0E786A"/>
    <w:rsid w:val="7E11124C"/>
    <w:rsid w:val="7E1960EF"/>
    <w:rsid w:val="7E257579"/>
    <w:rsid w:val="7E3B597E"/>
    <w:rsid w:val="7EA41D54"/>
    <w:rsid w:val="7ED12687"/>
    <w:rsid w:val="7F001CE7"/>
    <w:rsid w:val="7F073237"/>
    <w:rsid w:val="7F3F7F97"/>
    <w:rsid w:val="7F4C3416"/>
    <w:rsid w:val="7F4D16F5"/>
    <w:rsid w:val="7F540428"/>
    <w:rsid w:val="7F611700"/>
    <w:rsid w:val="7F855217"/>
    <w:rsid w:val="7FA9757A"/>
    <w:rsid w:val="7FB108C3"/>
    <w:rsid w:val="7FD21063"/>
    <w:rsid w:val="7FE14F7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qFormat="1"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sdException w:unhideWhenUsed="0" w:uiPriority="0" w:semiHidden="0" w:name="footnote reference" w:locked="1"/>
    <w:lsdException w:qFormat="1" w:uiPriority="99"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qFormat="1"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iPriority="99" w:semiHidden="0" w:name="Salutation" w:locked="1"/>
    <w:lsdException w:unhideWhenUsed="0" w:uiPriority="0" w:semiHidden="0" w:name="Date"/>
    <w:lsdException w:qFormat="1" w:unhideWhenUsed="0" w:uiPriority="0" w:semiHidden="0" w:name="Body Text First Indent"/>
    <w:lsdException w:qFormat="1" w:uiPriority="0" w:semiHidden="0" w:name="Body Text First Indent 2"/>
    <w:lsdException w:qFormat="1"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iPriority="99"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unhideWhenUsed="0" w:uiPriority="0"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30"/>
    <w:qFormat/>
    <w:locked/>
    <w:uiPriority w:val="99"/>
    <w:pPr>
      <w:keepNext/>
      <w:numPr>
        <w:ilvl w:val="0"/>
        <w:numId w:val="1"/>
      </w:numPr>
      <w:tabs>
        <w:tab w:val="left" w:pos="420"/>
        <w:tab w:val="clear" w:pos="0"/>
      </w:tabs>
      <w:overflowPunct w:val="0"/>
      <w:snapToGrid w:val="0"/>
      <w:jc w:val="center"/>
      <w:outlineLvl w:val="0"/>
    </w:pPr>
    <w:rPr>
      <w:rFonts w:ascii="黑体" w:hAnsi="黑体" w:eastAsia="黑体"/>
      <w:bCs/>
      <w:color w:val="000000"/>
      <w:kern w:val="44"/>
      <w:sz w:val="32"/>
      <w:szCs w:val="30"/>
    </w:rPr>
  </w:style>
  <w:style w:type="paragraph" w:styleId="4">
    <w:name w:val="heading 2"/>
    <w:basedOn w:val="1"/>
    <w:next w:val="1"/>
    <w:link w:val="29"/>
    <w:unhideWhenUsed/>
    <w:qFormat/>
    <w:locked/>
    <w:uiPriority w:val="0"/>
    <w:pPr>
      <w:keepNext/>
      <w:keepLines/>
      <w:numPr>
        <w:ilvl w:val="1"/>
        <w:numId w:val="1"/>
      </w:numPr>
      <w:tabs>
        <w:tab w:val="left" w:pos="0"/>
      </w:tabs>
      <w:adjustRightInd w:val="0"/>
      <w:snapToGrid w:val="0"/>
      <w:spacing w:before="260" w:after="120"/>
      <w:ind w:firstLineChars="0"/>
      <w:jc w:val="left"/>
      <w:outlineLvl w:val="1"/>
    </w:pPr>
    <w:rPr>
      <w:b/>
      <w:sz w:val="32"/>
    </w:rPr>
  </w:style>
  <w:style w:type="paragraph" w:styleId="5">
    <w:name w:val="heading 3"/>
    <w:basedOn w:val="1"/>
    <w:next w:val="1"/>
    <w:unhideWhenUsed/>
    <w:qFormat/>
    <w:locked/>
    <w:uiPriority w:val="0"/>
    <w:pPr>
      <w:keepNext/>
      <w:keepLines/>
      <w:numPr>
        <w:ilvl w:val="2"/>
        <w:numId w:val="1"/>
      </w:numPr>
      <w:tabs>
        <w:tab w:val="left" w:pos="0"/>
      </w:tabs>
      <w:adjustRightInd w:val="0"/>
      <w:snapToGrid w:val="0"/>
      <w:spacing w:before="120" w:after="120"/>
      <w:jc w:val="left"/>
      <w:outlineLvl w:val="2"/>
    </w:pPr>
    <w:rPr>
      <w:b/>
      <w:sz w:val="30"/>
    </w:rPr>
  </w:style>
  <w:style w:type="paragraph" w:styleId="6">
    <w:name w:val="heading 4"/>
    <w:basedOn w:val="1"/>
    <w:next w:val="1"/>
    <w:unhideWhenUsed/>
    <w:qFormat/>
    <w:locked/>
    <w:uiPriority w:val="0"/>
    <w:pPr>
      <w:keepNext/>
      <w:keepLines/>
      <w:numPr>
        <w:ilvl w:val="3"/>
        <w:numId w:val="1"/>
      </w:numPr>
      <w:adjustRightInd w:val="0"/>
      <w:snapToGrid w:val="0"/>
      <w:ind w:left="0" w:firstLine="0" w:firstLineChars="0"/>
      <w:outlineLvl w:val="3"/>
    </w:pPr>
    <w:rPr>
      <w:b/>
      <w:sz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1"/>
    <w:qFormat/>
    <w:uiPriority w:val="0"/>
    <w:pPr>
      <w:ind w:firstLine="420"/>
    </w:pPr>
  </w:style>
  <w:style w:type="paragraph" w:styleId="7">
    <w:name w:val="toc 7"/>
    <w:basedOn w:val="1"/>
    <w:next w:val="1"/>
    <w:qFormat/>
    <w:locked/>
    <w:uiPriority w:val="0"/>
    <w:pPr>
      <w:widowControl/>
      <w:ind w:left="2520"/>
      <w:jc w:val="left"/>
    </w:pPr>
    <w:rPr>
      <w:szCs w:val="21"/>
    </w:rPr>
  </w:style>
  <w:style w:type="paragraph" w:styleId="8">
    <w:name w:val="Note Heading"/>
    <w:basedOn w:val="1"/>
    <w:next w:val="1"/>
    <w:qFormat/>
    <w:locked/>
    <w:uiPriority w:val="0"/>
    <w:pPr>
      <w:jc w:val="left"/>
    </w:pPr>
  </w:style>
  <w:style w:type="paragraph" w:styleId="9">
    <w:name w:val="annotation text"/>
    <w:basedOn w:val="1"/>
    <w:link w:val="37"/>
    <w:qFormat/>
    <w:uiPriority w:val="0"/>
    <w:pPr>
      <w:jc w:val="left"/>
    </w:pPr>
  </w:style>
  <w:style w:type="paragraph" w:styleId="10">
    <w:name w:val="Body Text"/>
    <w:basedOn w:val="1"/>
    <w:next w:val="8"/>
    <w:qFormat/>
    <w:uiPriority w:val="0"/>
    <w:pPr>
      <w:widowControl/>
      <w:snapToGrid w:val="0"/>
      <w:spacing w:before="60" w:after="160" w:line="259" w:lineRule="auto"/>
      <w:ind w:right="113"/>
    </w:pPr>
    <w:rPr>
      <w:kern w:val="0"/>
      <w:sz w:val="18"/>
      <w:szCs w:val="20"/>
    </w:rPr>
  </w:style>
  <w:style w:type="paragraph" w:styleId="11">
    <w:name w:val="Body Text Indent"/>
    <w:basedOn w:val="1"/>
    <w:next w:val="12"/>
    <w:qFormat/>
    <w:uiPriority w:val="0"/>
    <w:pPr>
      <w:spacing w:after="120"/>
      <w:ind w:left="420" w:leftChars="200"/>
    </w:pPr>
    <w:rPr>
      <w:kern w:val="0"/>
      <w:sz w:val="24"/>
      <w:szCs w:val="20"/>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3">
    <w:name w:val="toc 3"/>
    <w:basedOn w:val="1"/>
    <w:next w:val="1"/>
    <w:qFormat/>
    <w:locked/>
    <w:uiPriority w:val="0"/>
    <w:pPr>
      <w:ind w:left="840" w:leftChars="400"/>
    </w:pPr>
  </w:style>
  <w:style w:type="paragraph" w:styleId="14">
    <w:name w:val="toc 1"/>
    <w:basedOn w:val="1"/>
    <w:next w:val="1"/>
    <w:unhideWhenUsed/>
    <w:qFormat/>
    <w:uiPriority w:val="39"/>
  </w:style>
  <w:style w:type="paragraph" w:styleId="15">
    <w:name w:val="Subtitle"/>
    <w:next w:val="1"/>
    <w:qFormat/>
    <w:locked/>
    <w:uiPriority w:val="0"/>
    <w:pPr>
      <w:widowControl w:val="0"/>
      <w:jc w:val="center"/>
    </w:pPr>
    <w:rPr>
      <w:rFonts w:ascii="Times New Roman" w:hAnsi="Times New Roman" w:eastAsia="宋体" w:cs="Times New Roman"/>
      <w:sz w:val="21"/>
      <w:szCs w:val="24"/>
      <w:lang w:val="en-US" w:eastAsia="zh-CN" w:bidi="ar-SA"/>
    </w:rPr>
  </w:style>
  <w:style w:type="paragraph" w:styleId="16">
    <w:name w:val="toc 2"/>
    <w:basedOn w:val="1"/>
    <w:next w:val="1"/>
    <w:qFormat/>
    <w:locked/>
    <w:uiPriority w:val="0"/>
    <w:pPr>
      <w:ind w:left="420" w:leftChars="200"/>
    </w:pPr>
  </w:style>
  <w:style w:type="paragraph" w:styleId="1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8">
    <w:name w:val="annotation subject"/>
    <w:basedOn w:val="9"/>
    <w:next w:val="9"/>
    <w:link w:val="36"/>
    <w:unhideWhenUsed/>
    <w:qFormat/>
    <w:uiPriority w:val="99"/>
    <w:pPr>
      <w:spacing w:line="240" w:lineRule="auto"/>
      <w:ind w:firstLine="0" w:firstLineChars="0"/>
    </w:pPr>
    <w:rPr>
      <w:sz w:val="21"/>
    </w:rPr>
  </w:style>
  <w:style w:type="paragraph" w:styleId="19">
    <w:name w:val="Body Text First Indent"/>
    <w:basedOn w:val="10"/>
    <w:next w:val="1"/>
    <w:qFormat/>
    <w:uiPriority w:val="0"/>
    <w:pPr>
      <w:spacing w:before="0" w:line="480" w:lineRule="atLeast"/>
      <w:ind w:firstLine="420" w:firstLineChars="100"/>
    </w:pPr>
  </w:style>
  <w:style w:type="paragraph" w:styleId="20">
    <w:name w:val="Body Text First Indent 2"/>
    <w:basedOn w:val="11"/>
    <w:next w:val="19"/>
    <w:unhideWhenUsed/>
    <w:qFormat/>
    <w:uiPriority w:val="0"/>
    <w:pPr>
      <w:ind w:firstLine="420"/>
    </w:pPr>
    <w:rPr>
      <w:rFonts w:cs="Times New Roman"/>
    </w:rPr>
  </w:style>
  <w:style w:type="table" w:styleId="22">
    <w:name w:val="Table Grid"/>
    <w:basedOn w:val="2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page number"/>
    <w:basedOn w:val="23"/>
    <w:qFormat/>
    <w:locked/>
    <w:uiPriority w:val="0"/>
  </w:style>
  <w:style w:type="character" w:styleId="25">
    <w:name w:val="annotation reference"/>
    <w:unhideWhenUsed/>
    <w:qFormat/>
    <w:uiPriority w:val="99"/>
    <w:rPr>
      <w:sz w:val="21"/>
      <w:szCs w:val="21"/>
    </w:rPr>
  </w:style>
  <w:style w:type="paragraph" w:customStyle="1" w:styleId="26">
    <w:name w:val="样式 标题 1 + 首行缩进:  0 字符"/>
    <w:basedOn w:val="3"/>
    <w:next w:val="27"/>
    <w:qFormat/>
    <w:uiPriority w:val="99"/>
    <w:pPr>
      <w:tabs>
        <w:tab w:val="left" w:pos="0"/>
        <w:tab w:val="clear" w:pos="420"/>
      </w:tabs>
      <w:adjustRightInd/>
      <w:spacing w:before="0" w:after="0" w:line="520" w:lineRule="exact"/>
      <w:ind w:firstLine="0" w:firstLineChars="0"/>
      <w:jc w:val="both"/>
    </w:pPr>
    <w:rPr>
      <w:rFonts w:ascii="Arial" w:hAnsi="Arial" w:eastAsia="黑体" w:cs="宋体"/>
      <w:color w:val="auto"/>
      <w:sz w:val="30"/>
      <w:szCs w:val="20"/>
    </w:rPr>
  </w:style>
  <w:style w:type="paragraph" w:customStyle="1" w:styleId="27">
    <w:name w:val="xl57"/>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line="240" w:lineRule="auto"/>
      <w:ind w:firstLine="0" w:firstLineChars="0"/>
      <w:textAlignment w:val="center"/>
    </w:pPr>
    <w:rPr>
      <w:rFonts w:ascii="Times New Roman"/>
      <w:b/>
      <w:bCs/>
      <w:color w:val="auto"/>
      <w:kern w:val="0"/>
      <w:sz w:val="20"/>
      <w:szCs w:val="20"/>
    </w:rPr>
  </w:style>
  <w:style w:type="paragraph" w:customStyle="1" w:styleId="28">
    <w:name w:val="表头"/>
    <w:next w:val="1"/>
    <w:link w:val="31"/>
    <w:qFormat/>
    <w:uiPriority w:val="0"/>
    <w:pPr>
      <w:adjustRightInd w:val="0"/>
      <w:snapToGrid w:val="0"/>
      <w:jc w:val="center"/>
    </w:pPr>
    <w:rPr>
      <w:rFonts w:ascii="Times New Roman" w:hAnsi="Times New Roman" w:eastAsia="宋体" w:cs="Times New Roman"/>
      <w:b/>
      <w:sz w:val="24"/>
      <w:lang w:val="en-US" w:eastAsia="zh-CN" w:bidi="ar-SA"/>
    </w:rPr>
  </w:style>
  <w:style w:type="character" w:customStyle="1" w:styleId="29">
    <w:name w:val="标题 2 Char"/>
    <w:link w:val="4"/>
    <w:qFormat/>
    <w:uiPriority w:val="0"/>
    <w:rPr>
      <w:b/>
      <w:kern w:val="2"/>
      <w:sz w:val="32"/>
      <w:szCs w:val="24"/>
    </w:rPr>
  </w:style>
  <w:style w:type="character" w:customStyle="1" w:styleId="30">
    <w:name w:val="标题 1 Char"/>
    <w:link w:val="3"/>
    <w:qFormat/>
    <w:uiPriority w:val="99"/>
    <w:rPr>
      <w:rFonts w:ascii="黑体" w:hAnsi="黑体" w:eastAsia="黑体"/>
      <w:bCs/>
      <w:color w:val="000000"/>
      <w:kern w:val="44"/>
      <w:sz w:val="32"/>
      <w:szCs w:val="30"/>
    </w:rPr>
  </w:style>
  <w:style w:type="character" w:customStyle="1" w:styleId="31">
    <w:name w:val="表头 Char"/>
    <w:link w:val="28"/>
    <w:qFormat/>
    <w:uiPriority w:val="0"/>
    <w:rPr>
      <w:rFonts w:ascii="Times New Roman" w:hAnsi="Times New Roman" w:eastAsia="宋体"/>
      <w:b/>
      <w:sz w:val="24"/>
    </w:rPr>
  </w:style>
  <w:style w:type="paragraph" w:customStyle="1" w:styleId="32">
    <w:name w:val="表格文字"/>
    <w:basedOn w:val="1"/>
    <w:qFormat/>
    <w:uiPriority w:val="0"/>
    <w:pPr>
      <w:adjustRightInd w:val="0"/>
      <w:snapToGrid w:val="0"/>
      <w:spacing w:line="240" w:lineRule="auto"/>
      <w:ind w:firstLine="0" w:firstLineChars="0"/>
      <w:jc w:val="center"/>
    </w:pPr>
    <w:rPr>
      <w:sz w:val="21"/>
    </w:rPr>
  </w:style>
  <w:style w:type="paragraph" w:customStyle="1" w:styleId="33">
    <w:name w:val="表格内容"/>
    <w:basedOn w:val="28"/>
    <w:next w:val="1"/>
    <w:link w:val="45"/>
    <w:qFormat/>
    <w:uiPriority w:val="0"/>
    <w:rPr>
      <w:iCs/>
      <w:sz w:val="21"/>
      <w:szCs w:val="21"/>
    </w:rPr>
  </w:style>
  <w:style w:type="paragraph" w:customStyle="1" w:styleId="34">
    <w:name w:val="表内容"/>
    <w:qFormat/>
    <w:uiPriority w:val="0"/>
    <w:pPr>
      <w:widowControl w:val="0"/>
      <w:jc w:val="center"/>
    </w:pPr>
    <w:rPr>
      <w:rFonts w:ascii="Times New Roman" w:hAnsi="Times New Roman" w:eastAsia="宋体" w:cs="Times New Roman"/>
      <w:kern w:val="2"/>
      <w:sz w:val="21"/>
      <w:szCs w:val="21"/>
      <w:lang w:val="en-US" w:eastAsia="zh-CN" w:bidi="ar-SA"/>
    </w:rPr>
  </w:style>
  <w:style w:type="paragraph" w:customStyle="1" w:styleId="35">
    <w:name w:val="表正文"/>
    <w:basedOn w:val="1"/>
    <w:qFormat/>
    <w:uiPriority w:val="0"/>
    <w:pPr>
      <w:ind w:firstLine="200"/>
    </w:pPr>
  </w:style>
  <w:style w:type="character" w:customStyle="1" w:styleId="36">
    <w:name w:val="批注主题 Char"/>
    <w:basedOn w:val="37"/>
    <w:link w:val="18"/>
    <w:qFormat/>
    <w:uiPriority w:val="0"/>
    <w:rPr>
      <w:kern w:val="2"/>
      <w:sz w:val="21"/>
      <w:szCs w:val="24"/>
    </w:rPr>
  </w:style>
  <w:style w:type="character" w:customStyle="1" w:styleId="37">
    <w:name w:val="批注文字 Char"/>
    <w:basedOn w:val="23"/>
    <w:link w:val="9"/>
    <w:qFormat/>
    <w:uiPriority w:val="0"/>
    <w:rPr>
      <w:kern w:val="2"/>
      <w:sz w:val="24"/>
      <w:szCs w:val="24"/>
    </w:rPr>
  </w:style>
  <w:style w:type="character" w:customStyle="1" w:styleId="38">
    <w:name w:val="批注主题 Char1"/>
    <w:basedOn w:val="37"/>
    <w:qFormat/>
    <w:uiPriority w:val="0"/>
    <w:rPr>
      <w:b/>
      <w:bCs/>
      <w:kern w:val="2"/>
      <w:sz w:val="24"/>
      <w:szCs w:val="24"/>
    </w:rPr>
  </w:style>
  <w:style w:type="character" w:customStyle="1" w:styleId="39">
    <w:name w:val="z表（图）头 字符"/>
    <w:link w:val="40"/>
    <w:qFormat/>
    <w:uiPriority w:val="0"/>
    <w:rPr>
      <w:rFonts w:eastAsia="黑体"/>
      <w:b/>
      <w:color w:val="000000"/>
      <w:kern w:val="2"/>
      <w:sz w:val="24"/>
      <w:szCs w:val="24"/>
    </w:rPr>
  </w:style>
  <w:style w:type="paragraph" w:customStyle="1" w:styleId="40">
    <w:name w:val="z表（图）头"/>
    <w:basedOn w:val="1"/>
    <w:link w:val="39"/>
    <w:qFormat/>
    <w:uiPriority w:val="0"/>
    <w:pPr>
      <w:adjustRightInd w:val="0"/>
      <w:spacing w:line="240" w:lineRule="auto"/>
      <w:ind w:firstLine="0" w:firstLineChars="0"/>
      <w:jc w:val="center"/>
      <w:outlineLvl w:val="4"/>
    </w:pPr>
    <w:rPr>
      <w:rFonts w:eastAsia="黑体"/>
      <w:b/>
      <w:color w:val="000000"/>
    </w:rPr>
  </w:style>
  <w:style w:type="character" w:customStyle="1" w:styleId="41">
    <w:name w:val="z表格内文字 字符"/>
    <w:link w:val="42"/>
    <w:qFormat/>
    <w:uiPriority w:val="0"/>
    <w:rPr>
      <w:color w:val="000000"/>
      <w:kern w:val="2"/>
      <w:sz w:val="21"/>
      <w:szCs w:val="21"/>
    </w:rPr>
  </w:style>
  <w:style w:type="paragraph" w:customStyle="1" w:styleId="42">
    <w:name w:val="z表格内文字"/>
    <w:basedOn w:val="1"/>
    <w:link w:val="41"/>
    <w:qFormat/>
    <w:uiPriority w:val="0"/>
    <w:pPr>
      <w:spacing w:line="240" w:lineRule="auto"/>
      <w:ind w:firstLine="0" w:firstLineChars="0"/>
      <w:jc w:val="center"/>
    </w:pPr>
    <w:rPr>
      <w:color w:val="000000"/>
      <w:sz w:val="21"/>
      <w:szCs w:val="21"/>
    </w:rPr>
  </w:style>
  <w:style w:type="character" w:customStyle="1" w:styleId="43">
    <w:name w:val="a表格内文字 Char"/>
    <w:link w:val="44"/>
    <w:qFormat/>
    <w:uiPriority w:val="0"/>
    <w:rPr>
      <w:color w:val="000000"/>
      <w:kern w:val="2"/>
      <w:sz w:val="21"/>
      <w:szCs w:val="21"/>
    </w:rPr>
  </w:style>
  <w:style w:type="paragraph" w:customStyle="1" w:styleId="44">
    <w:name w:val="a表格内文字"/>
    <w:basedOn w:val="1"/>
    <w:link w:val="43"/>
    <w:qFormat/>
    <w:uiPriority w:val="0"/>
    <w:pPr>
      <w:spacing w:line="240" w:lineRule="auto"/>
      <w:ind w:firstLine="0" w:firstLineChars="0"/>
      <w:jc w:val="center"/>
    </w:pPr>
    <w:rPr>
      <w:color w:val="000000"/>
      <w:sz w:val="21"/>
      <w:szCs w:val="21"/>
    </w:rPr>
  </w:style>
  <w:style w:type="character" w:customStyle="1" w:styleId="45">
    <w:name w:val="表格内容 Char"/>
    <w:link w:val="33"/>
    <w:qFormat/>
    <w:uiPriority w:val="0"/>
    <w:rPr>
      <w:b/>
      <w:iCs/>
      <w:sz w:val="21"/>
      <w:szCs w:val="21"/>
    </w:rPr>
  </w:style>
  <w:style w:type="character" w:customStyle="1" w:styleId="46">
    <w:name w:val="表格内容 Char1"/>
    <w:qFormat/>
    <w:uiPriority w:val="0"/>
    <w:rPr>
      <w:rFonts w:ascii="宋体" w:hAnsi="宋体" w:eastAsia="宋体"/>
      <w:kern w:val="0"/>
      <w:sz w:val="21"/>
    </w:rPr>
  </w:style>
  <w:style w:type="paragraph" w:customStyle="1" w:styleId="47">
    <w:name w:val="CM11"/>
    <w:basedOn w:val="1"/>
    <w:next w:val="1"/>
    <w:qFormat/>
    <w:uiPriority w:val="0"/>
    <w:pPr>
      <w:autoSpaceDE w:val="0"/>
      <w:autoSpaceDN w:val="0"/>
      <w:adjustRightInd w:val="0"/>
      <w:spacing w:line="520" w:lineRule="atLeast"/>
      <w:ind w:firstLine="0"/>
      <w:jc w:val="left"/>
    </w:pPr>
    <w:rPr>
      <w:rFonts w:ascii="宋体" w:eastAsia="宋体"/>
      <w:kern w:val="0"/>
      <w:sz w:val="24"/>
    </w:rPr>
  </w:style>
  <w:style w:type="paragraph" w:customStyle="1" w:styleId="48">
    <w:name w:val="环评 表格"/>
    <w:basedOn w:val="49"/>
    <w:qFormat/>
    <w:uiPriority w:val="0"/>
    <w:pPr>
      <w:pBdr>
        <w:top w:val="none" w:color="auto" w:sz="0" w:space="1"/>
        <w:left w:val="dashed" w:color="FFFFFF" w:sz="4" w:space="4"/>
        <w:bottom w:val="none" w:color="auto" w:sz="0" w:space="1"/>
        <w:right w:val="dashed" w:color="FFFFFF" w:sz="4" w:space="4"/>
      </w:pBdr>
      <w:ind w:firstLine="0" w:firstLineChars="0"/>
      <w:jc w:val="center"/>
    </w:pPr>
    <w:rPr>
      <w:sz w:val="21"/>
      <w:szCs w:val="21"/>
      <w:lang w:eastAsia="en-US"/>
    </w:rPr>
  </w:style>
  <w:style w:type="paragraph" w:customStyle="1" w:styleId="49">
    <w:name w:val="无间隔1"/>
    <w:qFormat/>
    <w:uiPriority w:val="1"/>
    <w:pPr>
      <w:widowControl w:val="0"/>
      <w:ind w:firstLine="200" w:firstLineChars="200"/>
      <w:jc w:val="both"/>
    </w:pPr>
    <w:rPr>
      <w:rFonts w:ascii="Calibri" w:hAnsi="Calibri" w:eastAsia="宋体" w:cs="Calibri"/>
      <w:kern w:val="2"/>
      <w:sz w:val="24"/>
      <w:szCs w:val="24"/>
      <w:lang w:val="en-US" w:eastAsia="zh-CN" w:bidi="ar-SA"/>
    </w:rPr>
  </w:style>
  <w:style w:type="paragraph" w:customStyle="1" w:styleId="50">
    <w:name w:val="表格表头"/>
    <w:basedOn w:val="51"/>
    <w:qFormat/>
    <w:uiPriority w:val="0"/>
    <w:pPr>
      <w:spacing w:before="50" w:beforeLines="50" w:line="240" w:lineRule="auto"/>
      <w:ind w:firstLine="0"/>
      <w:jc w:val="center"/>
    </w:pPr>
    <w:rPr>
      <w:rFonts w:eastAsia="黑体"/>
    </w:rPr>
  </w:style>
  <w:style w:type="paragraph" w:customStyle="1" w:styleId="51">
    <w:name w:val="zhang正文"/>
    <w:basedOn w:val="11"/>
    <w:next w:val="1"/>
    <w:qFormat/>
    <w:uiPriority w:val="0"/>
    <w:pPr>
      <w:autoSpaceDE w:val="0"/>
      <w:autoSpaceDN w:val="0"/>
      <w:adjustRightInd w:val="0"/>
      <w:snapToGrid w:val="0"/>
      <w:spacing w:line="360" w:lineRule="auto"/>
      <w:ind w:left="0" w:leftChars="0" w:firstLine="539"/>
      <w:textAlignment w:val="baseline"/>
    </w:pPr>
    <w:rPr>
      <w:rFonts w:eastAsia="宋体"/>
    </w:rPr>
  </w:style>
  <w:style w:type="paragraph" w:customStyle="1" w:styleId="52">
    <w:name w:val="表格内文字"/>
    <w:basedOn w:val="53"/>
    <w:next w:val="1"/>
    <w:qFormat/>
    <w:uiPriority w:val="0"/>
    <w:pPr>
      <w:tabs>
        <w:tab w:val="left" w:pos="0"/>
      </w:tabs>
      <w:adjustRightInd w:val="0"/>
      <w:snapToGrid w:val="0"/>
      <w:jc w:val="center"/>
    </w:pPr>
    <w:rPr>
      <w:szCs w:val="21"/>
    </w:rPr>
  </w:style>
  <w:style w:type="paragraph" w:customStyle="1" w:styleId="53">
    <w:name w:val="表格名称"/>
    <w:basedOn w:val="1"/>
    <w:next w:val="52"/>
    <w:qFormat/>
    <w:uiPriority w:val="0"/>
    <w:pPr>
      <w:adjustRightInd/>
      <w:snapToGrid/>
      <w:spacing w:before="50" w:beforeLines="50" w:line="240" w:lineRule="auto"/>
      <w:ind w:firstLine="0" w:firstLineChars="0"/>
      <w:jc w:val="center"/>
    </w:pPr>
    <w:rPr>
      <w:rFonts w:cs="宋体"/>
      <w:b/>
      <w:bCs/>
      <w:sz w:val="21"/>
      <w:szCs w:val="21"/>
    </w:rPr>
  </w:style>
  <w:style w:type="paragraph" w:customStyle="1" w:styleId="54">
    <w:name w:val="表格固定文字"/>
    <w:basedOn w:val="1"/>
    <w:qFormat/>
    <w:uiPriority w:val="0"/>
    <w:pPr>
      <w:ind w:firstLine="0"/>
    </w:pPr>
    <w:rPr>
      <w:rFonts w:eastAsia="宋体"/>
      <w:sz w:val="21"/>
      <w:szCs w:val="24"/>
    </w:rPr>
  </w:style>
  <w:style w:type="paragraph" w:customStyle="1" w:styleId="55">
    <w:name w:val="表格内容CCW"/>
    <w:basedOn w:val="1"/>
    <w:qFormat/>
    <w:uiPriority w:val="0"/>
    <w:pPr>
      <w:spacing w:line="240" w:lineRule="auto"/>
      <w:ind w:firstLine="0" w:firstLineChars="0"/>
      <w:jc w:val="center"/>
    </w:pPr>
    <w:rPr>
      <w:sz w:val="18"/>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9" Type="http://schemas.openxmlformats.org/officeDocument/2006/relationships/fontTable" Target="fontTable.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63.jpeg"/><Relationship Id="rId75" Type="http://schemas.openxmlformats.org/officeDocument/2006/relationships/image" Target="media/image62.jpeg"/><Relationship Id="rId74" Type="http://schemas.openxmlformats.org/officeDocument/2006/relationships/image" Target="media/image61.jpeg"/><Relationship Id="rId73" Type="http://schemas.openxmlformats.org/officeDocument/2006/relationships/image" Target="media/image60.jpeg"/><Relationship Id="rId72" Type="http://schemas.openxmlformats.org/officeDocument/2006/relationships/image" Target="media/image59.jpeg"/><Relationship Id="rId71" Type="http://schemas.openxmlformats.org/officeDocument/2006/relationships/image" Target="media/image58.jpeg"/><Relationship Id="rId70" Type="http://schemas.openxmlformats.org/officeDocument/2006/relationships/image" Target="media/image57.jpeg"/><Relationship Id="rId7" Type="http://schemas.openxmlformats.org/officeDocument/2006/relationships/footer" Target="footer3.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jpeg"/><Relationship Id="rId65" Type="http://schemas.openxmlformats.org/officeDocument/2006/relationships/image" Target="media/image52.jpeg"/><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jpeg"/><Relationship Id="rId61" Type="http://schemas.openxmlformats.org/officeDocument/2006/relationships/image" Target="media/image48.jpeg"/><Relationship Id="rId60" Type="http://schemas.openxmlformats.org/officeDocument/2006/relationships/image" Target="media/image47.jpeg"/><Relationship Id="rId6" Type="http://schemas.openxmlformats.org/officeDocument/2006/relationships/footer" Target="footer2.xml"/><Relationship Id="rId59" Type="http://schemas.openxmlformats.org/officeDocument/2006/relationships/image" Target="media/image46.jpeg"/><Relationship Id="rId58" Type="http://schemas.openxmlformats.org/officeDocument/2006/relationships/image" Target="media/image45.jpe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1.xml"/><Relationship Id="rId49" Type="http://schemas.openxmlformats.org/officeDocument/2006/relationships/image" Target="media/image36.pn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pn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png"/><Relationship Id="rId41" Type="http://schemas.openxmlformats.org/officeDocument/2006/relationships/image" Target="media/image28.jpe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pn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jpeg"/><Relationship Id="rId24" Type="http://schemas.openxmlformats.org/officeDocument/2006/relationships/image" Target="media/image11.png"/><Relationship Id="rId23" Type="http://schemas.openxmlformats.org/officeDocument/2006/relationships/image" Target="media/image10.wmf"/><Relationship Id="rId22" Type="http://schemas.openxmlformats.org/officeDocument/2006/relationships/oleObject" Target="embeddings/oleObject3.bin"/><Relationship Id="rId21" Type="http://schemas.openxmlformats.org/officeDocument/2006/relationships/image" Target="media/image9.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1.bin"/><Relationship Id="rId17" Type="http://schemas.openxmlformats.org/officeDocument/2006/relationships/image" Target="media/image7.png"/><Relationship Id="rId16" Type="http://schemas.openxmlformats.org/officeDocument/2006/relationships/image" Target="../Users/Administrator/AppData/Roaming/Tencent/Users/349206422/QQ/WinTemp/RichOle/F%252525252525252525257bUPVYU@3B3EFUPUV%252525252525252525257b80)XT.png" TargetMode="External"/><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80</Pages>
  <Words>6964</Words>
  <Characters>7813</Characters>
  <Lines>143</Lines>
  <Paragraphs>40</Paragraphs>
  <TotalTime>12</TotalTime>
  <ScaleCrop>false</ScaleCrop>
  <LinksUpToDate>false</LinksUpToDate>
  <CharactersWithSpaces>7916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2021-10-07T08:12:00Z</dcterms:created>
  <dc:creator>lhj</dc:creator>
  <cp:lastModifiedBy></cp:lastModifiedBy>
  <cp:lastPrinted>2021-03-24T02:44:00Z</cp:lastPrinted>
  <dcterms:modified xsi:type="dcterms:W3CDTF">2025-07-04T01:26:32Z</dcterms:modified>
  <dc:title>附件2</dc:title>
  <cp:revision>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6BC34109DC0E40FFAFAEA1B976286115</vt:lpwstr>
  </property>
  <property fmtid="{D5CDD505-2E9C-101B-9397-08002B2CF9AE}" pid="4" name="KSOTemplateDocerSaveRecord">
    <vt:lpwstr>eyJoZGlkIjoiYmZkMTMxMjAwYjEyMGIwZGI4OTUwZjM1ZTRlOTAxMzkiLCJ1c2VySWQiOiI1NDE3MTU0OTMifQ==</vt:lpwstr>
  </property>
</Properties>
</file>